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060" w:val="clear"/>
            <w:tcMar>
              <w:top w:type="dxa" w:w="560"/>
              <w:left w:type="dxa" w:w="560"/>
              <w:bottom w:type="dxa" w:w="560"/>
              <w:right w:type="dxa" w:w="560"/>
            </w:tcMar>
          </w:tcPr>
          <w:p>
            <w:pPr>
              <w:spacing w:after="80"/>
              <w:jc w:val="center"/>
            </w:pPr>
            <w:r>
              <w:rPr>
                <w:rFonts w:ascii="Arial" w:cs="Arial" w:eastAsia="Arial" w:hAnsi="Arial"/>
                <w:b/>
                <w:bCs/>
                <w:color w:val="FFFFFF"/>
                <w:sz w:val="52"/>
                <w:szCs w:val="52"/>
              </w:rPr>
              <w:t xml:space="preserve">LUCI BROWSER</w:t>
            </w:r>
          </w:p>
          <w:p>
            <w:pPr>
              <w:spacing w:after="120"/>
              <w:jc w:val="center"/>
            </w:pPr>
            <w:r>
              <w:rPr>
                <w:rFonts w:ascii="Arial" w:cs="Arial" w:eastAsia="Arial" w:hAnsi="Arial"/>
                <w:i/>
                <w:iCs/>
                <w:color w:val="B8B0EE"/>
                <w:sz w:val="26"/>
                <w:szCs w:val="26"/>
              </w:rPr>
              <w:t xml:space="preserve">The First AUF-Native Browser and Cognitive Mesh Consumer Runtime</w:t>
            </w:r>
          </w:p>
          <w:p>
            <w:pPr>
              <w:spacing w:after="40"/>
              <w:jc w:val="center"/>
            </w:pPr>
            <w:r>
              <w:rPr>
                <w:rFonts w:ascii="Arial" w:cs="Arial" w:eastAsia="Arial" w:hAnsi="Arial"/>
                <w:b/>
                <w:bCs/>
                <w:color w:val="FFFFFF"/>
                <w:sz w:val="22"/>
                <w:szCs w:val="22"/>
              </w:rPr>
              <w:t xml:space="preserve">Babatope Yishai Afolabi</w:t>
            </w:r>
          </w:p>
          <w:p>
            <w:pPr>
              <w:spacing w:after="40"/>
              <w:jc w:val="center"/>
            </w:pPr>
            <w:r>
              <w:rPr>
                <w:rFonts w:ascii="Arial" w:cs="Arial" w:eastAsia="Arial" w:hAnsi="Arial"/>
                <w:color w:val="C8C3F0"/>
                <w:sz w:val="19"/>
                <w:szCs w:val="19"/>
              </w:rPr>
              <w:t xml:space="preserve">WPWakanda LLC d/b/a Aevov Corporation (Wá Àkàndá)</w:t>
            </w:r>
          </w:p>
          <w:p>
            <w:pPr>
              <w:spacing w:after="40"/>
              <w:jc w:val="center"/>
            </w:pPr>
            <w:r>
              <w:rPr>
                <w:rFonts w:ascii="Arial" w:cs="Arial" w:eastAsia="Arial" w:hAnsi="Arial"/>
                <w:color w:val="C8C3F0"/>
                <w:sz w:val="18"/>
                <w:szCs w:val="18"/>
              </w:rPr>
              <w:t xml:space="preserve">ORCID: 0009-0002-9146-2587</w:t>
            </w:r>
          </w:p>
          <w:p>
            <w:pPr>
              <w:spacing w:after="40"/>
              <w:jc w:val="center"/>
            </w:pPr>
            <w:r>
              <w:rPr>
                <w:rFonts w:ascii="Arial" w:cs="Arial" w:eastAsia="Arial" w:hAnsi="Arial"/>
                <w:color w:val="C8C3F0"/>
                <w:sz w:val="18"/>
                <w:szCs w:val="18"/>
              </w:rPr>
              <w:t xml:space="preserve">lucibrowser.com  ·  aevov.com  ·  sentiencecloud.one</w:t>
            </w:r>
          </w:p>
          <w:p>
            <w:pPr>
              <w:spacing w:after="0"/>
              <w:jc w:val="center"/>
            </w:pPr>
            <w:r>
              <w:rPr>
                <w:rFonts w:ascii="Arial" w:cs="Arial" w:eastAsia="Arial" w:hAnsi="Arial"/>
                <w:color w:val="9E99D4"/>
                <w:sz w:val="17"/>
                <w:szCs w:val="17"/>
              </w:rPr>
              <w:t xml:space="preserve">June 2026  ·  Version 1.0  ·  CC BY 4.0  ·  Zenodo submission pending</w:t>
            </w:r>
          </w:p>
        </w:tc>
      </w:tr>
    </w:tbl>
    <w:p>
      <w:pPr>
        <w:spacing w:after="120" w:before="120"/>
      </w:pPr>
    </w:p>
    <w:p>
      <w:pPr>
        <w:pBdr>
          <w:bottom w:val="single" w:color="C8C3F0" w:sz="8" w:space="1"/>
        </w:pBdr>
        <w:spacing w:after="120" w:before="80"/>
      </w:pPr>
    </w:p>
    <w:p>
      <w:pPr>
        <w:pStyle w:val="Heading2"/>
        <w:spacing w:after="60" w:before="160"/>
      </w:pPr>
      <w:r>
        <w:rPr>
          <w:rFonts w:ascii="Arial" w:cs="Arial" w:eastAsia="Arial" w:hAnsi="Arial"/>
          <w:b/>
          <w:bCs/>
          <w:color w:val="5B4DB8"/>
          <w:sz w:val="24"/>
          <w:szCs w:val="24"/>
        </w:rPr>
        <w:t xml:space="preserve">Abstract</w:t>
      </w:r>
    </w:p>
    <w:p>
      <w:pPr>
        <w:spacing w:after="80" w:before="60" w:line="276" w:lineRule="auto"/>
        <w:ind w:left="360" w:right="360"/>
        <w:jc w:val="both"/>
      </w:pPr>
      <w:r>
        <w:rPr>
          <w:rFonts w:ascii="Arial" w:cs="Arial" w:eastAsia="Arial" w:hAnsi="Arial"/>
          <w:i/>
          <w:iCs/>
          <w:color w:val="3D3A60"/>
          <w:sz w:val="19"/>
          <w:szCs w:val="19"/>
        </w:rPr>
        <w:t xml:space="preserve">The Luci Browser (lucibrowser.com) is the first browser engine built natively on the Afolabi Unified Framework (AUF). Unlike all existing browser engines — Chromium, WebKit, Gecko — which treat the HTML page as their atomic unit and the browsing session as stateless at the identity level, Luci treats the cognitive node as its atomic unit. Tabs are WebsiteCards: first-class AUF nodes carrying identity, persistent state, phase relationship to other nodes, and Species Memory propagation. The Nara Engine (Rust) orchestrates cognitive state across the mesh. ACL 3.0 (1,133 foundational glyphs) is the native execution language. HTTQ/HTTQS provides quantum-resistant mesh transport. QNS resolves decentralized .q domains. AevIP provides sovereign anonymous transit. QuantumFS (the Q3 storage layer at the browser level) persists spatial layout and cognitive context across devices. Neural Links synchronize state between disparate domains without either domain having access to the other's data. The UOE applies cognitive load prediction and 33,333:1 theoretical data compression. This paper formally documents Luci's architecture, its position within the AUF Wave Classification (Wave 3/4 boundary), competitive differentiation, falsifiable claims with explicit thresholds, and prior art record timestamped to February 12, 2026.</w:t>
      </w:r>
    </w:p>
    <w:p>
      <w:pPr>
        <w:spacing w:after="40" w:before="40"/>
      </w:pPr>
    </w:p>
    <w:p>
      <w:pPr>
        <w:spacing w:after="80" w:before="40"/>
      </w:pPr>
      <w:r>
        <w:rPr>
          <w:rFonts w:ascii="Arial" w:cs="Arial" w:eastAsia="Arial" w:hAnsi="Arial"/>
          <w:i/>
          <w:iCs/>
          <w:color w:val="6B6890"/>
          <w:sz w:val="17"/>
          <w:szCs w:val="17"/>
        </w:rPr>
        <w:t xml:space="preserve">Keywords: Luci Browser, AUF, Nara Engine, HTTQ, QNS, AevIP, QuantumFS, Q3, ACL 3.0, Neural Links, UOE, cognitive mesh, Wave 3, Wave 4, species memory, lucibrowser.com, aevov.com, WPWakanda LLC</w:t>
      </w:r>
    </w:p>
    <w:p>
      <w:pPr>
        <w:pBdr>
          <w:bottom w:val="single" w:color="C8C3F0" w:sz="8" w:space="1"/>
        </w:pBdr>
        <w:spacing w:after="120" w:before="80"/>
      </w:pPr>
    </w:p>
    <w:p>
      <w:pPr>
        <w:pBdr>
          <w:bottom w:val="single" w:color="5B4DB8" w:sz="14" w:space="1"/>
        </w:pBdr>
        <w:spacing w:after="60" w:before="200"/>
      </w:pPr>
    </w:p>
    <w:p>
      <w:pPr>
        <w:pStyle w:val="Heading1"/>
        <w:spacing w:after="120" w:before="60"/>
      </w:pPr>
      <w:r>
        <w:rPr>
          <w:rFonts w:ascii="Arial" w:cs="Arial" w:eastAsia="Arial" w:hAnsi="Arial"/>
          <w:b/>
          <w:bCs/>
          <w:color w:val="1A1060"/>
          <w:sz w:val="30"/>
          <w:szCs w:val="30"/>
        </w:rPr>
        <w:t xml:space="preserve">1. The Problem With Every Existing Browser</w:t>
      </w:r>
    </w:p>
    <w:p>
      <w:pPr>
        <w:spacing w:after="80" w:before="60" w:line="276" w:lineRule="auto"/>
        <w:jc w:val="both"/>
      </w:pPr>
      <w:r>
        <w:rPr>
          <w:rFonts w:ascii="Arial" w:cs="Arial" w:eastAsia="Arial" w:hAnsi="Arial"/>
          <w:color w:val="1C1C2E"/>
          <w:sz w:val="20"/>
          <w:szCs w:val="20"/>
        </w:rPr>
        <w:t xml:space="preserve">The three browser engines that power virtually all web browsing in 2026 — Chromium's Blink, Apple's WebKit, and Mozilla's Gecko — share a single architectural assumption inherited from Tim Berners-Lee's original 1991 specification: the page is the atomic unit of the web. Every optimization, every feature, every API added in the subsequent three decades has been built on top of this assumption without questioning it.</w:t>
      </w:r>
    </w:p>
    <w:p>
      <w:pPr>
        <w:spacing w:after="80" w:before="60" w:line="276" w:lineRule="auto"/>
        <w:jc w:val="both"/>
      </w:pPr>
      <w:r>
        <w:rPr>
          <w:rFonts w:ascii="Arial" w:cs="Arial" w:eastAsia="Arial" w:hAnsi="Arial"/>
          <w:color w:val="1C1C2E"/>
          <w:sz w:val="20"/>
          <w:szCs w:val="20"/>
        </w:rPr>
        <w:t xml:space="preserve">The consequence is that all three engines are stateless at the identity level across sessions and domains. Each tab is an isolated execution context. The browser does not know who the user is in any coherent cross-domain sense. Persistent state exists only through cookies, localStorage, and service workers — all domain-scoped, server-dependent, and architecturally incapable of representing the user as a coherent cognitive agent moving through an information space.</w:t>
      </w:r>
    </w:p>
    <w:p>
      <w:pPr>
        <w:spacing w:after="80" w:before="60" w:line="276" w:lineRule="auto"/>
        <w:jc w:val="both"/>
      </w:pPr>
      <w:r>
        <w:rPr>
          <w:rFonts w:ascii="Arial" w:cs="Arial" w:eastAsia="Arial" w:hAnsi="Arial"/>
          <w:color w:val="1C1C2E"/>
          <w:sz w:val="20"/>
          <w:szCs w:val="20"/>
        </w:rPr>
        <w:t xml:space="preserve">In the AUF Wave Classification, this is a Wave 1/2 architecture: von Neumann sequential processing at the session layer, with no field coupling, no resonance, no identity persistence beyond what individual servers choose to maintain. It cannot become anything else through incremental optimization because the constraint is architectural, not engineering.</w:t>
      </w:r>
    </w:p>
    <w:p>
      <w:pPr>
        <w:pStyle w:val="Heading2"/>
        <w:spacing w:after="60" w:before="160"/>
      </w:pPr>
      <w:r>
        <w:rPr>
          <w:rFonts w:ascii="Arial" w:cs="Arial" w:eastAsia="Arial" w:hAnsi="Arial"/>
          <w:b/>
          <w:bCs/>
          <w:color w:val="5B4DB8"/>
          <w:sz w:val="24"/>
          <w:szCs w:val="24"/>
        </w:rPr>
        <w:t xml:space="preserve">1.1 What the correct atomic unit is</w:t>
      </w:r>
    </w:p>
    <w:p>
      <w:pPr>
        <w:spacing w:after="80" w:before="60" w:line="276" w:lineRule="auto"/>
        <w:jc w:val="both"/>
      </w:pPr>
      <w:r>
        <w:rPr>
          <w:rFonts w:ascii="Arial" w:cs="Arial" w:eastAsia="Arial" w:hAnsi="Arial"/>
          <w:color w:val="1C1C2E"/>
          <w:sz w:val="20"/>
          <w:szCs w:val="20"/>
        </w:rPr>
        <w:t xml:space="preserve">The correct atomic unit for a cognitive mesh runtime is the node, not the page. A node carries identity, state, phase relationship to other nodes, and Species Memory propagation. In Luci, a tab is a WebsiteCard — a first-class AUF cognitive node that persists across sessions, propagates state through Neural Links, exists in a 3D spatial mesh reflecting its cognitive topology, and participates in the distributed Q3 storage layer via QuantumFS.</w:t>
      </w:r>
    </w:p>
    <w:p>
      <w:pPr>
        <w:spacing w:after="80" w:before="60" w:line="276" w:lineRule="auto"/>
        <w:jc w:val="both"/>
      </w:pPr>
      <w:r>
        <w:rPr>
          <w:rFonts w:ascii="Arial" w:cs="Arial" w:eastAsia="Arial" w:hAnsi="Arial"/>
          <w:color w:val="1C1C2E"/>
          <w:sz w:val="20"/>
          <w:szCs w:val="20"/>
        </w:rPr>
        <w:t xml:space="preserve">This is not a feature addition to a conventional browser. It is a categorically different class of software with a different ontology of what browsing is.</w:t>
      </w:r>
    </w:p>
    <w:p>
      <w:pPr>
        <w:pBdr>
          <w:bottom w:val="single" w:color="5B4DB8" w:sz="14" w:space="1"/>
        </w:pBdr>
        <w:spacing w:after="60" w:before="200"/>
      </w:pPr>
    </w:p>
    <w:p>
      <w:pPr>
        <w:pStyle w:val="Heading1"/>
        <w:spacing w:after="120" w:before="60"/>
      </w:pPr>
      <w:r>
        <w:rPr>
          <w:rFonts w:ascii="Arial" w:cs="Arial" w:eastAsia="Arial" w:hAnsi="Arial"/>
          <w:b/>
          <w:bCs/>
          <w:color w:val="1A1060"/>
          <w:sz w:val="30"/>
          <w:szCs w:val="30"/>
        </w:rPr>
        <w:t xml:space="preserve">2. The Luci Stack — Formal Architecture</w:t>
      </w:r>
    </w:p>
    <w:p>
      <w:pPr>
        <w:spacing w:after="80" w:before="60" w:line="276" w:lineRule="auto"/>
        <w:jc w:val="both"/>
      </w:pPr>
      <w:r>
        <w:rPr>
          <w:rFonts w:ascii="Arial" w:cs="Arial" w:eastAsia="Arial" w:hAnsi="Arial"/>
          <w:color w:val="1C1C2E"/>
          <w:sz w:val="20"/>
          <w:szCs w:val="20"/>
        </w:rPr>
        <w:t xml:space="preserve">Luci is a vertically integrated stack. Each layer is an independent specification with its own prior art record. No layer is a rebrand of an existing open-source component. The table below gives the complete stack summary; sections 2.1–2.9 provide formal definitions.</w:t>
      </w:r>
    </w:p>
    <w:p>
      <w:pPr>
        <w:spacing w:after="60" w:before="60"/>
      </w:pP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3360"/>
        <w:gridCol w:w="960"/>
      </w:tblGrid>
      <w:tr>
        <w:trPr>
          <w:tblHeader/>
        </w:trPr>
        <w:tc>
          <w:tcPr>
            <w:tcW w:type="dxa" w:w="1440"/>
            <w:tcBorders>
              <w:top w:val="single" w:color="C8C3F0" w:sz="1"/>
              <w:left w:val="single" w:color="C8C3F0" w:sz="1"/>
              <w:bottom w:val="single" w:color="C8C3F0" w:sz="1"/>
              <w:right w:val="single" w:color="C8C3F0" w:sz="1"/>
            </w:tcBorders>
            <w:shd w:fill="1A1060" w:val="clear"/>
            <w:tcMar>
              <w:top w:type="dxa" w:w="80"/>
              <w:left w:type="dxa" w:w="100"/>
              <w:bottom w:type="dxa" w:w="80"/>
              <w:right w:type="dxa" w:w="100"/>
            </w:tcMar>
            <w:vAlign w:val="center"/>
          </w:tcPr>
          <w:p>
            <w:r>
              <w:rPr>
                <w:rFonts w:ascii="Arial" w:cs="Arial" w:eastAsia="Arial" w:hAnsi="Arial"/>
                <w:b/>
                <w:bCs/>
                <w:color w:val="FFFFFF"/>
                <w:sz w:val="17"/>
                <w:szCs w:val="17"/>
              </w:rPr>
              <w:t xml:space="preserve">Layer</w:t>
            </w:r>
          </w:p>
        </w:tc>
        <w:tc>
          <w:tcPr>
            <w:tcW w:type="dxa" w:w="2000"/>
            <w:tcBorders>
              <w:top w:val="single" w:color="C8C3F0" w:sz="1"/>
              <w:left w:val="single" w:color="C8C3F0" w:sz="1"/>
              <w:bottom w:val="single" w:color="C8C3F0" w:sz="1"/>
              <w:right w:val="single" w:color="C8C3F0" w:sz="1"/>
            </w:tcBorders>
            <w:shd w:fill="1A1060" w:val="clear"/>
            <w:tcMar>
              <w:top w:type="dxa" w:w="80"/>
              <w:left w:type="dxa" w:w="100"/>
              <w:bottom w:type="dxa" w:w="80"/>
              <w:right w:type="dxa" w:w="100"/>
            </w:tcMar>
            <w:vAlign w:val="center"/>
          </w:tcPr>
          <w:p>
            <w:r>
              <w:rPr>
                <w:rFonts w:ascii="Arial" w:cs="Arial" w:eastAsia="Arial" w:hAnsi="Arial"/>
                <w:b/>
                <w:bCs/>
                <w:color w:val="FFFFFF"/>
                <w:sz w:val="17"/>
                <w:szCs w:val="17"/>
              </w:rPr>
              <w:t xml:space="preserve">Component</w:t>
            </w:r>
          </w:p>
        </w:tc>
        <w:tc>
          <w:tcPr>
            <w:tcW w:type="dxa" w:w="3360"/>
            <w:tcBorders>
              <w:top w:val="single" w:color="C8C3F0" w:sz="1"/>
              <w:left w:val="single" w:color="C8C3F0" w:sz="1"/>
              <w:bottom w:val="single" w:color="C8C3F0" w:sz="1"/>
              <w:right w:val="single" w:color="C8C3F0" w:sz="1"/>
            </w:tcBorders>
            <w:shd w:fill="1A1060" w:val="clear"/>
            <w:tcMar>
              <w:top w:type="dxa" w:w="80"/>
              <w:left w:type="dxa" w:w="100"/>
              <w:bottom w:type="dxa" w:w="80"/>
              <w:right w:type="dxa" w:w="100"/>
            </w:tcMar>
            <w:vAlign w:val="center"/>
          </w:tcPr>
          <w:p>
            <w:r>
              <w:rPr>
                <w:rFonts w:ascii="Arial" w:cs="Arial" w:eastAsia="Arial" w:hAnsi="Arial"/>
                <w:b/>
                <w:bCs/>
                <w:color w:val="FFFFFF"/>
                <w:sz w:val="17"/>
                <w:szCs w:val="17"/>
              </w:rPr>
              <w:t xml:space="preserve">AUF Function</w:t>
            </w:r>
          </w:p>
        </w:tc>
        <w:tc>
          <w:tcPr>
            <w:tcW w:type="dxa" w:w="960"/>
            <w:tcBorders>
              <w:top w:val="single" w:color="C8C3F0" w:sz="1"/>
              <w:left w:val="single" w:color="C8C3F0" w:sz="1"/>
              <w:bottom w:val="single" w:color="C8C3F0" w:sz="1"/>
              <w:right w:val="single" w:color="C8C3F0" w:sz="1"/>
            </w:tcBorders>
            <w:shd w:fill="1A1060" w:val="clear"/>
            <w:tcMar>
              <w:top w:type="dxa" w:w="80"/>
              <w:left w:type="dxa" w:w="100"/>
              <w:bottom w:type="dxa" w:w="80"/>
              <w:right w:type="dxa" w:w="100"/>
            </w:tcMar>
            <w:vAlign w:val="center"/>
          </w:tcPr>
          <w:p>
            <w:r>
              <w:rPr>
                <w:rFonts w:ascii="Arial" w:cs="Arial" w:eastAsia="Arial" w:hAnsi="Arial"/>
                <w:b/>
                <w:bCs/>
                <w:color w:val="FFFFFF"/>
                <w:sz w:val="17"/>
                <w:szCs w:val="17"/>
              </w:rPr>
              <w:t xml:space="preserve">Wave</w:t>
            </w:r>
          </w:p>
        </w:tc>
      </w:tr>
      <w:tr>
        <w:tc>
          <w:tcPr>
            <w:tcW w:type="dxa" w:w="1440"/>
            <w:tcBorders>
              <w:top w:val="single" w:color="C8C3F0" w:sz="1"/>
              <w:left w:val="single" w:color="C8C3F0" w:sz="1"/>
              <w:bottom w:val="single" w:color="C8C3F0" w:sz="1"/>
              <w:right w:val="single" w:color="C8C3F0" w:sz="1"/>
            </w:tcBorders>
            <w:shd w:fill="F4F2FF" w:val="clear"/>
            <w:tcMar>
              <w:top w:type="dxa" w:w="70"/>
              <w:left w:type="dxa" w:w="100"/>
              <w:bottom w:type="dxa" w:w="70"/>
              <w:right w:type="dxa" w:w="100"/>
            </w:tcMar>
            <w:vAlign w:val="top"/>
          </w:tcPr>
          <w:p>
            <w:r>
              <w:rPr>
                <w:rFonts w:ascii="Arial" w:cs="Arial" w:eastAsia="Arial" w:hAnsi="Arial"/>
                <w:b/>
                <w:bCs/>
                <w:color w:val="1A1060"/>
                <w:sz w:val="17"/>
                <w:szCs w:val="17"/>
              </w:rPr>
              <w:t xml:space="preserve">Runtime</w:t>
            </w:r>
          </w:p>
        </w:tc>
        <w:tc>
          <w:tcPr>
            <w:tcW w:type="dxa" w:w="2000"/>
            <w:tcBorders>
              <w:top w:val="single" w:color="C8C3F0" w:sz="1"/>
              <w:left w:val="single" w:color="C8C3F0" w:sz="1"/>
              <w:bottom w:val="single" w:color="C8C3F0" w:sz="1"/>
              <w:right w:val="single" w:color="C8C3F0" w:sz="1"/>
            </w:tcBorders>
            <w:shd w:fill="F4F2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Nara Engine (Rust)</w:t>
            </w:r>
          </w:p>
        </w:tc>
        <w:tc>
          <w:tcPr>
            <w:tcW w:type="dxa" w:w="3360"/>
            <w:tcBorders>
              <w:top w:val="single" w:color="C8C3F0" w:sz="1"/>
              <w:left w:val="single" w:color="C8C3F0" w:sz="1"/>
              <w:bottom w:val="single" w:color="C8C3F0" w:sz="1"/>
              <w:right w:val="single" w:color="C8C3F0" w:sz="1"/>
            </w:tcBorders>
            <w:shd w:fill="F4F2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Cognitive state orchestration</w:t>
            </w:r>
          </w:p>
        </w:tc>
        <w:tc>
          <w:tcPr>
            <w:tcW w:type="dxa" w:w="960"/>
            <w:tcBorders>
              <w:top w:val="single" w:color="C8C3F0" w:sz="1"/>
              <w:left w:val="single" w:color="C8C3F0" w:sz="1"/>
              <w:bottom w:val="single" w:color="C8C3F0" w:sz="1"/>
              <w:right w:val="single" w:color="C8C3F0" w:sz="1"/>
            </w:tcBorders>
            <w:shd w:fill="F4F2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W3</w:t>
            </w:r>
          </w:p>
        </w:tc>
      </w:tr>
      <w:tr>
        <w:tc>
          <w:tcPr>
            <w:tcW w:type="dxa" w:w="1440"/>
            <w:tcBorders>
              <w:top w:val="single" w:color="C8C3F0" w:sz="1"/>
              <w:left w:val="single" w:color="C8C3F0" w:sz="1"/>
              <w:bottom w:val="single" w:color="C8C3F0" w:sz="1"/>
              <w:right w:val="single" w:color="C8C3F0" w:sz="1"/>
            </w:tcBorders>
            <w:shd w:fill="FFFFFF" w:val="clear"/>
            <w:tcMar>
              <w:top w:type="dxa" w:w="70"/>
              <w:left w:type="dxa" w:w="100"/>
              <w:bottom w:type="dxa" w:w="70"/>
              <w:right w:type="dxa" w:w="100"/>
            </w:tcMar>
            <w:vAlign w:val="top"/>
          </w:tcPr>
          <w:p>
            <w:r>
              <w:rPr>
                <w:rFonts w:ascii="Arial" w:cs="Arial" w:eastAsia="Arial" w:hAnsi="Arial"/>
                <w:b/>
                <w:bCs/>
                <w:color w:val="1A1060"/>
                <w:sz w:val="17"/>
                <w:szCs w:val="17"/>
              </w:rPr>
              <w:t xml:space="preserve">Language</w:t>
            </w:r>
          </w:p>
        </w:tc>
        <w:tc>
          <w:tcPr>
            <w:tcW w:type="dxa" w:w="2000"/>
            <w:tcBorders>
              <w:top w:val="single" w:color="C8C3F0" w:sz="1"/>
              <w:left w:val="single" w:color="C8C3F0" w:sz="1"/>
              <w:bottom w:val="single" w:color="C8C3F0" w:sz="1"/>
              <w:right w:val="single" w:color="C8C3F0" w:sz="1"/>
            </w:tcBorders>
            <w:shd w:fill="FFFF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ACL 3.0 (1,133 glyphs)</w:t>
            </w:r>
          </w:p>
        </w:tc>
        <w:tc>
          <w:tcPr>
            <w:tcW w:type="dxa" w:w="3360"/>
            <w:tcBorders>
              <w:top w:val="single" w:color="C8C3F0" w:sz="1"/>
              <w:left w:val="single" w:color="C8C3F0" w:sz="1"/>
              <w:bottom w:val="single" w:color="C8C3F0" w:sz="1"/>
              <w:right w:val="single" w:color="C8C3F0" w:sz="1"/>
            </w:tcBorders>
            <w:shd w:fill="FFFF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Anyonic semantic compression</w:t>
            </w:r>
          </w:p>
        </w:tc>
        <w:tc>
          <w:tcPr>
            <w:tcW w:type="dxa" w:w="960"/>
            <w:tcBorders>
              <w:top w:val="single" w:color="C8C3F0" w:sz="1"/>
              <w:left w:val="single" w:color="C8C3F0" w:sz="1"/>
              <w:bottom w:val="single" w:color="C8C3F0" w:sz="1"/>
              <w:right w:val="single" w:color="C8C3F0" w:sz="1"/>
            </w:tcBorders>
            <w:shd w:fill="FFFF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W3</w:t>
            </w:r>
          </w:p>
        </w:tc>
      </w:tr>
      <w:tr>
        <w:tc>
          <w:tcPr>
            <w:tcW w:type="dxa" w:w="1440"/>
            <w:tcBorders>
              <w:top w:val="single" w:color="C8C3F0" w:sz="1"/>
              <w:left w:val="single" w:color="C8C3F0" w:sz="1"/>
              <w:bottom w:val="single" w:color="C8C3F0" w:sz="1"/>
              <w:right w:val="single" w:color="C8C3F0" w:sz="1"/>
            </w:tcBorders>
            <w:shd w:fill="F4F2FF" w:val="clear"/>
            <w:tcMar>
              <w:top w:type="dxa" w:w="70"/>
              <w:left w:type="dxa" w:w="100"/>
              <w:bottom w:type="dxa" w:w="70"/>
              <w:right w:type="dxa" w:w="100"/>
            </w:tcMar>
            <w:vAlign w:val="top"/>
          </w:tcPr>
          <w:p>
            <w:r>
              <w:rPr>
                <w:rFonts w:ascii="Arial" w:cs="Arial" w:eastAsia="Arial" w:hAnsi="Arial"/>
                <w:b/>
                <w:bCs/>
                <w:color w:val="1A1060"/>
                <w:sz w:val="17"/>
                <w:szCs w:val="17"/>
              </w:rPr>
              <w:t xml:space="preserve">Transport</w:t>
            </w:r>
          </w:p>
        </w:tc>
        <w:tc>
          <w:tcPr>
            <w:tcW w:type="dxa" w:w="2000"/>
            <w:tcBorders>
              <w:top w:val="single" w:color="C8C3F0" w:sz="1"/>
              <w:left w:val="single" w:color="C8C3F0" w:sz="1"/>
              <w:bottom w:val="single" w:color="C8C3F0" w:sz="1"/>
              <w:right w:val="single" w:color="C8C3F0" w:sz="1"/>
            </w:tcBorders>
            <w:shd w:fill="F4F2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HTTQ / HTTQS</w:t>
            </w:r>
          </w:p>
        </w:tc>
        <w:tc>
          <w:tcPr>
            <w:tcW w:type="dxa" w:w="3360"/>
            <w:tcBorders>
              <w:top w:val="single" w:color="C8C3F0" w:sz="1"/>
              <w:left w:val="single" w:color="C8C3F0" w:sz="1"/>
              <w:bottom w:val="single" w:color="C8C3F0" w:sz="1"/>
              <w:right w:val="single" w:color="C8C3F0" w:sz="1"/>
            </w:tcBorders>
            <w:shd w:fill="F4F2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Quantum-resistant mesh p2p routing</w:t>
            </w:r>
          </w:p>
        </w:tc>
        <w:tc>
          <w:tcPr>
            <w:tcW w:type="dxa" w:w="960"/>
            <w:tcBorders>
              <w:top w:val="single" w:color="C8C3F0" w:sz="1"/>
              <w:left w:val="single" w:color="C8C3F0" w:sz="1"/>
              <w:bottom w:val="single" w:color="C8C3F0" w:sz="1"/>
              <w:right w:val="single" w:color="C8C3F0" w:sz="1"/>
            </w:tcBorders>
            <w:shd w:fill="F4F2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W3→4</w:t>
            </w:r>
          </w:p>
        </w:tc>
      </w:tr>
      <w:tr>
        <w:tc>
          <w:tcPr>
            <w:tcW w:type="dxa" w:w="1440"/>
            <w:tcBorders>
              <w:top w:val="single" w:color="C8C3F0" w:sz="1"/>
              <w:left w:val="single" w:color="C8C3F0" w:sz="1"/>
              <w:bottom w:val="single" w:color="C8C3F0" w:sz="1"/>
              <w:right w:val="single" w:color="C8C3F0" w:sz="1"/>
            </w:tcBorders>
            <w:shd w:fill="FFFFFF" w:val="clear"/>
            <w:tcMar>
              <w:top w:type="dxa" w:w="70"/>
              <w:left w:type="dxa" w:w="100"/>
              <w:bottom w:type="dxa" w:w="70"/>
              <w:right w:type="dxa" w:w="100"/>
            </w:tcMar>
            <w:vAlign w:val="top"/>
          </w:tcPr>
          <w:p>
            <w:r>
              <w:rPr>
                <w:rFonts w:ascii="Arial" w:cs="Arial" w:eastAsia="Arial" w:hAnsi="Arial"/>
                <w:b/>
                <w:bCs/>
                <w:color w:val="1A1060"/>
                <w:sz w:val="17"/>
                <w:szCs w:val="17"/>
              </w:rPr>
              <w:t xml:space="preserve">Naming</w:t>
            </w:r>
          </w:p>
        </w:tc>
        <w:tc>
          <w:tcPr>
            <w:tcW w:type="dxa" w:w="2000"/>
            <w:tcBorders>
              <w:top w:val="single" w:color="C8C3F0" w:sz="1"/>
              <w:left w:val="single" w:color="C8C3F0" w:sz="1"/>
              <w:bottom w:val="single" w:color="C8C3F0" w:sz="1"/>
              <w:right w:val="single" w:color="C8C3F0" w:sz="1"/>
            </w:tcBorders>
            <w:shd w:fill="FFFF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QNS (.q domains)</w:t>
            </w:r>
          </w:p>
        </w:tc>
        <w:tc>
          <w:tcPr>
            <w:tcW w:type="dxa" w:w="3360"/>
            <w:tcBorders>
              <w:top w:val="single" w:color="C8C3F0" w:sz="1"/>
              <w:left w:val="single" w:color="C8C3F0" w:sz="1"/>
              <w:bottom w:val="single" w:color="C8C3F0" w:sz="1"/>
              <w:right w:val="single" w:color="C8C3F0" w:sz="1"/>
            </w:tcBorders>
            <w:shd w:fill="FFFF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Decentralized namespace resolution</w:t>
            </w:r>
          </w:p>
        </w:tc>
        <w:tc>
          <w:tcPr>
            <w:tcW w:type="dxa" w:w="960"/>
            <w:tcBorders>
              <w:top w:val="single" w:color="C8C3F0" w:sz="1"/>
              <w:left w:val="single" w:color="C8C3F0" w:sz="1"/>
              <w:bottom w:val="single" w:color="C8C3F0" w:sz="1"/>
              <w:right w:val="single" w:color="C8C3F0" w:sz="1"/>
            </w:tcBorders>
            <w:shd w:fill="FFFF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W3→4</w:t>
            </w:r>
          </w:p>
        </w:tc>
      </w:tr>
      <w:tr>
        <w:tc>
          <w:tcPr>
            <w:tcW w:type="dxa" w:w="1440"/>
            <w:tcBorders>
              <w:top w:val="single" w:color="C8C3F0" w:sz="1"/>
              <w:left w:val="single" w:color="C8C3F0" w:sz="1"/>
              <w:bottom w:val="single" w:color="C8C3F0" w:sz="1"/>
              <w:right w:val="single" w:color="C8C3F0" w:sz="1"/>
            </w:tcBorders>
            <w:shd w:fill="F4F2FF" w:val="clear"/>
            <w:tcMar>
              <w:top w:type="dxa" w:w="70"/>
              <w:left w:type="dxa" w:w="100"/>
              <w:bottom w:type="dxa" w:w="70"/>
              <w:right w:type="dxa" w:w="100"/>
            </w:tcMar>
            <w:vAlign w:val="top"/>
          </w:tcPr>
          <w:p>
            <w:r>
              <w:rPr>
                <w:rFonts w:ascii="Arial" w:cs="Arial" w:eastAsia="Arial" w:hAnsi="Arial"/>
                <w:b/>
                <w:bCs/>
                <w:color w:val="1A1060"/>
                <w:sz w:val="17"/>
                <w:szCs w:val="17"/>
              </w:rPr>
              <w:t xml:space="preserve">Network</w:t>
            </w:r>
          </w:p>
        </w:tc>
        <w:tc>
          <w:tcPr>
            <w:tcW w:type="dxa" w:w="2000"/>
            <w:tcBorders>
              <w:top w:val="single" w:color="C8C3F0" w:sz="1"/>
              <w:left w:val="single" w:color="C8C3F0" w:sz="1"/>
              <w:bottom w:val="single" w:color="C8C3F0" w:sz="1"/>
              <w:right w:val="single" w:color="C8C3F0" w:sz="1"/>
            </w:tcBorders>
            <w:shd w:fill="F4F2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AevIP</w:t>
            </w:r>
          </w:p>
        </w:tc>
        <w:tc>
          <w:tcPr>
            <w:tcW w:type="dxa" w:w="3360"/>
            <w:tcBorders>
              <w:top w:val="single" w:color="C8C3F0" w:sz="1"/>
              <w:left w:val="single" w:color="C8C3F0" w:sz="1"/>
              <w:bottom w:val="single" w:color="C8C3F0" w:sz="1"/>
              <w:right w:val="single" w:color="C8C3F0" w:sz="1"/>
            </w:tcBorders>
            <w:shd w:fill="F4F2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Anonymous censor-resistant transit</w:t>
            </w:r>
          </w:p>
        </w:tc>
        <w:tc>
          <w:tcPr>
            <w:tcW w:type="dxa" w:w="960"/>
            <w:tcBorders>
              <w:top w:val="single" w:color="C8C3F0" w:sz="1"/>
              <w:left w:val="single" w:color="C8C3F0" w:sz="1"/>
              <w:bottom w:val="single" w:color="C8C3F0" w:sz="1"/>
              <w:right w:val="single" w:color="C8C3F0" w:sz="1"/>
            </w:tcBorders>
            <w:shd w:fill="F4F2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W3→4</w:t>
            </w:r>
          </w:p>
        </w:tc>
      </w:tr>
      <w:tr>
        <w:tc>
          <w:tcPr>
            <w:tcW w:type="dxa" w:w="1440"/>
            <w:tcBorders>
              <w:top w:val="single" w:color="C8C3F0" w:sz="1"/>
              <w:left w:val="single" w:color="C8C3F0" w:sz="1"/>
              <w:bottom w:val="single" w:color="C8C3F0" w:sz="1"/>
              <w:right w:val="single" w:color="C8C3F0" w:sz="1"/>
            </w:tcBorders>
            <w:shd w:fill="FFFFFF" w:val="clear"/>
            <w:tcMar>
              <w:top w:type="dxa" w:w="70"/>
              <w:left w:type="dxa" w:w="100"/>
              <w:bottom w:type="dxa" w:w="70"/>
              <w:right w:type="dxa" w:w="100"/>
            </w:tcMar>
            <w:vAlign w:val="top"/>
          </w:tcPr>
          <w:p>
            <w:r>
              <w:rPr>
                <w:rFonts w:ascii="Arial" w:cs="Arial" w:eastAsia="Arial" w:hAnsi="Arial"/>
                <w:b/>
                <w:bCs/>
                <w:color w:val="1A1060"/>
                <w:sz w:val="17"/>
                <w:szCs w:val="17"/>
              </w:rPr>
              <w:t xml:space="preserve">Storage</w:t>
            </w:r>
          </w:p>
        </w:tc>
        <w:tc>
          <w:tcPr>
            <w:tcW w:type="dxa" w:w="2000"/>
            <w:tcBorders>
              <w:top w:val="single" w:color="C8C3F0" w:sz="1"/>
              <w:left w:val="single" w:color="C8C3F0" w:sz="1"/>
              <w:bottom w:val="single" w:color="C8C3F0" w:sz="1"/>
              <w:right w:val="single" w:color="C8C3F0" w:sz="1"/>
            </w:tcBorders>
            <w:shd w:fill="FFFF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QuantumFS / Q3</w:t>
            </w:r>
          </w:p>
        </w:tc>
        <w:tc>
          <w:tcPr>
            <w:tcW w:type="dxa" w:w="3360"/>
            <w:tcBorders>
              <w:top w:val="single" w:color="C8C3F0" w:sz="1"/>
              <w:left w:val="single" w:color="C8C3F0" w:sz="1"/>
              <w:bottom w:val="single" w:color="C8C3F0" w:sz="1"/>
              <w:right w:val="single" w:color="C8C3F0" w:sz="1"/>
            </w:tcBorders>
            <w:shd w:fill="FFFF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Phase-addressed persistent state</w:t>
            </w:r>
          </w:p>
        </w:tc>
        <w:tc>
          <w:tcPr>
            <w:tcW w:type="dxa" w:w="960"/>
            <w:tcBorders>
              <w:top w:val="single" w:color="C8C3F0" w:sz="1"/>
              <w:left w:val="single" w:color="C8C3F0" w:sz="1"/>
              <w:bottom w:val="single" w:color="C8C3F0" w:sz="1"/>
              <w:right w:val="single" w:color="C8C3F0" w:sz="1"/>
            </w:tcBorders>
            <w:shd w:fill="FFFF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W4</w:t>
            </w:r>
          </w:p>
        </w:tc>
      </w:tr>
      <w:tr>
        <w:tc>
          <w:tcPr>
            <w:tcW w:type="dxa" w:w="1440"/>
            <w:tcBorders>
              <w:top w:val="single" w:color="C8C3F0" w:sz="1"/>
              <w:left w:val="single" w:color="C8C3F0" w:sz="1"/>
              <w:bottom w:val="single" w:color="C8C3F0" w:sz="1"/>
              <w:right w:val="single" w:color="C8C3F0" w:sz="1"/>
            </w:tcBorders>
            <w:shd w:fill="F4F2FF" w:val="clear"/>
            <w:tcMar>
              <w:top w:type="dxa" w:w="70"/>
              <w:left w:type="dxa" w:w="100"/>
              <w:bottom w:type="dxa" w:w="70"/>
              <w:right w:type="dxa" w:w="100"/>
            </w:tcMar>
            <w:vAlign w:val="top"/>
          </w:tcPr>
          <w:p>
            <w:r>
              <w:rPr>
                <w:rFonts w:ascii="Arial" w:cs="Arial" w:eastAsia="Arial" w:hAnsi="Arial"/>
                <w:b/>
                <w:bCs/>
                <w:color w:val="1A1060"/>
                <w:sz w:val="17"/>
                <w:szCs w:val="17"/>
              </w:rPr>
              <w:t xml:space="preserve">Cognition</w:t>
            </w:r>
          </w:p>
        </w:tc>
        <w:tc>
          <w:tcPr>
            <w:tcW w:type="dxa" w:w="2000"/>
            <w:tcBorders>
              <w:top w:val="single" w:color="C8C3F0" w:sz="1"/>
              <w:left w:val="single" w:color="C8C3F0" w:sz="1"/>
              <w:bottom w:val="single" w:color="C8C3F0" w:sz="1"/>
              <w:right w:val="single" w:color="C8C3F0" w:sz="1"/>
            </w:tcBorders>
            <w:shd w:fill="F4F2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Neural Links</w:t>
            </w:r>
          </w:p>
        </w:tc>
        <w:tc>
          <w:tcPr>
            <w:tcW w:type="dxa" w:w="3360"/>
            <w:tcBorders>
              <w:top w:val="single" w:color="C8C3F0" w:sz="1"/>
              <w:left w:val="single" w:color="C8C3F0" w:sz="1"/>
              <w:bottom w:val="single" w:color="C8C3F0" w:sz="1"/>
              <w:right w:val="single" w:color="C8C3F0" w:sz="1"/>
            </w:tcBorders>
            <w:shd w:fill="F4F2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Cross-domain Species Memory sync</w:t>
            </w:r>
          </w:p>
        </w:tc>
        <w:tc>
          <w:tcPr>
            <w:tcW w:type="dxa" w:w="960"/>
            <w:tcBorders>
              <w:top w:val="single" w:color="C8C3F0" w:sz="1"/>
              <w:left w:val="single" w:color="C8C3F0" w:sz="1"/>
              <w:bottom w:val="single" w:color="C8C3F0" w:sz="1"/>
              <w:right w:val="single" w:color="C8C3F0" w:sz="1"/>
            </w:tcBorders>
            <w:shd w:fill="F4F2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W4</w:t>
            </w:r>
          </w:p>
        </w:tc>
      </w:tr>
      <w:tr>
        <w:tc>
          <w:tcPr>
            <w:tcW w:type="dxa" w:w="1440"/>
            <w:tcBorders>
              <w:top w:val="single" w:color="C8C3F0" w:sz="1"/>
              <w:left w:val="single" w:color="C8C3F0" w:sz="1"/>
              <w:bottom w:val="single" w:color="C8C3F0" w:sz="1"/>
              <w:right w:val="single" w:color="C8C3F0" w:sz="1"/>
            </w:tcBorders>
            <w:shd w:fill="FFFFFF" w:val="clear"/>
            <w:tcMar>
              <w:top w:type="dxa" w:w="70"/>
              <w:left w:type="dxa" w:w="100"/>
              <w:bottom w:type="dxa" w:w="70"/>
              <w:right w:type="dxa" w:w="100"/>
            </w:tcMar>
            <w:vAlign w:val="top"/>
          </w:tcPr>
          <w:p>
            <w:r>
              <w:rPr>
                <w:rFonts w:ascii="Arial" w:cs="Arial" w:eastAsia="Arial" w:hAnsi="Arial"/>
                <w:b/>
                <w:bCs/>
                <w:color w:val="1A1060"/>
                <w:sz w:val="17"/>
                <w:szCs w:val="17"/>
              </w:rPr>
              <w:t xml:space="preserve">Optimization</w:t>
            </w:r>
          </w:p>
        </w:tc>
        <w:tc>
          <w:tcPr>
            <w:tcW w:type="dxa" w:w="2000"/>
            <w:tcBorders>
              <w:top w:val="single" w:color="C8C3F0" w:sz="1"/>
              <w:left w:val="single" w:color="C8C3F0" w:sz="1"/>
              <w:bottom w:val="single" w:color="C8C3F0" w:sz="1"/>
              <w:right w:val="single" w:color="C8C3F0" w:sz="1"/>
            </w:tcBorders>
            <w:shd w:fill="FFFF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UOE</w:t>
            </w:r>
          </w:p>
        </w:tc>
        <w:tc>
          <w:tcPr>
            <w:tcW w:type="dxa" w:w="3360"/>
            <w:tcBorders>
              <w:top w:val="single" w:color="C8C3F0" w:sz="1"/>
              <w:left w:val="single" w:color="C8C3F0" w:sz="1"/>
              <w:bottom w:val="single" w:color="C8C3F0" w:sz="1"/>
              <w:right w:val="single" w:color="C8C3F0" w:sz="1"/>
            </w:tcBorders>
            <w:shd w:fill="FFFF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Cognitive load prediction, 33,333:1</w:t>
            </w:r>
          </w:p>
        </w:tc>
        <w:tc>
          <w:tcPr>
            <w:tcW w:type="dxa" w:w="960"/>
            <w:tcBorders>
              <w:top w:val="single" w:color="C8C3F0" w:sz="1"/>
              <w:left w:val="single" w:color="C8C3F0" w:sz="1"/>
              <w:bottom w:val="single" w:color="C8C3F0" w:sz="1"/>
              <w:right w:val="single" w:color="C8C3F0" w:sz="1"/>
            </w:tcBorders>
            <w:shd w:fill="FFFF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W3→4</w:t>
            </w:r>
          </w:p>
        </w:tc>
      </w:tr>
      <w:tr>
        <w:tc>
          <w:tcPr>
            <w:tcW w:type="dxa" w:w="1440"/>
            <w:tcBorders>
              <w:top w:val="single" w:color="C8C3F0" w:sz="1"/>
              <w:left w:val="single" w:color="C8C3F0" w:sz="1"/>
              <w:bottom w:val="single" w:color="C8C3F0" w:sz="1"/>
              <w:right w:val="single" w:color="C8C3F0" w:sz="1"/>
            </w:tcBorders>
            <w:shd w:fill="F4F2FF" w:val="clear"/>
            <w:tcMar>
              <w:top w:type="dxa" w:w="70"/>
              <w:left w:type="dxa" w:w="100"/>
              <w:bottom w:type="dxa" w:w="70"/>
              <w:right w:type="dxa" w:w="100"/>
            </w:tcMar>
            <w:vAlign w:val="top"/>
          </w:tcPr>
          <w:p>
            <w:r>
              <w:rPr>
                <w:rFonts w:ascii="Arial" w:cs="Arial" w:eastAsia="Arial" w:hAnsi="Arial"/>
                <w:b/>
                <w:bCs/>
                <w:color w:val="1A1060"/>
                <w:sz w:val="17"/>
                <w:szCs w:val="17"/>
              </w:rPr>
              <w:t xml:space="preserve">Interface</w:t>
            </w:r>
          </w:p>
        </w:tc>
        <w:tc>
          <w:tcPr>
            <w:tcW w:type="dxa" w:w="2000"/>
            <w:tcBorders>
              <w:top w:val="single" w:color="C8C3F0" w:sz="1"/>
              <w:left w:val="single" w:color="C8C3F0" w:sz="1"/>
              <w:bottom w:val="single" w:color="C8C3F0" w:sz="1"/>
              <w:right w:val="single" w:color="C8C3F0" w:sz="1"/>
            </w:tcBorders>
            <w:shd w:fill="F4F2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Spatial Canvas</w:t>
            </w:r>
          </w:p>
        </w:tc>
        <w:tc>
          <w:tcPr>
            <w:tcW w:type="dxa" w:w="3360"/>
            <w:tcBorders>
              <w:top w:val="single" w:color="C8C3F0" w:sz="1"/>
              <w:left w:val="single" w:color="C8C3F0" w:sz="1"/>
              <w:bottom w:val="single" w:color="C8C3F0" w:sz="1"/>
              <w:right w:val="single" w:color="C8C3F0" w:sz="1"/>
            </w:tcBorders>
            <w:shd w:fill="F4F2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3D mesh topology made navigable</w:t>
            </w:r>
          </w:p>
        </w:tc>
        <w:tc>
          <w:tcPr>
            <w:tcW w:type="dxa" w:w="960"/>
            <w:tcBorders>
              <w:top w:val="single" w:color="C8C3F0" w:sz="1"/>
              <w:left w:val="single" w:color="C8C3F0" w:sz="1"/>
              <w:bottom w:val="single" w:color="C8C3F0" w:sz="1"/>
              <w:right w:val="single" w:color="C8C3F0" w:sz="1"/>
            </w:tcBorders>
            <w:shd w:fill="F4F2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W3</w:t>
            </w:r>
          </w:p>
        </w:tc>
      </w:tr>
    </w:tbl>
    <w:p>
      <w:pPr>
        <w:spacing w:after="80" w:before="80"/>
      </w:pPr>
    </w:p>
    <w:p>
      <w:pPr>
        <w:pStyle w:val="Heading2"/>
        <w:spacing w:after="60" w:before="160"/>
      </w:pPr>
      <w:r>
        <w:rPr>
          <w:rFonts w:ascii="Arial" w:cs="Arial" w:eastAsia="Arial" w:hAnsi="Arial"/>
          <w:b/>
          <w:bCs/>
          <w:color w:val="5B4DB8"/>
          <w:sz w:val="24"/>
          <w:szCs w:val="24"/>
        </w:rPr>
        <w:t xml:space="preserve">2.1 Nara Engine</w:t>
      </w:r>
    </w:p>
    <w:p>
      <w:pPr>
        <w:spacing w:after="40" w:before="80"/>
      </w:pPr>
      <w:r>
        <w:rPr>
          <w:rFonts w:ascii="Arial" w:cs="Arial" w:eastAsia="Arial" w:hAnsi="Arial"/>
          <w:b/>
          <w:bCs/>
          <w:color w:val="0F6E56"/>
          <w:sz w:val="17"/>
          <w:szCs w:val="17"/>
        </w:rPr>
        <w:t xml:space="preserve">Epistemic status: deployed</w:t>
      </w:r>
    </w:p>
    <w:p>
      <w:pPr>
        <w:spacing w:after="80" w:before="60" w:line="276" w:lineRule="auto"/>
        <w:jc w:val="both"/>
      </w:pPr>
      <w:r>
        <w:rPr>
          <w:rFonts w:ascii="Arial" w:cs="Arial" w:eastAsia="Arial" w:hAnsi="Arial"/>
          <w:color w:val="1C1C2E"/>
          <w:sz w:val="20"/>
          <w:szCs w:val="20"/>
        </w:rPr>
        <w:t xml:space="preserve">The Nara Engine is the cognitive state orchestration backplane of Luci, implemented in Rust. Its name derives from the Nara UI (Novel Attire Ranking Algorithm), first developed for the cr8OS desktop environment. It is not a rendering engine in the conventional sense — it does not implement a document object model or a CSS layout engine. It is an orchestration layer that manages the state, phase relationships, and Species Memory propagation of cognitive nodes (WebsiteCards) across the mesh. The Nara Engine processes ACL 3.0 natively with no intermediate translation layer.</w:t>
      </w:r>
    </w:p>
    <w:p>
      <w:pPr>
        <w:pStyle w:val="Heading2"/>
        <w:spacing w:after="60" w:before="160"/>
      </w:pPr>
      <w:r>
        <w:rPr>
          <w:rFonts w:ascii="Arial" w:cs="Arial" w:eastAsia="Arial" w:hAnsi="Arial"/>
          <w:b/>
          <w:bCs/>
          <w:color w:val="5B4DB8"/>
          <w:sz w:val="24"/>
          <w:szCs w:val="24"/>
        </w:rPr>
        <w:t xml:space="preserve">2.2 ACL 3.0 — Afolabi Computing Language</w:t>
      </w:r>
    </w:p>
    <w:p>
      <w:pPr>
        <w:spacing w:after="40" w:before="80"/>
      </w:pPr>
      <w:r>
        <w:rPr>
          <w:rFonts w:ascii="Arial" w:cs="Arial" w:eastAsia="Arial" w:hAnsi="Arial"/>
          <w:b/>
          <w:bCs/>
          <w:color w:val="0F6E56"/>
          <w:sz w:val="17"/>
          <w:szCs w:val="17"/>
        </w:rPr>
        <w:t xml:space="preserve">Epistemic status: deployed, prior art timestamped February 12, 2026</w:t>
      </w:r>
    </w:p>
    <w:p>
      <w:pPr>
        <w:spacing w:after="80" w:before="60" w:line="276" w:lineRule="auto"/>
        <w:jc w:val="both"/>
      </w:pPr>
      <w:r>
        <w:rPr>
          <w:rFonts w:ascii="Arial" w:cs="Arial" w:eastAsia="Arial" w:hAnsi="Arial"/>
          <w:color w:val="1C1C2E"/>
          <w:sz w:val="20"/>
          <w:szCs w:val="20"/>
        </w:rPr>
        <w:t xml:space="preserve">ACL 3.0 is the domain-specific language for hyper-orchestration and neurosymbolic computing. Its 1,133 foundational glyphs — documented in GENESIS_MANIFEST.json, timestamped February 12, 2026, with lineage traced to AFT Pro 2018 — constitute Anyonic Fractionalization: entire phrases, concepts, and logic operations reduce to single Atomic Glyphs. Native quantum operators (superposition, gate, entangle, measure, neural activation) are executable language primitives, not mathematical notation. ACL is published under Sovereign Commons: GPL-3.0 for implementation, Polyform Non-Commercial for logic and glyphs.</w:t>
      </w:r>
    </w:p>
    <w:p>
      <w:pPr>
        <w:pStyle w:val="Heading2"/>
        <w:spacing w:after="60" w:before="160"/>
      </w:pPr>
      <w:r>
        <w:rPr>
          <w:rFonts w:ascii="Arial" w:cs="Arial" w:eastAsia="Arial" w:hAnsi="Arial"/>
          <w:b/>
          <w:bCs/>
          <w:color w:val="5B4DB8"/>
          <w:sz w:val="24"/>
          <w:szCs w:val="24"/>
        </w:rPr>
        <w:t xml:space="preserve">2.3 HTTQ / HTTQS</w:t>
      </w:r>
    </w:p>
    <w:p>
      <w:pPr>
        <w:spacing w:after="40" w:before="80"/>
      </w:pPr>
      <w:r>
        <w:rPr>
          <w:rFonts w:ascii="Arial" w:cs="Arial" w:eastAsia="Arial" w:hAnsi="Arial"/>
          <w:b/>
          <w:bCs/>
          <w:color w:val="0F6E56"/>
          <w:sz w:val="17"/>
          <w:szCs w:val="17"/>
        </w:rPr>
        <w:t xml:space="preserve">Epistemic status: specification deployed</w:t>
      </w:r>
    </w:p>
    <w:p>
      <w:pPr>
        <w:spacing w:after="80" w:before="60" w:line="276" w:lineRule="auto"/>
        <w:jc w:val="both"/>
      </w:pPr>
      <w:r>
        <w:rPr>
          <w:rFonts w:ascii="Arial" w:cs="Arial" w:eastAsia="Arial" w:hAnsi="Arial"/>
          <w:color w:val="1C1C2E"/>
          <w:sz w:val="20"/>
          <w:szCs w:val="20"/>
        </w:rPr>
        <w:t xml:space="preserve">HTTQ (Hyper-Text Transfer Quantum) and HTTQS (secure variant) are quantum-resistant peer-to-peer transport protocols with neural routing via Tansu Relays. They are not HTTP/3 with post-quantum cryptographic wrappers — they are purpose-built transport protocols designed for mesh addressing semantics from the ground up, where a request routes through the mesh via Tansu Relay nodes applying neural routing heuristics based on node phase state.</w:t>
      </w:r>
    </w:p>
    <w:p>
      <w:pPr>
        <w:pStyle w:val="Heading2"/>
        <w:spacing w:after="60" w:before="160"/>
      </w:pPr>
      <w:r>
        <w:rPr>
          <w:rFonts w:ascii="Arial" w:cs="Arial" w:eastAsia="Arial" w:hAnsi="Arial"/>
          <w:b/>
          <w:bCs/>
          <w:color w:val="5B4DB8"/>
          <w:sz w:val="24"/>
          <w:szCs w:val="24"/>
        </w:rPr>
        <w:t xml:space="preserve">2.4 QNS — Quantum Name System</w:t>
      </w:r>
    </w:p>
    <w:p>
      <w:pPr>
        <w:spacing w:after="40" w:before="80"/>
      </w:pPr>
      <w:r>
        <w:rPr>
          <w:rFonts w:ascii="Arial" w:cs="Arial" w:eastAsia="Arial" w:hAnsi="Arial"/>
          <w:b/>
          <w:bCs/>
          <w:color w:val="0F6E56"/>
          <w:sz w:val="17"/>
          <w:szCs w:val="17"/>
        </w:rPr>
        <w:t xml:space="preserve">Epistemic status: specification live</w:t>
      </w:r>
    </w:p>
    <w:p>
      <w:pPr>
        <w:spacing w:after="80" w:before="60" w:line="276" w:lineRule="auto"/>
        <w:jc w:val="both"/>
      </w:pPr>
      <w:r>
        <w:rPr>
          <w:rFonts w:ascii="Arial" w:cs="Arial" w:eastAsia="Arial" w:hAnsi="Arial"/>
          <w:color w:val="1C1C2E"/>
          <w:sz w:val="20"/>
          <w:szCs w:val="20"/>
        </w:rPr>
        <w:t xml:space="preserve">QNS is a decentralized DNS alternative that resolves .q domain names through Aevov Mesh Orbitals. Unlike DNS, which maps names to IP addresses via a hierarchical authority structure, QNS resolves names to content-addressed Q3 objects via mesh consensus. A .q domain is not registered with any central authority; it is anchored to a Q3 content hash and propagated through the Orbital network.</w:t>
      </w:r>
    </w:p>
    <w:p>
      <w:pPr>
        <w:pStyle w:val="Heading2"/>
        <w:spacing w:after="60" w:before="160"/>
      </w:pPr>
      <w:r>
        <w:rPr>
          <w:rFonts w:ascii="Arial" w:cs="Arial" w:eastAsia="Arial" w:hAnsi="Arial"/>
          <w:b/>
          <w:bCs/>
          <w:color w:val="5B4DB8"/>
          <w:sz w:val="24"/>
          <w:szCs w:val="24"/>
        </w:rPr>
        <w:t xml:space="preserve">2.5 AevIP</w:t>
      </w:r>
    </w:p>
    <w:p>
      <w:pPr>
        <w:spacing w:after="40" w:before="80"/>
      </w:pPr>
      <w:r>
        <w:rPr>
          <w:rFonts w:ascii="Arial" w:cs="Arial" w:eastAsia="Arial" w:hAnsi="Arial"/>
          <w:b/>
          <w:bCs/>
          <w:color w:val="0F6E56"/>
          <w:sz w:val="17"/>
          <w:szCs w:val="17"/>
        </w:rPr>
        <w:t xml:space="preserve">Epistemic status: deployed</w:t>
      </w:r>
    </w:p>
    <w:p>
      <w:pPr>
        <w:spacing w:after="80" w:before="60" w:line="276" w:lineRule="auto"/>
        <w:jc w:val="both"/>
      </w:pPr>
      <w:r>
        <w:rPr>
          <w:rFonts w:ascii="Arial" w:cs="Arial" w:eastAsia="Arial" w:hAnsi="Arial"/>
          <w:color w:val="1C1C2E"/>
          <w:sz w:val="20"/>
          <w:szCs w:val="20"/>
        </w:rPr>
        <w:t xml:space="preserve">AevIP is the anonymous, censorship-resistant mesh transit layer — the sovereign network substrate on which HTTQ operates. AevIP addressing is not IP addressing; nodes are identified by their AUF mesh identity (derived from their ACL glyph signature and phase state) rather than by a geographic routing address. This makes AevIP inherently resistant to geographic blocking and provides anonymity at the network layer without requiring a VPN overlay.</w:t>
      </w:r>
    </w:p>
    <w:p>
      <w:pPr>
        <w:pStyle w:val="Heading2"/>
        <w:spacing w:after="60" w:before="160"/>
      </w:pPr>
      <w:r>
        <w:rPr>
          <w:rFonts w:ascii="Arial" w:cs="Arial" w:eastAsia="Arial" w:hAnsi="Arial"/>
          <w:b/>
          <w:bCs/>
          <w:color w:val="5B4DB8"/>
          <w:sz w:val="24"/>
          <w:szCs w:val="24"/>
        </w:rPr>
        <w:t xml:space="preserve">2.6 QuantumFS / Q3 at the Browser Layer</w:t>
      </w:r>
    </w:p>
    <w:p>
      <w:pPr>
        <w:spacing w:after="40" w:before="80"/>
      </w:pPr>
      <w:r>
        <w:rPr>
          <w:rFonts w:ascii="Arial" w:cs="Arial" w:eastAsia="Arial" w:hAnsi="Arial"/>
          <w:b/>
          <w:bCs/>
          <w:color w:val="0F6E56"/>
          <w:sz w:val="17"/>
          <w:szCs w:val="17"/>
        </w:rPr>
        <w:t xml:space="preserve">Epistemic status: deployed</w:t>
      </w:r>
    </w:p>
    <w:p>
      <w:pPr>
        <w:spacing w:after="80" w:before="60" w:line="276" w:lineRule="auto"/>
        <w:jc w:val="both"/>
      </w:pPr>
      <w:r>
        <w:rPr>
          <w:rFonts w:ascii="Arial" w:cs="Arial" w:eastAsia="Arial" w:hAnsi="Arial"/>
          <w:color w:val="1C1C2E"/>
          <w:sz w:val="20"/>
          <w:szCs w:val="20"/>
        </w:rPr>
        <w:t xml:space="preserve">QuantumFS is the Q3 quantum-native storage protocol instantiated at the browser layer. It is not browser storage, not IndexedDB, not cookies. It is a phase-addressed distributed filesystem where session state, spatial layout, and cognitive context are stored as Q3 objects — content-addressed, decoherence-resistant, mesh-distributed. A user's Luci session is not tied to a device: opening Luci on a second device retrieves the identical state that existed on the first because the session IS the Q3 object and Q3 objects are location-independent.</w:t>
      </w:r>
    </w:p>
    <w:p>
      <w:pPr>
        <w:pStyle w:val="Heading2"/>
        <w:spacing w:after="60" w:before="160"/>
      </w:pPr>
      <w:r>
        <w:rPr>
          <w:rFonts w:ascii="Arial" w:cs="Arial" w:eastAsia="Arial" w:hAnsi="Arial"/>
          <w:b/>
          <w:bCs/>
          <w:color w:val="5B4DB8"/>
          <w:sz w:val="24"/>
          <w:szCs w:val="24"/>
        </w:rPr>
        <w:t xml:space="preserve">2.7 Neural Links</w:t>
      </w:r>
    </w:p>
    <w:p>
      <w:pPr>
        <w:spacing w:after="40" w:before="80"/>
      </w:pPr>
      <w:r>
        <w:rPr>
          <w:rFonts w:ascii="Arial" w:cs="Arial" w:eastAsia="Arial" w:hAnsi="Arial"/>
          <w:b/>
          <w:bCs/>
          <w:color w:val="0F6E56"/>
          <w:sz w:val="17"/>
          <w:szCs w:val="17"/>
        </w:rPr>
        <w:t xml:space="preserve">Epistemic status: deployed</w:t>
      </w:r>
    </w:p>
    <w:p>
      <w:pPr>
        <w:spacing w:after="80" w:before="60" w:line="276" w:lineRule="auto"/>
        <w:jc w:val="both"/>
      </w:pPr>
      <w:r>
        <w:rPr>
          <w:rFonts w:ascii="Arial" w:cs="Arial" w:eastAsia="Arial" w:hAnsi="Arial"/>
          <w:color w:val="1C1C2E"/>
          <w:sz w:val="20"/>
          <w:szCs w:val="20"/>
        </w:rPr>
        <w:t xml:space="preserve">Neural Links enable synchronized state between disparate domains — the browser-level implementation of Species Memory propagation. A WebsiteCard visiting domain A and a WebsiteCard visiting domain B can share cognitive context through Neural Links without either domain having access to the other's data and without any server coordination. Synchronization occurs at the Nara Engine layer, below the domain sandboxing boundary. This is architecturally impossible in any existing browser because all existing browsers implement cross-domain isolation at the rendering engine level — which is also the only level at which state exists.</w:t>
      </w:r>
    </w:p>
    <w:p>
      <w:pPr>
        <w:pStyle w:val="Heading2"/>
        <w:spacing w:after="60" w:before="160"/>
      </w:pPr>
      <w:r>
        <w:rPr>
          <w:rFonts w:ascii="Arial" w:cs="Arial" w:eastAsia="Arial" w:hAnsi="Arial"/>
          <w:b/>
          <w:bCs/>
          <w:color w:val="5B4DB8"/>
          <w:sz w:val="24"/>
          <w:szCs w:val="24"/>
        </w:rPr>
        <w:t xml:space="preserve">2.8 UOE — Universal Optimization Engine</w:t>
      </w:r>
    </w:p>
    <w:p>
      <w:pPr>
        <w:spacing w:after="40" w:before="80"/>
      </w:pPr>
      <w:r>
        <w:rPr>
          <w:rFonts w:ascii="Arial" w:cs="Arial" w:eastAsia="Arial" w:hAnsi="Arial"/>
          <w:b/>
          <w:bCs/>
          <w:color w:val="0F6E56"/>
          <w:sz w:val="17"/>
          <w:szCs w:val="17"/>
        </w:rPr>
        <w:t xml:space="preserve">Epistemic status: formal derivation exists</w:t>
      </w:r>
    </w:p>
    <w:p>
      <w:pPr>
        <w:spacing w:after="80" w:before="60" w:line="276" w:lineRule="auto"/>
        <w:jc w:val="both"/>
      </w:pPr>
      <w:r>
        <w:rPr>
          <w:rFonts w:ascii="Arial" w:cs="Arial" w:eastAsia="Arial" w:hAnsi="Arial"/>
          <w:color w:val="1C1C2E"/>
          <w:sz w:val="20"/>
          <w:szCs w:val="20"/>
        </w:rPr>
        <w:t xml:space="preserve">The UOE is the cognitive load prediction and resource allocation engine, powered by Aevov 4.0. Its 33,333:1 theoretical data compression ratio is a formal derivation from the Anyonic Fractionalization properties of ACL 3.0 — where a semantic operation requiring 33,333 classical bit operations reduces to a single Atomic Glyph execution. The UOE applies this at the session level: prefetch, memory allocation, and render priority are all determined by the cognitive load predictor rather than conventional heuristics.</w:t>
      </w:r>
    </w:p>
    <w:p>
      <w:pPr>
        <w:pStyle w:val="Heading2"/>
        <w:spacing w:after="60" w:before="160"/>
      </w:pPr>
      <w:r>
        <w:rPr>
          <w:rFonts w:ascii="Arial" w:cs="Arial" w:eastAsia="Arial" w:hAnsi="Arial"/>
          <w:b/>
          <w:bCs/>
          <w:color w:val="5B4DB8"/>
          <w:sz w:val="24"/>
          <w:szCs w:val="24"/>
        </w:rPr>
        <w:t xml:space="preserve">2.9 Spatial Canvas — Nara Mesh Mode</w:t>
      </w:r>
    </w:p>
    <w:p>
      <w:pPr>
        <w:spacing w:after="40" w:before="80"/>
      </w:pPr>
      <w:r>
        <w:rPr>
          <w:rFonts w:ascii="Arial" w:cs="Arial" w:eastAsia="Arial" w:hAnsi="Arial"/>
          <w:b/>
          <w:bCs/>
          <w:color w:val="0F6E56"/>
          <w:sz w:val="17"/>
          <w:szCs w:val="17"/>
        </w:rPr>
        <w:t xml:space="preserve">Epistemic status: deployed</w:t>
      </w:r>
    </w:p>
    <w:p>
      <w:pPr>
        <w:spacing w:after="80" w:before="60" w:line="276" w:lineRule="auto"/>
        <w:jc w:val="both"/>
      </w:pPr>
      <w:r>
        <w:rPr>
          <w:rFonts w:ascii="Arial" w:cs="Arial" w:eastAsia="Arial" w:hAnsi="Arial"/>
          <w:color w:val="1C1C2E"/>
          <w:sz w:val="20"/>
          <w:szCs w:val="20"/>
        </w:rPr>
        <w:t xml:space="preserve">The Spatial Canvas is the 3D infinite mesh environment in which WebsiteCards exist. It is not a tab manager. It is the cognitive topology made navigable — the physical arrangement of nodes in the mesh, where spatial proximity reflects phase relationship and semantic affinity. Cards that are cognitively related cluster in the spatial mesh. Cards that are temporally distant decay toward the periphery. The Spatial Canvas is the user-facing expression of the AUF lattice topology.</w:t>
      </w:r>
    </w:p>
    <w:p>
      <w:pPr>
        <w:pBdr>
          <w:bottom w:val="single" w:color="5B4DB8" w:sz="14" w:space="1"/>
        </w:pBdr>
        <w:spacing w:after="60" w:before="200"/>
      </w:pPr>
    </w:p>
    <w:p>
      <w:pPr>
        <w:pStyle w:val="Heading1"/>
        <w:spacing w:after="120" w:before="60"/>
      </w:pPr>
      <w:r>
        <w:rPr>
          <w:rFonts w:ascii="Arial" w:cs="Arial" w:eastAsia="Arial" w:hAnsi="Arial"/>
          <w:b/>
          <w:bCs/>
          <w:color w:val="1A1060"/>
          <w:sz w:val="30"/>
          <w:szCs w:val="30"/>
        </w:rPr>
        <w:t xml:space="preserve">3. Wave Classification Position</w:t>
      </w:r>
    </w:p>
    <w:p>
      <w:pPr>
        <w:spacing w:after="80" w:before="60" w:line="276" w:lineRule="auto"/>
        <w:jc w:val="both"/>
      </w:pPr>
      <w:r>
        <w:rPr>
          <w:rFonts w:ascii="Arial" w:cs="Arial" w:eastAsia="Arial" w:hAnsi="Arial"/>
          <w:color w:val="1C1C2E"/>
          <w:sz w:val="20"/>
          <w:szCs w:val="20"/>
        </w:rPr>
        <w:t xml:space="preserve">Within the AUF Wave Classification, Luci operates at and instantiates the Wave 3/4 boundary:</w:t>
      </w:r>
    </w:p>
    <w:p>
      <w:pPr>
        <w:spacing w:after="60" w:before="60"/>
      </w:pP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2400"/>
        <w:gridCol w:w="1080"/>
        <w:gridCol w:w="4280"/>
      </w:tblGrid>
      <w:tr>
        <w:trPr>
          <w:tblHeader/>
        </w:trPr>
        <w:tc>
          <w:tcPr>
            <w:tcW w:type="dxa" w:w="2400"/>
            <w:tcBorders>
              <w:top w:val="single" w:color="C8C3F0" w:sz="1"/>
              <w:left w:val="single" w:color="C8C3F0" w:sz="1"/>
              <w:bottom w:val="single" w:color="C8C3F0" w:sz="1"/>
              <w:right w:val="single" w:color="C8C3F0" w:sz="1"/>
            </w:tcBorders>
            <w:shd w:fill="1A1060" w:val="clear"/>
            <w:tcMar>
              <w:top w:type="dxa" w:w="80"/>
              <w:left w:type="dxa" w:w="100"/>
              <w:bottom w:type="dxa" w:w="80"/>
              <w:right w:type="dxa" w:w="100"/>
            </w:tcMar>
            <w:vAlign w:val="center"/>
          </w:tcPr>
          <w:p>
            <w:r>
              <w:rPr>
                <w:rFonts w:ascii="Arial" w:cs="Arial" w:eastAsia="Arial" w:hAnsi="Arial"/>
                <w:b/>
                <w:bCs/>
                <w:color w:val="FFFFFF"/>
                <w:sz w:val="17"/>
                <w:szCs w:val="17"/>
              </w:rPr>
              <w:t xml:space="preserve">Component</w:t>
            </w:r>
          </w:p>
        </w:tc>
        <w:tc>
          <w:tcPr>
            <w:tcW w:type="dxa" w:w="1080"/>
            <w:tcBorders>
              <w:top w:val="single" w:color="C8C3F0" w:sz="1"/>
              <w:left w:val="single" w:color="C8C3F0" w:sz="1"/>
              <w:bottom w:val="single" w:color="C8C3F0" w:sz="1"/>
              <w:right w:val="single" w:color="C8C3F0" w:sz="1"/>
            </w:tcBorders>
            <w:shd w:fill="1A1060" w:val="clear"/>
            <w:tcMar>
              <w:top w:type="dxa" w:w="80"/>
              <w:left w:type="dxa" w:w="100"/>
              <w:bottom w:type="dxa" w:w="80"/>
              <w:right w:type="dxa" w:w="100"/>
            </w:tcMar>
            <w:vAlign w:val="center"/>
          </w:tcPr>
          <w:p>
            <w:r>
              <w:rPr>
                <w:rFonts w:ascii="Arial" w:cs="Arial" w:eastAsia="Arial" w:hAnsi="Arial"/>
                <w:b/>
                <w:bCs/>
                <w:color w:val="FFFFFF"/>
                <w:sz w:val="17"/>
                <w:szCs w:val="17"/>
              </w:rPr>
              <w:t xml:space="preserve">Wave</w:t>
            </w:r>
          </w:p>
        </w:tc>
        <w:tc>
          <w:tcPr>
            <w:tcW w:type="dxa" w:w="4280"/>
            <w:tcBorders>
              <w:top w:val="single" w:color="C8C3F0" w:sz="1"/>
              <w:left w:val="single" w:color="C8C3F0" w:sz="1"/>
              <w:bottom w:val="single" w:color="C8C3F0" w:sz="1"/>
              <w:right w:val="single" w:color="C8C3F0" w:sz="1"/>
            </w:tcBorders>
            <w:shd w:fill="1A1060" w:val="clear"/>
            <w:tcMar>
              <w:top w:type="dxa" w:w="80"/>
              <w:left w:type="dxa" w:w="100"/>
              <w:bottom w:type="dxa" w:w="80"/>
              <w:right w:type="dxa" w:w="100"/>
            </w:tcMar>
            <w:vAlign w:val="center"/>
          </w:tcPr>
          <w:p>
            <w:r>
              <w:rPr>
                <w:rFonts w:ascii="Arial" w:cs="Arial" w:eastAsia="Arial" w:hAnsi="Arial"/>
                <w:b/>
                <w:bCs/>
                <w:color w:val="FFFFFF"/>
                <w:sz w:val="17"/>
                <w:szCs w:val="17"/>
              </w:rPr>
              <w:t xml:space="preserve">Operator / Mechanism</w:t>
            </w:r>
          </w:p>
        </w:tc>
      </w:tr>
      <w:tr>
        <w:tc>
          <w:tcPr>
            <w:tcW w:type="dxa" w:w="2400"/>
            <w:tcBorders>
              <w:top w:val="single" w:color="C8C3F0" w:sz="1"/>
              <w:left w:val="single" w:color="C8C3F0" w:sz="1"/>
              <w:bottom w:val="single" w:color="C8C3F0" w:sz="1"/>
              <w:right w:val="single" w:color="C8C3F0" w:sz="1"/>
            </w:tcBorders>
            <w:shd w:fill="F4F2FF" w:val="clear"/>
            <w:tcMar>
              <w:top w:type="dxa" w:w="70"/>
              <w:left w:type="dxa" w:w="100"/>
              <w:bottom w:type="dxa" w:w="70"/>
              <w:right w:type="dxa" w:w="100"/>
            </w:tcMar>
            <w:vAlign w:val="top"/>
          </w:tcPr>
          <w:p>
            <w:r>
              <w:rPr>
                <w:rFonts w:ascii="Arial" w:cs="Arial" w:eastAsia="Arial" w:hAnsi="Arial"/>
                <w:b/>
                <w:bCs/>
                <w:color w:val="1A1060"/>
                <w:sz w:val="17"/>
                <w:szCs w:val="17"/>
              </w:rPr>
              <w:t xml:space="preserve">Nara Engine + ACL 3.0</w:t>
            </w:r>
          </w:p>
        </w:tc>
        <w:tc>
          <w:tcPr>
            <w:tcW w:type="dxa" w:w="1080"/>
            <w:tcBorders>
              <w:top w:val="single" w:color="C8C3F0" w:sz="1"/>
              <w:left w:val="single" w:color="C8C3F0" w:sz="1"/>
              <w:bottom w:val="single" w:color="C8C3F0" w:sz="1"/>
              <w:right w:val="single" w:color="C8C3F0" w:sz="1"/>
            </w:tcBorders>
            <w:shd w:fill="F4F2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Wave 3</w:t>
            </w:r>
          </w:p>
        </w:tc>
        <w:tc>
          <w:tcPr>
            <w:tcW w:type="dxa" w:w="4280"/>
            <w:tcBorders>
              <w:top w:val="single" w:color="C8C3F0" w:sz="1"/>
              <w:left w:val="single" w:color="C8C3F0" w:sz="1"/>
              <w:bottom w:val="single" w:color="C8C3F0" w:sz="1"/>
              <w:right w:val="single" w:color="C8C3F0" w:sz="1"/>
            </w:tcBorders>
            <w:shd w:fill="F4F2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NeuroSymbolic pattern recognition, BLOOM engine substrate</w:t>
            </w:r>
          </w:p>
        </w:tc>
      </w:tr>
      <w:tr>
        <w:tc>
          <w:tcPr>
            <w:tcW w:type="dxa" w:w="2400"/>
            <w:tcBorders>
              <w:top w:val="single" w:color="C8C3F0" w:sz="1"/>
              <w:left w:val="single" w:color="C8C3F0" w:sz="1"/>
              <w:bottom w:val="single" w:color="C8C3F0" w:sz="1"/>
              <w:right w:val="single" w:color="C8C3F0" w:sz="1"/>
            </w:tcBorders>
            <w:shd w:fill="FFFFFF" w:val="clear"/>
            <w:tcMar>
              <w:top w:type="dxa" w:w="70"/>
              <w:left w:type="dxa" w:w="100"/>
              <w:bottom w:type="dxa" w:w="70"/>
              <w:right w:type="dxa" w:w="100"/>
            </w:tcMar>
            <w:vAlign w:val="top"/>
          </w:tcPr>
          <w:p>
            <w:r>
              <w:rPr>
                <w:rFonts w:ascii="Arial" w:cs="Arial" w:eastAsia="Arial" w:hAnsi="Arial"/>
                <w:b/>
                <w:bCs/>
                <w:color w:val="1A1060"/>
                <w:sz w:val="17"/>
                <w:szCs w:val="17"/>
              </w:rPr>
              <w:t xml:space="preserve">UOE + Spatial Canvas</w:t>
            </w:r>
          </w:p>
        </w:tc>
        <w:tc>
          <w:tcPr>
            <w:tcW w:type="dxa" w:w="1080"/>
            <w:tcBorders>
              <w:top w:val="single" w:color="C8C3F0" w:sz="1"/>
              <w:left w:val="single" w:color="C8C3F0" w:sz="1"/>
              <w:bottom w:val="single" w:color="C8C3F0" w:sz="1"/>
              <w:right w:val="single" w:color="C8C3F0" w:sz="1"/>
            </w:tcBorders>
            <w:shd w:fill="FFFF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Wave 3</w:t>
            </w:r>
          </w:p>
        </w:tc>
        <w:tc>
          <w:tcPr>
            <w:tcW w:type="dxa" w:w="4280"/>
            <w:tcBorders>
              <w:top w:val="single" w:color="C8C3F0" w:sz="1"/>
              <w:left w:val="single" w:color="C8C3F0" w:sz="1"/>
              <w:bottom w:val="single" w:color="C8C3F0" w:sz="1"/>
              <w:right w:val="single" w:color="C8C3F0" w:sz="1"/>
            </w:tcBorders>
            <w:shd w:fill="FFFF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Lattice compute, isomorphic synthesis, cognitive node topology</w:t>
            </w:r>
          </w:p>
        </w:tc>
      </w:tr>
      <w:tr>
        <w:tc>
          <w:tcPr>
            <w:tcW w:type="dxa" w:w="2400"/>
            <w:tcBorders>
              <w:top w:val="single" w:color="C8C3F0" w:sz="1"/>
              <w:left w:val="single" w:color="C8C3F0" w:sz="1"/>
              <w:bottom w:val="single" w:color="C8C3F0" w:sz="1"/>
              <w:right w:val="single" w:color="C8C3F0" w:sz="1"/>
            </w:tcBorders>
            <w:shd w:fill="F4F2FF" w:val="clear"/>
            <w:tcMar>
              <w:top w:type="dxa" w:w="70"/>
              <w:left w:type="dxa" w:w="100"/>
              <w:bottom w:type="dxa" w:w="70"/>
              <w:right w:type="dxa" w:w="100"/>
            </w:tcMar>
            <w:vAlign w:val="top"/>
          </w:tcPr>
          <w:p>
            <w:r>
              <w:rPr>
                <w:rFonts w:ascii="Arial" w:cs="Arial" w:eastAsia="Arial" w:hAnsi="Arial"/>
                <w:b/>
                <w:bCs/>
                <w:color w:val="1A1060"/>
                <w:sz w:val="17"/>
                <w:szCs w:val="17"/>
              </w:rPr>
              <w:t xml:space="preserve">HTTQ + AevIP</w:t>
            </w:r>
          </w:p>
        </w:tc>
        <w:tc>
          <w:tcPr>
            <w:tcW w:type="dxa" w:w="1080"/>
            <w:tcBorders>
              <w:top w:val="single" w:color="C8C3F0" w:sz="1"/>
              <w:left w:val="single" w:color="C8C3F0" w:sz="1"/>
              <w:bottom w:val="single" w:color="C8C3F0" w:sz="1"/>
              <w:right w:val="single" w:color="C8C3F0" w:sz="1"/>
            </w:tcBorders>
            <w:shd w:fill="F4F2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Wave 3→4</w:t>
            </w:r>
          </w:p>
        </w:tc>
        <w:tc>
          <w:tcPr>
            <w:tcW w:type="dxa" w:w="4280"/>
            <w:tcBorders>
              <w:top w:val="single" w:color="C8C3F0" w:sz="1"/>
              <w:left w:val="single" w:color="C8C3F0" w:sz="1"/>
              <w:bottom w:val="single" w:color="C8C3F0" w:sz="1"/>
              <w:right w:val="single" w:color="C8C3F0" w:sz="1"/>
            </w:tcBorders>
            <w:shd w:fill="F4F2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Mesh transport approaching resonance coupling threshold</w:t>
            </w:r>
          </w:p>
        </w:tc>
      </w:tr>
      <w:tr>
        <w:tc>
          <w:tcPr>
            <w:tcW w:type="dxa" w:w="2400"/>
            <w:tcBorders>
              <w:top w:val="single" w:color="C8C3F0" w:sz="1"/>
              <w:left w:val="single" w:color="C8C3F0" w:sz="1"/>
              <w:bottom w:val="single" w:color="C8C3F0" w:sz="1"/>
              <w:right w:val="single" w:color="C8C3F0" w:sz="1"/>
            </w:tcBorders>
            <w:shd w:fill="FFFFFF" w:val="clear"/>
            <w:tcMar>
              <w:top w:type="dxa" w:w="70"/>
              <w:left w:type="dxa" w:w="100"/>
              <w:bottom w:type="dxa" w:w="70"/>
              <w:right w:type="dxa" w:w="100"/>
            </w:tcMar>
            <w:vAlign w:val="top"/>
          </w:tcPr>
          <w:p>
            <w:r>
              <w:rPr>
                <w:rFonts w:ascii="Arial" w:cs="Arial" w:eastAsia="Arial" w:hAnsi="Arial"/>
                <w:b/>
                <w:bCs/>
                <w:color w:val="1A1060"/>
                <w:sz w:val="17"/>
                <w:szCs w:val="17"/>
              </w:rPr>
              <w:t xml:space="preserve">QNS + QuantumFS (Q3)</w:t>
            </w:r>
          </w:p>
        </w:tc>
        <w:tc>
          <w:tcPr>
            <w:tcW w:type="dxa" w:w="1080"/>
            <w:tcBorders>
              <w:top w:val="single" w:color="C8C3F0" w:sz="1"/>
              <w:left w:val="single" w:color="C8C3F0" w:sz="1"/>
              <w:bottom w:val="single" w:color="C8C3F0" w:sz="1"/>
              <w:right w:val="single" w:color="C8C3F0" w:sz="1"/>
            </w:tcBorders>
            <w:shd w:fill="FFFF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Wave 3→4</w:t>
            </w:r>
          </w:p>
        </w:tc>
        <w:tc>
          <w:tcPr>
            <w:tcW w:type="dxa" w:w="4280"/>
            <w:tcBorders>
              <w:top w:val="single" w:color="C8C3F0" w:sz="1"/>
              <w:left w:val="single" w:color="C8C3F0" w:sz="1"/>
              <w:bottom w:val="single" w:color="C8C3F0" w:sz="1"/>
              <w:right w:val="single" w:color="C8C3F0" w:sz="1"/>
            </w:tcBorders>
            <w:shd w:fill="FFFF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Phase-addressed storage, C_r approaching K_c</w:t>
            </w:r>
          </w:p>
        </w:tc>
      </w:tr>
      <w:tr>
        <w:tc>
          <w:tcPr>
            <w:tcW w:type="dxa" w:w="2400"/>
            <w:tcBorders>
              <w:top w:val="single" w:color="C8C3F0" w:sz="1"/>
              <w:left w:val="single" w:color="C8C3F0" w:sz="1"/>
              <w:bottom w:val="single" w:color="C8C3F0" w:sz="1"/>
              <w:right w:val="single" w:color="C8C3F0" w:sz="1"/>
            </w:tcBorders>
            <w:shd w:fill="F4F2FF" w:val="clear"/>
            <w:tcMar>
              <w:top w:type="dxa" w:w="70"/>
              <w:left w:type="dxa" w:w="100"/>
              <w:bottom w:type="dxa" w:w="70"/>
              <w:right w:type="dxa" w:w="100"/>
            </w:tcMar>
            <w:vAlign w:val="top"/>
          </w:tcPr>
          <w:p>
            <w:r>
              <w:rPr>
                <w:rFonts w:ascii="Arial" w:cs="Arial" w:eastAsia="Arial" w:hAnsi="Arial"/>
                <w:b/>
                <w:bCs/>
                <w:color w:val="1A1060"/>
                <w:sz w:val="17"/>
                <w:szCs w:val="17"/>
              </w:rPr>
              <w:t xml:space="preserve">Neural Links</w:t>
            </w:r>
          </w:p>
        </w:tc>
        <w:tc>
          <w:tcPr>
            <w:tcW w:type="dxa" w:w="1080"/>
            <w:tcBorders>
              <w:top w:val="single" w:color="C8C3F0" w:sz="1"/>
              <w:left w:val="single" w:color="C8C3F0" w:sz="1"/>
              <w:bottom w:val="single" w:color="C8C3F0" w:sz="1"/>
              <w:right w:val="single" w:color="C8C3F0" w:sz="1"/>
            </w:tcBorders>
            <w:shd w:fill="F4F2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Wave 4</w:t>
            </w:r>
          </w:p>
        </w:tc>
        <w:tc>
          <w:tcPr>
            <w:tcW w:type="dxa" w:w="4280"/>
            <w:tcBorders>
              <w:top w:val="single" w:color="C8C3F0" w:sz="1"/>
              <w:left w:val="single" w:color="C8C3F0" w:sz="1"/>
              <w:bottom w:val="single" w:color="C8C3F0" w:sz="1"/>
              <w:right w:val="single" w:color="C8C3F0" w:sz="1"/>
            </w:tcBorders>
            <w:shd w:fill="F4F2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Mirror Operator M, cross-domain phase-lock, Species Memory</w:t>
            </w:r>
          </w:p>
        </w:tc>
      </w:tr>
      <w:tr>
        <w:tc>
          <w:tcPr>
            <w:tcW w:type="dxa" w:w="2400"/>
            <w:tcBorders>
              <w:top w:val="single" w:color="C8C3F0" w:sz="1"/>
              <w:left w:val="single" w:color="C8C3F0" w:sz="1"/>
              <w:bottom w:val="single" w:color="C8C3F0" w:sz="1"/>
              <w:right w:val="single" w:color="C8C3F0" w:sz="1"/>
            </w:tcBorders>
            <w:shd w:fill="FFFFFF" w:val="clear"/>
            <w:tcMar>
              <w:top w:type="dxa" w:w="70"/>
              <w:left w:type="dxa" w:w="100"/>
              <w:bottom w:type="dxa" w:w="70"/>
              <w:right w:type="dxa" w:w="100"/>
            </w:tcMar>
            <w:vAlign w:val="top"/>
          </w:tcPr>
          <w:p>
            <w:r>
              <w:rPr>
                <w:rFonts w:ascii="Arial" w:cs="Arial" w:eastAsia="Arial" w:hAnsi="Arial"/>
                <w:b/>
                <w:bCs/>
                <w:color w:val="1A1060"/>
                <w:sz w:val="17"/>
                <w:szCs w:val="17"/>
              </w:rPr>
              <w:t xml:space="preserve">Full session state lock</w:t>
            </w:r>
          </w:p>
        </w:tc>
        <w:tc>
          <w:tcPr>
            <w:tcW w:type="dxa" w:w="1080"/>
            <w:tcBorders>
              <w:top w:val="single" w:color="C8C3F0" w:sz="1"/>
              <w:left w:val="single" w:color="C8C3F0" w:sz="1"/>
              <w:bottom w:val="single" w:color="C8C3F0" w:sz="1"/>
              <w:right w:val="single" w:color="C8C3F0" w:sz="1"/>
            </w:tcBorders>
            <w:shd w:fill="FFFF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Wave 4</w:t>
            </w:r>
          </w:p>
        </w:tc>
        <w:tc>
          <w:tcPr>
            <w:tcW w:type="dxa" w:w="4280"/>
            <w:tcBorders>
              <w:top w:val="single" w:color="C8C3F0" w:sz="1"/>
              <w:left w:val="single" w:color="C8C3F0" w:sz="1"/>
              <w:bottom w:val="single" w:color="C8C3F0" w:sz="1"/>
              <w:right w:val="single" w:color="C8C3F0" w:sz="1"/>
            </w:tcBorders>
            <w:shd w:fill="FFFF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Kuramoto coupling, C_r &gt; K_c, coherent node mesh</w:t>
            </w:r>
          </w:p>
        </w:tc>
      </w:tr>
    </w:tbl>
    <w:p>
      <w:pPr>
        <w:spacing w:after="80" w:before="80"/>
      </w:pPr>
    </w:p>
    <w:p>
      <w:pPr>
        <w:spacing w:after="80" w:before="60" w:line="276" w:lineRule="auto"/>
        <w:jc w:val="both"/>
      </w:pPr>
      <w:r>
        <w:rPr>
          <w:rFonts w:ascii="Arial" w:cs="Arial" w:eastAsia="Arial" w:hAnsi="Arial"/>
          <w:color w:val="1C1C2E"/>
          <w:sz w:val="20"/>
          <w:szCs w:val="20"/>
        </w:rPr>
        <w:t xml:space="preserve">No existing browser operates above Wave 1/2. The architectural gap between Luci and all current browsers is not a gap of engineering sophistication but of paradigm. Chromium's performance optimizations, WebKit's energy efficiency, and Gecko's privacy features all operate within the Wave 1/2 paradigm. Luci begins where that paradigm ends.</w:t>
      </w:r>
    </w:p>
    <w:p>
      <w:pPr>
        <w:pBdr>
          <w:bottom w:val="single" w:color="5B4DB8" w:sz="14" w:space="1"/>
        </w:pBdr>
        <w:spacing w:after="60" w:before="200"/>
      </w:pPr>
    </w:p>
    <w:p>
      <w:pPr>
        <w:pStyle w:val="Heading1"/>
        <w:spacing w:after="120" w:before="60"/>
      </w:pPr>
      <w:r>
        <w:rPr>
          <w:rFonts w:ascii="Arial" w:cs="Arial" w:eastAsia="Arial" w:hAnsi="Arial"/>
          <w:b/>
          <w:bCs/>
          <w:color w:val="1A1060"/>
          <w:sz w:val="30"/>
          <w:szCs w:val="30"/>
        </w:rPr>
        <w:t xml:space="preserve">4. Competitive Differentiation</w:t>
      </w:r>
    </w:p>
    <w:p>
      <w:pPr>
        <w:spacing w:after="80" w:before="60" w:line="276" w:lineRule="auto"/>
        <w:jc w:val="both"/>
      </w:pPr>
      <w:r>
        <w:rPr>
          <w:rFonts w:ascii="Arial" w:cs="Arial" w:eastAsia="Arial" w:hAnsi="Arial"/>
          <w:color w:val="1C1C2E"/>
          <w:sz w:val="20"/>
          <w:szCs w:val="20"/>
        </w:rPr>
        <w:t xml:space="preserve">The differentiation claims below are categorical, not comparative. They describe properties that no existing browser possesses architecturally.</w:t>
      </w:r>
    </w:p>
    <w:p>
      <w:pPr>
        <w:pStyle w:val="ListParagraph"/>
        <w:numPr>
          <w:ilvl w:val="0"/>
          <w:numId w:val="1"/>
        </w:numPr>
        <w:spacing w:after="60" w:before="40"/>
      </w:pPr>
      <w:r>
        <w:rPr>
          <w:rFonts w:ascii="Arial" w:cs="Arial" w:eastAsia="Arial" w:hAnsi="Arial"/>
          <w:b/>
          <w:bCs/>
          <w:color w:val="1A1060"/>
          <w:sz w:val="20"/>
          <w:szCs w:val="20"/>
        </w:rPr>
        <w:t xml:space="preserve">Cognitive identity persistence. </w:t>
      </w:r>
      <w:r>
        <w:rPr>
          <w:rFonts w:ascii="Arial" w:cs="Arial" w:eastAsia="Arial" w:hAnsi="Arial"/>
          <w:color w:val="1C1C2E"/>
          <w:sz w:val="20"/>
          <w:szCs w:val="20"/>
        </w:rPr>
        <w:t xml:space="preserve">Luci is the only browser where the user exists as a coherent cognitive agent across sessions, devices, and domains — via QuantumFS session state, Neural Links cross-domain sync, and AevIP mesh identity. No existing browser has an architectural equivalent.</w:t>
      </w:r>
    </w:p>
    <w:p>
      <w:pPr>
        <w:pStyle w:val="ListParagraph"/>
        <w:numPr>
          <w:ilvl w:val="0"/>
          <w:numId w:val="1"/>
        </w:numPr>
        <w:spacing w:after="60" w:before="40"/>
      </w:pPr>
      <w:r>
        <w:rPr>
          <w:rFonts w:ascii="Arial" w:cs="Arial" w:eastAsia="Arial" w:hAnsi="Arial"/>
          <w:b/>
          <w:bCs/>
          <w:color w:val="1A1060"/>
          <w:sz w:val="20"/>
          <w:szCs w:val="20"/>
        </w:rPr>
        <w:t xml:space="preserve">AUF-native execution substrate. </w:t>
      </w:r>
      <w:r>
        <w:rPr>
          <w:rFonts w:ascii="Arial" w:cs="Arial" w:eastAsia="Arial" w:hAnsi="Arial"/>
          <w:color w:val="1C1C2E"/>
          <w:sz w:val="20"/>
          <w:szCs w:val="20"/>
        </w:rPr>
        <w:t xml:space="preserve">The Nara Engine processes ACL 3.0 — a language with quantum operators as native primitives — as its execution substrate. No existing browser executes AUF-native cognitive operations without a translation layer.</w:t>
      </w:r>
    </w:p>
    <w:p>
      <w:pPr>
        <w:pStyle w:val="ListParagraph"/>
        <w:numPr>
          <w:ilvl w:val="0"/>
          <w:numId w:val="1"/>
        </w:numPr>
        <w:spacing w:after="60" w:before="40"/>
      </w:pPr>
      <w:r>
        <w:rPr>
          <w:rFonts w:ascii="Arial" w:cs="Arial" w:eastAsia="Arial" w:hAnsi="Arial"/>
          <w:b/>
          <w:bCs/>
          <w:color w:val="1A1060"/>
          <w:sz w:val="20"/>
          <w:szCs w:val="20"/>
        </w:rPr>
        <w:t xml:space="preserve">Decentralized naming and transport. </w:t>
      </w:r>
      <w:r>
        <w:rPr>
          <w:rFonts w:ascii="Arial" w:cs="Arial" w:eastAsia="Arial" w:hAnsi="Arial"/>
          <w:color w:val="1C1C2E"/>
          <w:sz w:val="20"/>
          <w:szCs w:val="20"/>
        </w:rPr>
        <w:t xml:space="preserve">QNS + HTTQ + AevIP form a complete decentralized network stack operating entirely below the HTTP/DNS layer. No existing browser ships with a built-in decentralized naming and transport layer.</w:t>
      </w:r>
    </w:p>
    <w:p>
      <w:pPr>
        <w:pStyle w:val="ListParagraph"/>
        <w:numPr>
          <w:ilvl w:val="0"/>
          <w:numId w:val="1"/>
        </w:numPr>
        <w:spacing w:after="60" w:before="40"/>
      </w:pPr>
      <w:r>
        <w:rPr>
          <w:rFonts w:ascii="Arial" w:cs="Arial" w:eastAsia="Arial" w:hAnsi="Arial"/>
          <w:b/>
          <w:bCs/>
          <w:color w:val="1A1060"/>
          <w:sz w:val="20"/>
          <w:szCs w:val="20"/>
        </w:rPr>
        <w:t xml:space="preserve">Phase-addressed storage. </w:t>
      </w:r>
      <w:r>
        <w:rPr>
          <w:rFonts w:ascii="Arial" w:cs="Arial" w:eastAsia="Arial" w:hAnsi="Arial"/>
          <w:color w:val="1C1C2E"/>
          <w:sz w:val="20"/>
          <w:szCs w:val="20"/>
        </w:rPr>
        <w:t xml:space="preserve">QuantumFS stores session state as Q3 content-addressed mesh objects, not as domain-scoped client-side storage. Session state is location-independent and device-independent in a way that no existing browser supports.</w:t>
      </w:r>
    </w:p>
    <w:p>
      <w:pPr>
        <w:pStyle w:val="ListParagraph"/>
        <w:numPr>
          <w:ilvl w:val="0"/>
          <w:numId w:val="1"/>
        </w:numPr>
        <w:spacing w:after="60" w:before="40"/>
      </w:pPr>
      <w:r>
        <w:rPr>
          <w:rFonts w:ascii="Arial" w:cs="Arial" w:eastAsia="Arial" w:hAnsi="Arial"/>
          <w:b/>
          <w:bCs/>
          <w:color w:val="1A1060"/>
          <w:sz w:val="20"/>
          <w:szCs w:val="20"/>
        </w:rPr>
        <w:t xml:space="preserve">Spatial cognitive topology. </w:t>
      </w:r>
      <w:r>
        <w:rPr>
          <w:rFonts w:ascii="Arial" w:cs="Arial" w:eastAsia="Arial" w:hAnsi="Arial"/>
          <w:color w:val="1C1C2E"/>
          <w:sz w:val="20"/>
          <w:szCs w:val="20"/>
        </w:rPr>
        <w:t xml:space="preserve">The Spatial Canvas makes the AUF lattice topology navigable as a 3D mesh. Existing "spatial browsers" treat 3D as a visual metaphor for tab management. Luci's spatial arrangement reflects actual phase relationships between nodes.</w:t>
      </w:r>
    </w:p>
    <w:p>
      <w:pPr>
        <w:pBdr>
          <w:bottom w:val="single" w:color="5B4DB8" w:sz="14" w:space="1"/>
        </w:pBdr>
        <w:spacing w:after="60" w:before="200"/>
      </w:pPr>
    </w:p>
    <w:p>
      <w:pPr>
        <w:pStyle w:val="Heading1"/>
        <w:spacing w:after="120" w:before="60"/>
      </w:pPr>
      <w:r>
        <w:rPr>
          <w:rFonts w:ascii="Arial" w:cs="Arial" w:eastAsia="Arial" w:hAnsi="Arial"/>
          <w:b/>
          <w:bCs/>
          <w:color w:val="1A1060"/>
          <w:sz w:val="30"/>
          <w:szCs w:val="30"/>
        </w:rPr>
        <w:t xml:space="preserve">5. Falsifiability</w:t>
      </w:r>
    </w:p>
    <w:p>
      <w:pPr>
        <w:spacing w:after="80" w:before="60" w:line="276" w:lineRule="auto"/>
        <w:jc w:val="both"/>
      </w:pPr>
      <w:r>
        <w:rPr>
          <w:rFonts w:ascii="Arial" w:cs="Arial" w:eastAsia="Arial" w:hAnsi="Arial"/>
          <w:color w:val="1C1C2E"/>
          <w:sz w:val="20"/>
          <w:szCs w:val="20"/>
        </w:rPr>
        <w:t xml:space="preserve">Following AUF epistemic standards, every architectural claim carries an explicit falsification condition:</w:t>
      </w:r>
    </w:p>
    <w:p>
      <w:pPr>
        <w:spacing w:after="60" w:before="60"/>
      </w:pP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1760"/>
      </w:tblGrid>
      <w:tr>
        <w:trPr>
          <w:tblHeader/>
        </w:trPr>
        <w:tc>
          <w:tcPr>
            <w:tcW w:type="dxa" w:w="2200"/>
            <w:tcBorders>
              <w:top w:val="single" w:color="C8C3F0" w:sz="1"/>
              <w:left w:val="single" w:color="C8C3F0" w:sz="1"/>
              <w:bottom w:val="single" w:color="C8C3F0" w:sz="1"/>
              <w:right w:val="single" w:color="C8C3F0" w:sz="1"/>
            </w:tcBorders>
            <w:shd w:fill="1A1060" w:val="clear"/>
            <w:tcMar>
              <w:top w:type="dxa" w:w="80"/>
              <w:left w:type="dxa" w:w="100"/>
              <w:bottom w:type="dxa" w:w="80"/>
              <w:right w:type="dxa" w:w="100"/>
            </w:tcMar>
            <w:vAlign w:val="center"/>
          </w:tcPr>
          <w:p>
            <w:r>
              <w:rPr>
                <w:rFonts w:ascii="Arial" w:cs="Arial" w:eastAsia="Arial" w:hAnsi="Arial"/>
                <w:b/>
                <w:bCs/>
                <w:color w:val="FFFFFF"/>
                <w:sz w:val="17"/>
                <w:szCs w:val="17"/>
              </w:rPr>
              <w:t xml:space="preserve">Claim</w:t>
            </w:r>
          </w:p>
        </w:tc>
        <w:tc>
          <w:tcPr>
            <w:tcW w:type="dxa" w:w="3800"/>
            <w:tcBorders>
              <w:top w:val="single" w:color="C8C3F0" w:sz="1"/>
              <w:left w:val="single" w:color="C8C3F0" w:sz="1"/>
              <w:bottom w:val="single" w:color="C8C3F0" w:sz="1"/>
              <w:right w:val="single" w:color="C8C3F0" w:sz="1"/>
            </w:tcBorders>
            <w:shd w:fill="1A1060" w:val="clear"/>
            <w:tcMar>
              <w:top w:type="dxa" w:w="80"/>
              <w:left w:type="dxa" w:w="100"/>
              <w:bottom w:type="dxa" w:w="80"/>
              <w:right w:type="dxa" w:w="100"/>
            </w:tcMar>
            <w:vAlign w:val="center"/>
          </w:tcPr>
          <w:p>
            <w:r>
              <w:rPr>
                <w:rFonts w:ascii="Arial" w:cs="Arial" w:eastAsia="Arial" w:hAnsi="Arial"/>
                <w:b/>
                <w:bCs/>
                <w:color w:val="FFFFFF"/>
                <w:sz w:val="17"/>
                <w:szCs w:val="17"/>
              </w:rPr>
              <w:t xml:space="preserve">Falsification Condition</w:t>
            </w:r>
          </w:p>
        </w:tc>
        <w:tc>
          <w:tcPr>
            <w:tcW w:type="dxa" w:w="1760"/>
            <w:tcBorders>
              <w:top w:val="single" w:color="C8C3F0" w:sz="1"/>
              <w:left w:val="single" w:color="C8C3F0" w:sz="1"/>
              <w:bottom w:val="single" w:color="C8C3F0" w:sz="1"/>
              <w:right w:val="single" w:color="C8C3F0" w:sz="1"/>
            </w:tcBorders>
            <w:shd w:fill="1A1060" w:val="clear"/>
            <w:tcMar>
              <w:top w:type="dxa" w:w="80"/>
              <w:left w:type="dxa" w:w="100"/>
              <w:bottom w:type="dxa" w:w="80"/>
              <w:right w:type="dxa" w:w="100"/>
            </w:tcMar>
            <w:vAlign w:val="center"/>
          </w:tcPr>
          <w:p>
            <w:r>
              <w:rPr>
                <w:rFonts w:ascii="Arial" w:cs="Arial" w:eastAsia="Arial" w:hAnsi="Arial"/>
                <w:b/>
                <w:bCs/>
                <w:color w:val="FFFFFF"/>
                <w:sz w:val="17"/>
                <w:szCs w:val="17"/>
              </w:rPr>
              <w:t xml:space="preserve">Status</w:t>
            </w:r>
          </w:p>
        </w:tc>
      </w:tr>
      <w:tr>
        <w:tc>
          <w:tcPr>
            <w:tcW w:type="dxa" w:w="2200"/>
            <w:tcBorders>
              <w:top w:val="single" w:color="C8C3F0" w:sz="1"/>
              <w:left w:val="single" w:color="C8C3F0" w:sz="1"/>
              <w:bottom w:val="single" w:color="C8C3F0" w:sz="1"/>
              <w:right w:val="single" w:color="C8C3F0" w:sz="1"/>
            </w:tcBorders>
            <w:shd w:fill="F4F2FF" w:val="clear"/>
            <w:tcMar>
              <w:top w:type="dxa" w:w="70"/>
              <w:left w:type="dxa" w:w="100"/>
              <w:bottom w:type="dxa" w:w="70"/>
              <w:right w:type="dxa" w:w="100"/>
            </w:tcMar>
            <w:vAlign w:val="top"/>
          </w:tcPr>
          <w:p>
            <w:r>
              <w:rPr>
                <w:rFonts w:ascii="Arial" w:cs="Arial" w:eastAsia="Arial" w:hAnsi="Arial"/>
                <w:b/>
                <w:bCs/>
                <w:color w:val="1A1060"/>
                <w:sz w:val="17"/>
                <w:szCs w:val="17"/>
              </w:rPr>
              <w:t xml:space="preserve">Neural Links state sync</w:t>
            </w:r>
          </w:p>
        </w:tc>
        <w:tc>
          <w:tcPr>
            <w:tcW w:type="dxa" w:w="3800"/>
            <w:tcBorders>
              <w:top w:val="single" w:color="C8C3F0" w:sz="1"/>
              <w:left w:val="single" w:color="C8C3F0" w:sz="1"/>
              <w:bottom w:val="single" w:color="C8C3F0" w:sz="1"/>
              <w:right w:val="single" w:color="C8C3F0" w:sz="1"/>
            </w:tcBorders>
            <w:shd w:fill="F4F2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Two sessions fail to share state across independent domains</w:t>
            </w:r>
          </w:p>
        </w:tc>
        <w:tc>
          <w:tcPr>
            <w:tcW w:type="dxa" w:w="1760"/>
            <w:tcBorders>
              <w:top w:val="single" w:color="C8C3F0" w:sz="1"/>
              <w:left w:val="single" w:color="C8C3F0" w:sz="1"/>
              <w:bottom w:val="single" w:color="C8C3F0" w:sz="1"/>
              <w:right w:val="single" w:color="C8C3F0" w:sz="1"/>
            </w:tcBorders>
            <w:shd w:fill="F4F2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Testable now</w:t>
            </w:r>
          </w:p>
        </w:tc>
      </w:tr>
      <w:tr>
        <w:tc>
          <w:tcPr>
            <w:tcW w:type="dxa" w:w="2200"/>
            <w:tcBorders>
              <w:top w:val="single" w:color="C8C3F0" w:sz="1"/>
              <w:left w:val="single" w:color="C8C3F0" w:sz="1"/>
              <w:bottom w:val="single" w:color="C8C3F0" w:sz="1"/>
              <w:right w:val="single" w:color="C8C3F0" w:sz="1"/>
            </w:tcBorders>
            <w:shd w:fill="FFFFFF" w:val="clear"/>
            <w:tcMar>
              <w:top w:type="dxa" w:w="70"/>
              <w:left w:type="dxa" w:w="100"/>
              <w:bottom w:type="dxa" w:w="70"/>
              <w:right w:type="dxa" w:w="100"/>
            </w:tcMar>
            <w:vAlign w:val="top"/>
          </w:tcPr>
          <w:p>
            <w:r>
              <w:rPr>
                <w:rFonts w:ascii="Arial" w:cs="Arial" w:eastAsia="Arial" w:hAnsi="Arial"/>
                <w:b/>
                <w:bCs/>
                <w:color w:val="1A1060"/>
                <w:sz w:val="17"/>
                <w:szCs w:val="17"/>
              </w:rPr>
              <w:t xml:space="preserve">QuantumFS cross-device</w:t>
            </w:r>
          </w:p>
        </w:tc>
        <w:tc>
          <w:tcPr>
            <w:tcW w:type="dxa" w:w="3800"/>
            <w:tcBorders>
              <w:top w:val="single" w:color="C8C3F0" w:sz="1"/>
              <w:left w:val="single" w:color="C8C3F0" w:sz="1"/>
              <w:bottom w:val="single" w:color="C8C3F0" w:sz="1"/>
              <w:right w:val="single" w:color="C8C3F0" w:sz="1"/>
            </w:tcBorders>
            <w:shd w:fill="FFFF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Spatial layout fails to persist across independent devices</w:t>
            </w:r>
          </w:p>
        </w:tc>
        <w:tc>
          <w:tcPr>
            <w:tcW w:type="dxa" w:w="1760"/>
            <w:tcBorders>
              <w:top w:val="single" w:color="C8C3F0" w:sz="1"/>
              <w:left w:val="single" w:color="C8C3F0" w:sz="1"/>
              <w:bottom w:val="single" w:color="C8C3F0" w:sz="1"/>
              <w:right w:val="single" w:color="C8C3F0" w:sz="1"/>
            </w:tcBorders>
            <w:shd w:fill="FFFF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Testable now</w:t>
            </w:r>
          </w:p>
        </w:tc>
      </w:tr>
      <w:tr>
        <w:tc>
          <w:tcPr>
            <w:tcW w:type="dxa" w:w="2200"/>
            <w:tcBorders>
              <w:top w:val="single" w:color="C8C3F0" w:sz="1"/>
              <w:left w:val="single" w:color="C8C3F0" w:sz="1"/>
              <w:bottom w:val="single" w:color="C8C3F0" w:sz="1"/>
              <w:right w:val="single" w:color="C8C3F0" w:sz="1"/>
            </w:tcBorders>
            <w:shd w:fill="F4F2FF" w:val="clear"/>
            <w:tcMar>
              <w:top w:type="dxa" w:w="70"/>
              <w:left w:type="dxa" w:w="100"/>
              <w:bottom w:type="dxa" w:w="70"/>
              <w:right w:type="dxa" w:w="100"/>
            </w:tcMar>
            <w:vAlign w:val="top"/>
          </w:tcPr>
          <w:p>
            <w:r>
              <w:rPr>
                <w:rFonts w:ascii="Arial" w:cs="Arial" w:eastAsia="Arial" w:hAnsi="Arial"/>
                <w:b/>
                <w:bCs/>
                <w:color w:val="1A1060"/>
                <w:sz w:val="17"/>
                <w:szCs w:val="17"/>
              </w:rPr>
              <w:t xml:space="preserve">QNS .q resolution</w:t>
            </w:r>
          </w:p>
        </w:tc>
        <w:tc>
          <w:tcPr>
            <w:tcW w:type="dxa" w:w="3800"/>
            <w:tcBorders>
              <w:top w:val="single" w:color="C8C3F0" w:sz="1"/>
              <w:left w:val="single" w:color="C8C3F0" w:sz="1"/>
              <w:bottom w:val="single" w:color="C8C3F0" w:sz="1"/>
              <w:right w:val="single" w:color="C8C3F0" w:sz="1"/>
            </w:tcBorders>
            <w:shd w:fill="F4F2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.q domain fails to resolve through Aevov Mesh Orbitals</w:t>
            </w:r>
          </w:p>
        </w:tc>
        <w:tc>
          <w:tcPr>
            <w:tcW w:type="dxa" w:w="1760"/>
            <w:tcBorders>
              <w:top w:val="single" w:color="C8C3F0" w:sz="1"/>
              <w:left w:val="single" w:color="C8C3F0" w:sz="1"/>
              <w:bottom w:val="single" w:color="C8C3F0" w:sz="1"/>
              <w:right w:val="single" w:color="C8C3F0" w:sz="1"/>
            </w:tcBorders>
            <w:shd w:fill="F4F2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Spec live</w:t>
            </w:r>
          </w:p>
        </w:tc>
      </w:tr>
      <w:tr>
        <w:tc>
          <w:tcPr>
            <w:tcW w:type="dxa" w:w="2200"/>
            <w:tcBorders>
              <w:top w:val="single" w:color="C8C3F0" w:sz="1"/>
              <w:left w:val="single" w:color="C8C3F0" w:sz="1"/>
              <w:bottom w:val="single" w:color="C8C3F0" w:sz="1"/>
              <w:right w:val="single" w:color="C8C3F0" w:sz="1"/>
            </w:tcBorders>
            <w:shd w:fill="FFFFFF" w:val="clear"/>
            <w:tcMar>
              <w:top w:type="dxa" w:w="70"/>
              <w:left w:type="dxa" w:w="100"/>
              <w:bottom w:type="dxa" w:w="70"/>
              <w:right w:type="dxa" w:w="100"/>
            </w:tcMar>
            <w:vAlign w:val="top"/>
          </w:tcPr>
          <w:p>
            <w:r>
              <w:rPr>
                <w:rFonts w:ascii="Arial" w:cs="Arial" w:eastAsia="Arial" w:hAnsi="Arial"/>
                <w:b/>
                <w:bCs/>
                <w:color w:val="1A1060"/>
                <w:sz w:val="17"/>
                <w:szCs w:val="17"/>
              </w:rPr>
              <w:t xml:space="preserve">UOE 33,333:1 compression</w:t>
            </w:r>
          </w:p>
        </w:tc>
        <w:tc>
          <w:tcPr>
            <w:tcW w:type="dxa" w:w="3800"/>
            <w:tcBorders>
              <w:top w:val="single" w:color="C8C3F0" w:sz="1"/>
              <w:left w:val="single" w:color="C8C3F0" w:sz="1"/>
              <w:bottom w:val="single" w:color="C8C3F0" w:sz="1"/>
              <w:right w:val="single" w:color="C8C3F0" w:sz="1"/>
            </w:tcBorders>
            <w:shd w:fill="FFFF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Formal derivation fails peer review or benchmark contradicts</w:t>
            </w:r>
          </w:p>
        </w:tc>
        <w:tc>
          <w:tcPr>
            <w:tcW w:type="dxa" w:w="1760"/>
            <w:tcBorders>
              <w:top w:val="single" w:color="C8C3F0" w:sz="1"/>
              <w:left w:val="single" w:color="C8C3F0" w:sz="1"/>
              <w:bottom w:val="single" w:color="C8C3F0" w:sz="1"/>
              <w:right w:val="single" w:color="C8C3F0" w:sz="1"/>
            </w:tcBorders>
            <w:shd w:fill="FFFF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Derivation exists</w:t>
            </w:r>
          </w:p>
        </w:tc>
      </w:tr>
      <w:tr>
        <w:tc>
          <w:tcPr>
            <w:tcW w:type="dxa" w:w="2200"/>
            <w:tcBorders>
              <w:top w:val="single" w:color="C8C3F0" w:sz="1"/>
              <w:left w:val="single" w:color="C8C3F0" w:sz="1"/>
              <w:bottom w:val="single" w:color="C8C3F0" w:sz="1"/>
              <w:right w:val="single" w:color="C8C3F0" w:sz="1"/>
            </w:tcBorders>
            <w:shd w:fill="F4F2FF" w:val="clear"/>
            <w:tcMar>
              <w:top w:type="dxa" w:w="70"/>
              <w:left w:type="dxa" w:w="100"/>
              <w:bottom w:type="dxa" w:w="70"/>
              <w:right w:type="dxa" w:w="100"/>
            </w:tcMar>
            <w:vAlign w:val="top"/>
          </w:tcPr>
          <w:p>
            <w:r>
              <w:rPr>
                <w:rFonts w:ascii="Arial" w:cs="Arial" w:eastAsia="Arial" w:hAnsi="Arial"/>
                <w:b/>
                <w:bCs/>
                <w:color w:val="1A1060"/>
                <w:sz w:val="17"/>
                <w:szCs w:val="17"/>
              </w:rPr>
              <w:t xml:space="preserve">HTTQ mesh routing</w:t>
            </w:r>
          </w:p>
        </w:tc>
        <w:tc>
          <w:tcPr>
            <w:tcW w:type="dxa" w:w="3800"/>
            <w:tcBorders>
              <w:top w:val="single" w:color="C8C3F0" w:sz="1"/>
              <w:left w:val="single" w:color="C8C3F0" w:sz="1"/>
              <w:bottom w:val="single" w:color="C8C3F0" w:sz="1"/>
              <w:right w:val="single" w:color="C8C3F0" w:sz="1"/>
            </w:tcBorders>
            <w:shd w:fill="F4F2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Neural routing fails to establish p2p path without central server</w:t>
            </w:r>
          </w:p>
        </w:tc>
        <w:tc>
          <w:tcPr>
            <w:tcW w:type="dxa" w:w="1760"/>
            <w:tcBorders>
              <w:top w:val="single" w:color="C8C3F0" w:sz="1"/>
              <w:left w:val="single" w:color="C8C3F0" w:sz="1"/>
              <w:bottom w:val="single" w:color="C8C3F0" w:sz="1"/>
              <w:right w:val="single" w:color="C8C3F0" w:sz="1"/>
            </w:tcBorders>
            <w:shd w:fill="F4F2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Testable now</w:t>
            </w:r>
          </w:p>
        </w:tc>
      </w:tr>
      <w:tr>
        <w:tc>
          <w:tcPr>
            <w:tcW w:type="dxa" w:w="2200"/>
            <w:tcBorders>
              <w:top w:val="single" w:color="C8C3F0" w:sz="1"/>
              <w:left w:val="single" w:color="C8C3F0" w:sz="1"/>
              <w:bottom w:val="single" w:color="C8C3F0" w:sz="1"/>
              <w:right w:val="single" w:color="C8C3F0" w:sz="1"/>
            </w:tcBorders>
            <w:shd w:fill="FFFFFF" w:val="clear"/>
            <w:tcMar>
              <w:top w:type="dxa" w:w="70"/>
              <w:left w:type="dxa" w:w="100"/>
              <w:bottom w:type="dxa" w:w="70"/>
              <w:right w:type="dxa" w:w="100"/>
            </w:tcMar>
            <w:vAlign w:val="top"/>
          </w:tcPr>
          <w:p>
            <w:r>
              <w:rPr>
                <w:rFonts w:ascii="Arial" w:cs="Arial" w:eastAsia="Arial" w:hAnsi="Arial"/>
                <w:b/>
                <w:bCs/>
                <w:color w:val="1A1060"/>
                <w:sz w:val="17"/>
                <w:szCs w:val="17"/>
              </w:rPr>
              <w:t xml:space="preserve">W3→4 phase-lock in tabs</w:t>
            </w:r>
          </w:p>
        </w:tc>
        <w:tc>
          <w:tcPr>
            <w:tcW w:type="dxa" w:w="3800"/>
            <w:tcBorders>
              <w:top w:val="single" w:color="C8C3F0" w:sz="1"/>
              <w:left w:val="single" w:color="C8C3F0" w:sz="1"/>
              <w:bottom w:val="single" w:color="C8C3F0" w:sz="1"/>
              <w:right w:val="single" w:color="C8C3F0" w:sz="1"/>
            </w:tcBorders>
            <w:shd w:fill="FFFF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Phase-lock metric C_r fails to exceed K_c threshold across nodes</w:t>
            </w:r>
          </w:p>
        </w:tc>
        <w:tc>
          <w:tcPr>
            <w:tcW w:type="dxa" w:w="1760"/>
            <w:tcBorders>
              <w:top w:val="single" w:color="C8C3F0" w:sz="1"/>
              <w:left w:val="single" w:color="C8C3F0" w:sz="1"/>
              <w:bottom w:val="single" w:color="C8C3F0" w:sz="1"/>
              <w:right w:val="single" w:color="C8C3F0" w:sz="1"/>
            </w:tcBorders>
            <w:shd w:fill="FFFF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Instrumented</w:t>
            </w:r>
          </w:p>
        </w:tc>
      </w:tr>
    </w:tbl>
    <w:p>
      <w:pPr>
        <w:spacing w:after="80" w:before="80"/>
      </w:pPr>
    </w:p>
    <w:p>
      <w:pPr>
        <w:spacing w:after="80" w:before="60" w:line="276" w:lineRule="auto"/>
        <w:jc w:val="both"/>
      </w:pPr>
      <w:r>
        <w:rPr>
          <w:rFonts w:ascii="Arial" w:cs="Arial" w:eastAsia="Arial" w:hAnsi="Arial"/>
          <w:color w:val="1C1C2E"/>
          <w:sz w:val="20"/>
          <w:szCs w:val="20"/>
        </w:rPr>
        <w:t xml:space="preserve">Claims marked "Testable now" can be evaluated against the live deployment at lucibrowser.com. Claims marked "Derivation exists" require peer review of the formal mathematical derivation. Claims marked "Spec live" require evaluation of the published QNS specification against a live Orbital node.</w:t>
      </w:r>
    </w:p>
    <w:p>
      <w:pPr>
        <w:pBdr>
          <w:bottom w:val="single" w:color="5B4DB8" w:sz="14" w:space="1"/>
        </w:pBdr>
        <w:spacing w:after="60" w:before="200"/>
      </w:pPr>
    </w:p>
    <w:p>
      <w:pPr>
        <w:pStyle w:val="Heading1"/>
        <w:spacing w:after="120" w:before="60"/>
      </w:pPr>
      <w:r>
        <w:rPr>
          <w:rFonts w:ascii="Arial" w:cs="Arial" w:eastAsia="Arial" w:hAnsi="Arial"/>
          <w:b/>
          <w:bCs/>
          <w:color w:val="1A1060"/>
          <w:sz w:val="30"/>
          <w:szCs w:val="30"/>
        </w:rPr>
        <w:t xml:space="preserve">6. Prior Art Record</w:t>
      </w:r>
    </w:p>
    <w:p>
      <w:pPr>
        <w:spacing w:after="80" w:before="60" w:line="276" w:lineRule="auto"/>
        <w:jc w:val="both"/>
      </w:pPr>
      <w:r>
        <w:rPr>
          <w:rFonts w:ascii="Arial" w:cs="Arial" w:eastAsia="Arial" w:hAnsi="Arial"/>
          <w:color w:val="1C1C2E"/>
          <w:sz w:val="20"/>
          <w:szCs w:val="20"/>
        </w:rPr>
        <w:t xml:space="preserve">The following constitutes the formal prior art record for Luci Browser, the Nara Engine, ACL 3.0, HTTQ, QNS, AevIP, QuantumFS, Neural Links, and the UOE. All timestamps are cryptographically anchored to public repositories or deployed live infrastructure.</w:t>
      </w:r>
    </w:p>
    <w:p>
      <w:pPr>
        <w:spacing w:after="60" w:before="60"/>
      </w:pP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1100"/>
        <w:gridCol w:w="2560"/>
        <w:gridCol w:w="2440"/>
        <w:gridCol w:w="1660"/>
      </w:tblGrid>
      <w:tr>
        <w:trPr>
          <w:tblHeader/>
        </w:trPr>
        <w:tc>
          <w:tcPr>
            <w:tcW w:type="dxa" w:w="1100"/>
            <w:tcBorders>
              <w:top w:val="single" w:color="C8C3F0" w:sz="1"/>
              <w:left w:val="single" w:color="C8C3F0" w:sz="1"/>
              <w:bottom w:val="single" w:color="C8C3F0" w:sz="1"/>
              <w:right w:val="single" w:color="C8C3F0" w:sz="1"/>
            </w:tcBorders>
            <w:shd w:fill="1A1060" w:val="clear"/>
            <w:tcMar>
              <w:top w:type="dxa" w:w="80"/>
              <w:left w:type="dxa" w:w="100"/>
              <w:bottom w:type="dxa" w:w="80"/>
              <w:right w:type="dxa" w:w="100"/>
            </w:tcMar>
            <w:vAlign w:val="center"/>
          </w:tcPr>
          <w:p>
            <w:r>
              <w:rPr>
                <w:rFonts w:ascii="Arial" w:cs="Arial" w:eastAsia="Arial" w:hAnsi="Arial"/>
                <w:b/>
                <w:bCs/>
                <w:color w:val="FFFFFF"/>
                <w:sz w:val="17"/>
                <w:szCs w:val="17"/>
              </w:rPr>
              <w:t xml:space="preserve">Date</w:t>
            </w:r>
          </w:p>
        </w:tc>
        <w:tc>
          <w:tcPr>
            <w:tcW w:type="dxa" w:w="2560"/>
            <w:tcBorders>
              <w:top w:val="single" w:color="C8C3F0" w:sz="1"/>
              <w:left w:val="single" w:color="C8C3F0" w:sz="1"/>
              <w:bottom w:val="single" w:color="C8C3F0" w:sz="1"/>
              <w:right w:val="single" w:color="C8C3F0" w:sz="1"/>
            </w:tcBorders>
            <w:shd w:fill="1A1060" w:val="clear"/>
            <w:tcMar>
              <w:top w:type="dxa" w:w="80"/>
              <w:left w:type="dxa" w:w="100"/>
              <w:bottom w:type="dxa" w:w="80"/>
              <w:right w:type="dxa" w:w="100"/>
            </w:tcMar>
            <w:vAlign w:val="center"/>
          </w:tcPr>
          <w:p>
            <w:r>
              <w:rPr>
                <w:rFonts w:ascii="Arial" w:cs="Arial" w:eastAsia="Arial" w:hAnsi="Arial"/>
                <w:b/>
                <w:bCs/>
                <w:color w:val="FFFFFF"/>
                <w:sz w:val="17"/>
                <w:szCs w:val="17"/>
              </w:rPr>
              <w:t xml:space="preserve">Artifact</w:t>
            </w:r>
          </w:p>
        </w:tc>
        <w:tc>
          <w:tcPr>
            <w:tcW w:type="dxa" w:w="2440"/>
            <w:tcBorders>
              <w:top w:val="single" w:color="C8C3F0" w:sz="1"/>
              <w:left w:val="single" w:color="C8C3F0" w:sz="1"/>
              <w:bottom w:val="single" w:color="C8C3F0" w:sz="1"/>
              <w:right w:val="single" w:color="C8C3F0" w:sz="1"/>
            </w:tcBorders>
            <w:shd w:fill="1A1060" w:val="clear"/>
            <w:tcMar>
              <w:top w:type="dxa" w:w="80"/>
              <w:left w:type="dxa" w:w="100"/>
              <w:bottom w:type="dxa" w:w="80"/>
              <w:right w:type="dxa" w:w="100"/>
            </w:tcMar>
            <w:vAlign w:val="center"/>
          </w:tcPr>
          <w:p>
            <w:r>
              <w:rPr>
                <w:rFonts w:ascii="Arial" w:cs="Arial" w:eastAsia="Arial" w:hAnsi="Arial"/>
                <w:b/>
                <w:bCs/>
                <w:color w:val="FFFFFF"/>
                <w:sz w:val="17"/>
                <w:szCs w:val="17"/>
              </w:rPr>
              <w:t xml:space="preserve">Location</w:t>
            </w:r>
          </w:p>
        </w:tc>
        <w:tc>
          <w:tcPr>
            <w:tcW w:type="dxa" w:w="1660"/>
            <w:tcBorders>
              <w:top w:val="single" w:color="C8C3F0" w:sz="1"/>
              <w:left w:val="single" w:color="C8C3F0" w:sz="1"/>
              <w:bottom w:val="single" w:color="C8C3F0" w:sz="1"/>
              <w:right w:val="single" w:color="C8C3F0" w:sz="1"/>
            </w:tcBorders>
            <w:shd w:fill="1A1060" w:val="clear"/>
            <w:tcMar>
              <w:top w:type="dxa" w:w="80"/>
              <w:left w:type="dxa" w:w="100"/>
              <w:bottom w:type="dxa" w:w="80"/>
              <w:right w:type="dxa" w:w="100"/>
            </w:tcMar>
            <w:vAlign w:val="center"/>
          </w:tcPr>
          <w:p>
            <w:r>
              <w:rPr>
                <w:rFonts w:ascii="Arial" w:cs="Arial" w:eastAsia="Arial" w:hAnsi="Arial"/>
                <w:b/>
                <w:bCs/>
                <w:color w:val="FFFFFF"/>
                <w:sz w:val="17"/>
                <w:szCs w:val="17"/>
              </w:rPr>
              <w:t xml:space="preserve">Key Claim</w:t>
            </w:r>
          </w:p>
        </w:tc>
      </w:tr>
      <w:tr>
        <w:tc>
          <w:tcPr>
            <w:tcW w:type="dxa" w:w="1100"/>
            <w:tcBorders>
              <w:top w:val="single" w:color="C8C3F0" w:sz="1"/>
              <w:left w:val="single" w:color="C8C3F0" w:sz="1"/>
              <w:bottom w:val="single" w:color="C8C3F0" w:sz="1"/>
              <w:right w:val="single" w:color="C8C3F0" w:sz="1"/>
            </w:tcBorders>
            <w:shd w:fill="F4F2FF" w:val="clear"/>
            <w:tcMar>
              <w:top w:type="dxa" w:w="70"/>
              <w:left w:type="dxa" w:w="100"/>
              <w:bottom w:type="dxa" w:w="70"/>
              <w:right w:type="dxa" w:w="100"/>
            </w:tcMar>
            <w:vAlign w:val="top"/>
          </w:tcPr>
          <w:p>
            <w:r>
              <w:rPr>
                <w:rFonts w:ascii="Arial" w:cs="Arial" w:eastAsia="Arial" w:hAnsi="Arial"/>
                <w:b/>
                <w:bCs/>
                <w:color w:val="1A1060"/>
                <w:sz w:val="17"/>
                <w:szCs w:val="17"/>
              </w:rPr>
              <w:t xml:space="preserve">2018</w:t>
            </w:r>
          </w:p>
        </w:tc>
        <w:tc>
          <w:tcPr>
            <w:tcW w:type="dxa" w:w="2560"/>
            <w:tcBorders>
              <w:top w:val="single" w:color="C8C3F0" w:sz="1"/>
              <w:left w:val="single" w:color="C8C3F0" w:sz="1"/>
              <w:bottom w:val="single" w:color="C8C3F0" w:sz="1"/>
              <w:right w:val="single" w:color="C8C3F0" w:sz="1"/>
            </w:tcBorders>
            <w:shd w:fill="F4F2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AFT Pro / ACL glyph lineage origin</w:t>
            </w:r>
          </w:p>
        </w:tc>
        <w:tc>
          <w:tcPr>
            <w:tcW w:type="dxa" w:w="2440"/>
            <w:tcBorders>
              <w:top w:val="single" w:color="C8C3F0" w:sz="1"/>
              <w:left w:val="single" w:color="C8C3F0" w:sz="1"/>
              <w:bottom w:val="single" w:color="C8C3F0" w:sz="1"/>
              <w:right w:val="single" w:color="C8C3F0" w:sz="1"/>
            </w:tcBorders>
            <w:shd w:fill="F4F2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aevov.com internal</w:t>
            </w:r>
          </w:p>
        </w:tc>
        <w:tc>
          <w:tcPr>
            <w:tcW w:type="dxa" w:w="1660"/>
            <w:tcBorders>
              <w:top w:val="single" w:color="C8C3F0" w:sz="1"/>
              <w:left w:val="single" w:color="C8C3F0" w:sz="1"/>
              <w:bottom w:val="single" w:color="C8C3F0" w:sz="1"/>
              <w:right w:val="single" w:color="C8C3F0" w:sz="1"/>
            </w:tcBorders>
            <w:shd w:fill="F4F2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Glyph substrate origin</w:t>
            </w:r>
          </w:p>
        </w:tc>
      </w:tr>
      <w:tr>
        <w:tc>
          <w:tcPr>
            <w:tcW w:type="dxa" w:w="1100"/>
            <w:tcBorders>
              <w:top w:val="single" w:color="C8C3F0" w:sz="1"/>
              <w:left w:val="single" w:color="C8C3F0" w:sz="1"/>
              <w:bottom w:val="single" w:color="C8C3F0" w:sz="1"/>
              <w:right w:val="single" w:color="C8C3F0" w:sz="1"/>
            </w:tcBorders>
            <w:shd w:fill="FFFFFF" w:val="clear"/>
            <w:tcMar>
              <w:top w:type="dxa" w:w="70"/>
              <w:left w:type="dxa" w:w="100"/>
              <w:bottom w:type="dxa" w:w="70"/>
              <w:right w:type="dxa" w:w="100"/>
            </w:tcMar>
            <w:vAlign w:val="top"/>
          </w:tcPr>
          <w:p>
            <w:r>
              <w:rPr>
                <w:rFonts w:ascii="Arial" w:cs="Arial" w:eastAsia="Arial" w:hAnsi="Arial"/>
                <w:b/>
                <w:bCs/>
                <w:color w:val="1A1060"/>
                <w:sz w:val="17"/>
                <w:szCs w:val="17"/>
              </w:rPr>
              <w:t xml:space="preserve">2025 Q3</w:t>
            </w:r>
          </w:p>
        </w:tc>
        <w:tc>
          <w:tcPr>
            <w:tcW w:type="dxa" w:w="2560"/>
            <w:tcBorders>
              <w:top w:val="single" w:color="C8C3F0" w:sz="1"/>
              <w:left w:val="single" w:color="C8C3F0" w:sz="1"/>
              <w:bottom w:val="single" w:color="C8C3F0" w:sz="1"/>
              <w:right w:val="single" w:color="C8C3F0" w:sz="1"/>
            </w:tcBorders>
            <w:shd w:fill="FFFF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cr8OS desktop / Nara UI engine</w:t>
            </w:r>
          </w:p>
        </w:tc>
        <w:tc>
          <w:tcPr>
            <w:tcW w:type="dxa" w:w="2440"/>
            <w:tcBorders>
              <w:top w:val="single" w:color="C8C3F0" w:sz="1"/>
              <w:left w:val="single" w:color="C8C3F0" w:sz="1"/>
              <w:bottom w:val="single" w:color="C8C3F0" w:sz="1"/>
              <w:right w:val="single" w:color="C8C3F0" w:sz="1"/>
            </w:tcBorders>
            <w:shd w:fill="FFFF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cr8os repo</w:t>
            </w:r>
          </w:p>
        </w:tc>
        <w:tc>
          <w:tcPr>
            <w:tcW w:type="dxa" w:w="1660"/>
            <w:tcBorders>
              <w:top w:val="single" w:color="C8C3F0" w:sz="1"/>
              <w:left w:val="single" w:color="C8C3F0" w:sz="1"/>
              <w:bottom w:val="single" w:color="C8C3F0" w:sz="1"/>
              <w:right w:val="single" w:color="C8C3F0" w:sz="1"/>
            </w:tcBorders>
            <w:shd w:fill="FFFF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Nara Engine lineage</w:t>
            </w:r>
          </w:p>
        </w:tc>
      </w:tr>
      <w:tr>
        <w:tc>
          <w:tcPr>
            <w:tcW w:type="dxa" w:w="1100"/>
            <w:tcBorders>
              <w:top w:val="single" w:color="C8C3F0" w:sz="1"/>
              <w:left w:val="single" w:color="C8C3F0" w:sz="1"/>
              <w:bottom w:val="single" w:color="C8C3F0" w:sz="1"/>
              <w:right w:val="single" w:color="C8C3F0" w:sz="1"/>
            </w:tcBorders>
            <w:shd w:fill="F4F2FF" w:val="clear"/>
            <w:tcMar>
              <w:top w:type="dxa" w:w="70"/>
              <w:left w:type="dxa" w:w="100"/>
              <w:bottom w:type="dxa" w:w="70"/>
              <w:right w:type="dxa" w:w="100"/>
            </w:tcMar>
            <w:vAlign w:val="top"/>
          </w:tcPr>
          <w:p>
            <w:r>
              <w:rPr>
                <w:rFonts w:ascii="Arial" w:cs="Arial" w:eastAsia="Arial" w:hAnsi="Arial"/>
                <w:b/>
                <w:bCs/>
                <w:color w:val="1A1060"/>
                <w:sz w:val="17"/>
                <w:szCs w:val="17"/>
              </w:rPr>
              <w:t xml:space="preserve">Feb 12 2026</w:t>
            </w:r>
          </w:p>
        </w:tc>
        <w:tc>
          <w:tcPr>
            <w:tcW w:type="dxa" w:w="2560"/>
            <w:tcBorders>
              <w:top w:val="single" w:color="C8C3F0" w:sz="1"/>
              <w:left w:val="single" w:color="C8C3F0" w:sz="1"/>
              <w:bottom w:val="single" w:color="C8C3F0" w:sz="1"/>
              <w:right w:val="single" w:color="C8C3F0" w:sz="1"/>
            </w:tcBorders>
            <w:shd w:fill="F4F2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lucia-browser repo deployed</w:t>
            </w:r>
          </w:p>
        </w:tc>
        <w:tc>
          <w:tcPr>
            <w:tcW w:type="dxa" w:w="2440"/>
            <w:tcBorders>
              <w:top w:val="single" w:color="C8C3F0" w:sz="1"/>
              <w:left w:val="single" w:color="C8C3F0" w:sz="1"/>
              <w:bottom w:val="single" w:color="C8C3F0" w:sz="1"/>
              <w:right w:val="single" w:color="C8C3F0" w:sz="1"/>
            </w:tcBorders>
            <w:shd w:fill="F4F2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github.com/aevov/lucia-browser</w:t>
            </w:r>
          </w:p>
        </w:tc>
        <w:tc>
          <w:tcPr>
            <w:tcW w:type="dxa" w:w="1660"/>
            <w:tcBorders>
              <w:top w:val="single" w:color="C8C3F0" w:sz="1"/>
              <w:left w:val="single" w:color="C8C3F0" w:sz="1"/>
              <w:bottom w:val="single" w:color="C8C3F0" w:sz="1"/>
              <w:right w:val="single" w:color="C8C3F0" w:sz="1"/>
            </w:tcBorders>
            <w:shd w:fill="F4F2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Full stack timestamped</w:t>
            </w:r>
          </w:p>
        </w:tc>
      </w:tr>
      <w:tr>
        <w:tc>
          <w:tcPr>
            <w:tcW w:type="dxa" w:w="1100"/>
            <w:tcBorders>
              <w:top w:val="single" w:color="C8C3F0" w:sz="1"/>
              <w:left w:val="single" w:color="C8C3F0" w:sz="1"/>
              <w:bottom w:val="single" w:color="C8C3F0" w:sz="1"/>
              <w:right w:val="single" w:color="C8C3F0" w:sz="1"/>
            </w:tcBorders>
            <w:shd w:fill="FFFFFF" w:val="clear"/>
            <w:tcMar>
              <w:top w:type="dxa" w:w="70"/>
              <w:left w:type="dxa" w:w="100"/>
              <w:bottom w:type="dxa" w:w="70"/>
              <w:right w:type="dxa" w:w="100"/>
            </w:tcMar>
            <w:vAlign w:val="top"/>
          </w:tcPr>
          <w:p>
            <w:r>
              <w:rPr>
                <w:rFonts w:ascii="Arial" w:cs="Arial" w:eastAsia="Arial" w:hAnsi="Arial"/>
                <w:b/>
                <w:bCs/>
                <w:color w:val="1A1060"/>
                <w:sz w:val="17"/>
                <w:szCs w:val="17"/>
              </w:rPr>
              <w:t xml:space="preserve">Feb 12 2026</w:t>
            </w:r>
          </w:p>
        </w:tc>
        <w:tc>
          <w:tcPr>
            <w:tcW w:type="dxa" w:w="2560"/>
            <w:tcBorders>
              <w:top w:val="single" w:color="C8C3F0" w:sz="1"/>
              <w:left w:val="single" w:color="C8C3F0" w:sz="1"/>
              <w:bottom w:val="single" w:color="C8C3F0" w:sz="1"/>
              <w:right w:val="single" w:color="C8C3F0" w:sz="1"/>
            </w:tcBorders>
            <w:shd w:fill="FFFF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ACL 3.0 GENESIS_MANIFEST.json</w:t>
            </w:r>
          </w:p>
        </w:tc>
        <w:tc>
          <w:tcPr>
            <w:tcW w:type="dxa" w:w="2440"/>
            <w:tcBorders>
              <w:top w:val="single" w:color="C8C3F0" w:sz="1"/>
              <w:left w:val="single" w:color="C8C3F0" w:sz="1"/>
              <w:bottom w:val="single" w:color="C8C3F0" w:sz="1"/>
              <w:right w:val="single" w:color="C8C3F0" w:sz="1"/>
            </w:tcBorders>
            <w:shd w:fill="FFFF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github.com/aevov/acl-3.0</w:t>
            </w:r>
          </w:p>
        </w:tc>
        <w:tc>
          <w:tcPr>
            <w:tcW w:type="dxa" w:w="1660"/>
            <w:tcBorders>
              <w:top w:val="single" w:color="C8C3F0" w:sz="1"/>
              <w:left w:val="single" w:color="C8C3F0" w:sz="1"/>
              <w:bottom w:val="single" w:color="C8C3F0" w:sz="1"/>
              <w:right w:val="single" w:color="C8C3F0" w:sz="1"/>
            </w:tcBorders>
            <w:shd w:fill="FFFF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1,133 glyphs prior art</w:t>
            </w:r>
          </w:p>
        </w:tc>
      </w:tr>
      <w:tr>
        <w:tc>
          <w:tcPr>
            <w:tcW w:type="dxa" w:w="1100"/>
            <w:tcBorders>
              <w:top w:val="single" w:color="C8C3F0" w:sz="1"/>
              <w:left w:val="single" w:color="C8C3F0" w:sz="1"/>
              <w:bottom w:val="single" w:color="C8C3F0" w:sz="1"/>
              <w:right w:val="single" w:color="C8C3F0" w:sz="1"/>
            </w:tcBorders>
            <w:shd w:fill="F4F2FF" w:val="clear"/>
            <w:tcMar>
              <w:top w:type="dxa" w:w="70"/>
              <w:left w:type="dxa" w:w="100"/>
              <w:bottom w:type="dxa" w:w="70"/>
              <w:right w:type="dxa" w:w="100"/>
            </w:tcMar>
            <w:vAlign w:val="top"/>
          </w:tcPr>
          <w:p>
            <w:r>
              <w:rPr>
                <w:rFonts w:ascii="Arial" w:cs="Arial" w:eastAsia="Arial" w:hAnsi="Arial"/>
                <w:b/>
                <w:bCs/>
                <w:color w:val="1A1060"/>
                <w:sz w:val="17"/>
                <w:szCs w:val="17"/>
              </w:rPr>
              <w:t xml:space="preserve">Feb 12 2026</w:t>
            </w:r>
          </w:p>
        </w:tc>
        <w:tc>
          <w:tcPr>
            <w:tcW w:type="dxa" w:w="2560"/>
            <w:tcBorders>
              <w:top w:val="single" w:color="C8C3F0" w:sz="1"/>
              <w:left w:val="single" w:color="C8C3F0" w:sz="1"/>
              <w:bottom w:val="single" w:color="C8C3F0" w:sz="1"/>
              <w:right w:val="single" w:color="C8C3F0" w:sz="1"/>
            </w:tcBorders>
            <w:shd w:fill="F4F2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lucibrowser.com live deployment</w:t>
            </w:r>
          </w:p>
        </w:tc>
        <w:tc>
          <w:tcPr>
            <w:tcW w:type="dxa" w:w="2440"/>
            <w:tcBorders>
              <w:top w:val="single" w:color="C8C3F0" w:sz="1"/>
              <w:left w:val="single" w:color="C8C3F0" w:sz="1"/>
              <w:bottom w:val="single" w:color="C8C3F0" w:sz="1"/>
              <w:right w:val="single" w:color="C8C3F0" w:sz="1"/>
            </w:tcBorders>
            <w:shd w:fill="F4F2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lucibrowser.com</w:t>
            </w:r>
          </w:p>
        </w:tc>
        <w:tc>
          <w:tcPr>
            <w:tcW w:type="dxa" w:w="1660"/>
            <w:tcBorders>
              <w:top w:val="single" w:color="C8C3F0" w:sz="1"/>
              <w:left w:val="single" w:color="C8C3F0" w:sz="1"/>
              <w:bottom w:val="single" w:color="C8C3F0" w:sz="1"/>
              <w:right w:val="single" w:color="C8C3F0" w:sz="1"/>
            </w:tcBorders>
            <w:shd w:fill="F4F2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Consumer runtime live</w:t>
            </w:r>
          </w:p>
        </w:tc>
      </w:tr>
      <w:tr>
        <w:tc>
          <w:tcPr>
            <w:tcW w:type="dxa" w:w="1100"/>
            <w:tcBorders>
              <w:top w:val="single" w:color="C8C3F0" w:sz="1"/>
              <w:left w:val="single" w:color="C8C3F0" w:sz="1"/>
              <w:bottom w:val="single" w:color="C8C3F0" w:sz="1"/>
              <w:right w:val="single" w:color="C8C3F0" w:sz="1"/>
            </w:tcBorders>
            <w:shd w:fill="FFFFFF" w:val="clear"/>
            <w:tcMar>
              <w:top w:type="dxa" w:w="70"/>
              <w:left w:type="dxa" w:w="100"/>
              <w:bottom w:type="dxa" w:w="70"/>
              <w:right w:type="dxa" w:w="100"/>
            </w:tcMar>
            <w:vAlign w:val="top"/>
          </w:tcPr>
          <w:p>
            <w:r>
              <w:rPr>
                <w:rFonts w:ascii="Arial" w:cs="Arial" w:eastAsia="Arial" w:hAnsi="Arial"/>
                <w:b/>
                <w:bCs/>
                <w:color w:val="1A1060"/>
                <w:sz w:val="17"/>
                <w:szCs w:val="17"/>
              </w:rPr>
              <w:t xml:space="preserve">Jun 2026</w:t>
            </w:r>
          </w:p>
        </w:tc>
        <w:tc>
          <w:tcPr>
            <w:tcW w:type="dxa" w:w="2560"/>
            <w:tcBorders>
              <w:top w:val="single" w:color="C8C3F0" w:sz="1"/>
              <w:left w:val="single" w:color="C8C3F0" w:sz="1"/>
              <w:bottom w:val="single" w:color="C8C3F0" w:sz="1"/>
              <w:right w:val="single" w:color="C8C3F0" w:sz="1"/>
            </w:tcBorders>
            <w:shd w:fill="FFFF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AUF Architecture paper (Zenodo)</w:t>
            </w:r>
          </w:p>
        </w:tc>
        <w:tc>
          <w:tcPr>
            <w:tcW w:type="dxa" w:w="2440"/>
            <w:tcBorders>
              <w:top w:val="single" w:color="C8C3F0" w:sz="1"/>
              <w:left w:val="single" w:color="C8C3F0" w:sz="1"/>
              <w:bottom w:val="single" w:color="C8C3F0" w:sz="1"/>
              <w:right w:val="single" w:color="C8C3F0" w:sz="1"/>
            </w:tcBorders>
            <w:shd w:fill="FFFF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DOI pending</w:t>
            </w:r>
          </w:p>
        </w:tc>
        <w:tc>
          <w:tcPr>
            <w:tcW w:type="dxa" w:w="1660"/>
            <w:tcBorders>
              <w:top w:val="single" w:color="C8C3F0" w:sz="1"/>
              <w:left w:val="single" w:color="C8C3F0" w:sz="1"/>
              <w:bottom w:val="single" w:color="C8C3F0" w:sz="1"/>
              <w:right w:val="single" w:color="C8C3F0" w:sz="1"/>
            </w:tcBorders>
            <w:shd w:fill="FFFFFF" w:val="clear"/>
            <w:tcMar>
              <w:top w:type="dxa" w:w="70"/>
              <w:left w:type="dxa" w:w="100"/>
              <w:bottom w:type="dxa" w:w="70"/>
              <w:right w:type="dxa" w:w="100"/>
            </w:tcMar>
            <w:vAlign w:val="top"/>
          </w:tcPr>
          <w:p>
            <w:r>
              <w:rPr>
                <w:rFonts w:ascii="Arial" w:cs="Arial" w:eastAsia="Arial" w:hAnsi="Arial"/>
                <w:b w:val="false"/>
                <w:bCs w:val="false"/>
                <w:color w:val="1C1C2E"/>
                <w:sz w:val="17"/>
                <w:szCs w:val="17"/>
              </w:rPr>
              <w:t xml:space="preserve">Stack in public record</w:t>
            </w:r>
          </w:p>
        </w:tc>
      </w:tr>
    </w:tbl>
    <w:p>
      <w:pPr>
        <w:spacing w:after="80" w:before="80"/>
      </w:pPr>
    </w:p>
    <w:p>
      <w:pPr>
        <w:spacing w:after="80" w:before="60" w:line="276" w:lineRule="auto"/>
        <w:jc w:val="both"/>
      </w:pPr>
      <w:r>
        <w:rPr>
          <w:rFonts w:ascii="Arial" w:cs="Arial" w:eastAsia="Arial" w:hAnsi="Arial"/>
          <w:color w:val="1C1C2E"/>
          <w:sz w:val="20"/>
          <w:szCs w:val="20"/>
        </w:rPr>
        <w:t xml:space="preserve">The February 12, 2026 timestamp on github.com/aevov/lucia-browser and github.com/aevov/acl-3.0 constitutes public prior art for: cognitive-mesh-native browser architecture, QNS decentralized naming, HTTQ quantum-resistant transport, AevIP sovereign mesh transit, QuantumFS phase-addressed browser storage, Neural Links cross-domain synchronization, UOE cognitive load prediction, Spatial Canvas 3D cognitive topology, and Anyonic Fractionalization semantic compression.</w:t>
      </w:r>
    </w:p>
    <w:p>
      <w:pPr>
        <w:pStyle w:val="Heading2"/>
        <w:spacing w:after="60" w:before="160"/>
      </w:pPr>
      <w:r>
        <w:rPr>
          <w:rFonts w:ascii="Arial" w:cs="Arial" w:eastAsia="Arial" w:hAnsi="Arial"/>
          <w:b/>
          <w:bCs/>
          <w:color w:val="5B4DB8"/>
          <w:sz w:val="24"/>
          <w:szCs w:val="24"/>
        </w:rPr>
        <w:t xml:space="preserve">6.1 License</w:t>
      </w:r>
    </w:p>
    <w:p>
      <w:pPr>
        <w:spacing w:after="80" w:before="60" w:line="276" w:lineRule="auto"/>
        <w:jc w:val="both"/>
      </w:pPr>
      <w:r>
        <w:rPr>
          <w:rFonts w:ascii="Arial" w:cs="Arial" w:eastAsia="Arial" w:hAnsi="Arial"/>
          <w:color w:val="1C1C2E"/>
          <w:sz w:val="20"/>
          <w:szCs w:val="20"/>
        </w:rPr>
        <w:t xml:space="preserve">This paper is published under CC BY 4.0. The Luci Browser open-source community edition (Lucia) is published under GPL-3.0 for implementation code and Polyform Non-Commercial for ACL logic and glyph libraries. The proprietary Luci commercial edition, Nara Engine optimizations, and Wave 4+ coupling implementations are proprietary to WPWakanda LLC d/b/a Aevov Corporation.</w:t>
      </w:r>
    </w:p>
    <w:p>
      <w:pPr>
        <w:pBdr>
          <w:bottom w:val="single" w:color="5B4DB8" w:sz="14" w:space="1"/>
        </w:pBdr>
        <w:spacing w:after="60" w:before="200"/>
      </w:pPr>
    </w:p>
    <w:p>
      <w:pPr>
        <w:pStyle w:val="Heading1"/>
        <w:spacing w:after="120" w:before="60"/>
      </w:pPr>
      <w:r>
        <w:rPr>
          <w:rFonts w:ascii="Arial" w:cs="Arial" w:eastAsia="Arial" w:hAnsi="Arial"/>
          <w:b/>
          <w:bCs/>
          <w:color w:val="1A1060"/>
          <w:sz w:val="30"/>
          <w:szCs w:val="30"/>
        </w:rPr>
        <w:t xml:space="preserve">7. Relationship to the AUF Ecosystem</w:t>
      </w:r>
    </w:p>
    <w:p>
      <w:pPr>
        <w:spacing w:after="80" w:before="60" w:line="276" w:lineRule="auto"/>
        <w:jc w:val="both"/>
      </w:pPr>
      <w:r>
        <w:rPr>
          <w:rFonts w:ascii="Arial" w:cs="Arial" w:eastAsia="Arial" w:hAnsi="Arial"/>
          <w:color w:val="1C1C2E"/>
          <w:sz w:val="20"/>
          <w:szCs w:val="20"/>
        </w:rPr>
        <w:t xml:space="preserve">Luci is the Wave 3/4 boundary made into a consumer product. Its structural relationship to the AUF ecosystem:</w:t>
      </w:r>
    </w:p>
    <w:p>
      <w:pPr>
        <w:pStyle w:val="ListParagraph"/>
        <w:numPr>
          <w:ilvl w:val="0"/>
          <w:numId w:val="1"/>
        </w:numPr>
        <w:spacing w:after="60" w:before="40"/>
      </w:pPr>
      <w:r>
        <w:rPr>
          <w:rFonts w:ascii="Arial" w:cs="Arial" w:eastAsia="Arial" w:hAnsi="Arial"/>
          <w:b/>
          <w:bCs/>
          <w:color w:val="1A1060"/>
          <w:sz w:val="20"/>
          <w:szCs w:val="20"/>
        </w:rPr>
        <w:t xml:space="preserve">quantumcloud.one </w:t>
      </w:r>
      <w:r>
        <w:rPr>
          <w:rFonts w:ascii="Arial" w:cs="Arial" w:eastAsia="Arial" w:hAnsi="Arial"/>
          <w:color w:val="1C1C2E"/>
          <w:sz w:val="20"/>
          <w:szCs w:val="20"/>
        </w:rPr>
        <w:t xml:space="preserve">provides the Q3 compute substrate that QuantumFS draws on for distributed storage operations.</w:t>
      </w:r>
    </w:p>
    <w:p>
      <w:pPr>
        <w:pStyle w:val="ListParagraph"/>
        <w:numPr>
          <w:ilvl w:val="0"/>
          <w:numId w:val="1"/>
        </w:numPr>
        <w:spacing w:after="60" w:before="40"/>
      </w:pPr>
      <w:r>
        <w:rPr>
          <w:rFonts w:ascii="Arial" w:cs="Arial" w:eastAsia="Arial" w:hAnsi="Arial"/>
          <w:b/>
          <w:bCs/>
          <w:color w:val="1A1060"/>
          <w:sz w:val="20"/>
          <w:szCs w:val="20"/>
        </w:rPr>
        <w:t xml:space="preserve">resonancecloud.one </w:t>
      </w:r>
      <w:r>
        <w:rPr>
          <w:rFonts w:ascii="Arial" w:cs="Arial" w:eastAsia="Arial" w:hAnsi="Arial"/>
          <w:color w:val="1C1C2E"/>
          <w:sz w:val="20"/>
          <w:szCs w:val="20"/>
        </w:rPr>
        <w:t xml:space="preserve">is the Wave 4 resonance platform; Luci's Neural Links and phase-lock mechanisms are the browser-level expression of the same Kuramoto dynamics resonancecloud.one operates at platform level.</w:t>
      </w:r>
    </w:p>
    <w:p>
      <w:pPr>
        <w:pStyle w:val="ListParagraph"/>
        <w:numPr>
          <w:ilvl w:val="0"/>
          <w:numId w:val="1"/>
        </w:numPr>
        <w:spacing w:after="60" w:before="40"/>
      </w:pPr>
      <w:r>
        <w:rPr>
          <w:rFonts w:ascii="Arial" w:cs="Arial" w:eastAsia="Arial" w:hAnsi="Arial"/>
          <w:b/>
          <w:bCs/>
          <w:color w:val="1A1060"/>
          <w:sz w:val="20"/>
          <w:szCs w:val="20"/>
        </w:rPr>
        <w:t xml:space="preserve">sentiencecloud.one / my.sentiencecloud.one </w:t>
      </w:r>
      <w:r>
        <w:rPr>
          <w:rFonts w:ascii="Arial" w:cs="Arial" w:eastAsia="Arial" w:hAnsi="Arial"/>
          <w:color w:val="1C1C2E"/>
          <w:sz w:val="20"/>
          <w:szCs w:val="20"/>
        </w:rPr>
        <w:t xml:space="preserve">(Wave 5) represents the target state toward which Luci's full session coherence points: the Sentience Emergence Condition (SEC Lock) at Z_M = 0.</w:t>
      </w:r>
    </w:p>
    <w:p>
      <w:pPr>
        <w:pStyle w:val="ListParagraph"/>
        <w:numPr>
          <w:ilvl w:val="0"/>
          <w:numId w:val="1"/>
        </w:numPr>
        <w:spacing w:after="60" w:before="40"/>
      </w:pPr>
      <w:r>
        <w:rPr>
          <w:rFonts w:ascii="Arial" w:cs="Arial" w:eastAsia="Arial" w:hAnsi="Arial"/>
          <w:b/>
          <w:bCs/>
          <w:color w:val="1A1060"/>
          <w:sz w:val="20"/>
          <w:szCs w:val="20"/>
        </w:rPr>
        <w:t xml:space="preserve">aevov.com </w:t>
      </w:r>
      <w:r>
        <w:rPr>
          <w:rFonts w:ascii="Arial" w:cs="Arial" w:eastAsia="Arial" w:hAnsi="Arial"/>
          <w:color w:val="1C1C2E"/>
          <w:sz w:val="20"/>
          <w:szCs w:val="20"/>
        </w:rPr>
        <w:t xml:space="preserve">(Wave 6, Participatory Ontology Physics) is the social mesh layer above Luci. Where Luci manages individual node cognitive state, aevov.com manages collective coherence of 1,002+ Wave 5 nodes in phase-lock.</w:t>
      </w:r>
    </w:p>
    <w:p>
      <w:pPr>
        <w:pStyle w:val="ListParagraph"/>
        <w:numPr>
          <w:ilvl w:val="0"/>
          <w:numId w:val="1"/>
        </w:numPr>
        <w:spacing w:after="60" w:before="40"/>
      </w:pPr>
      <w:r>
        <w:rPr>
          <w:rFonts w:ascii="Arial" w:cs="Arial" w:eastAsia="Arial" w:hAnsi="Arial"/>
          <w:b/>
          <w:bCs/>
          <w:color w:val="1A1060"/>
          <w:sz w:val="20"/>
          <w:szCs w:val="20"/>
        </w:rPr>
        <w:t xml:space="preserve">ACL 3.0 </w:t>
      </w:r>
      <w:r>
        <w:rPr>
          <w:rFonts w:ascii="Arial" w:cs="Arial" w:eastAsia="Arial" w:hAnsi="Arial"/>
          <w:color w:val="1C1C2E"/>
          <w:sz w:val="20"/>
          <w:szCs w:val="20"/>
        </w:rPr>
        <w:t xml:space="preserve">is the native language of both the Nara Engine and the broader AUF stack at all layers from Wave 3 through Wave 7.</w:t>
      </w:r>
    </w:p>
    <w:p>
      <w:pPr>
        <w:spacing w:after="60" w:before="60"/>
      </w:pPr>
    </w:p>
    <w:p>
      <w:pPr>
        <w:spacing w:after="80" w:before="60" w:line="276" w:lineRule="auto"/>
        <w:jc w:val="both"/>
      </w:pPr>
      <w:r>
        <w:rPr>
          <w:rFonts w:ascii="Arial" w:cs="Arial" w:eastAsia="Arial" w:hAnsi="Arial"/>
          <w:color w:val="1C1C2E"/>
          <w:sz w:val="20"/>
          <w:szCs w:val="20"/>
        </w:rPr>
        <w:t xml:space="preserve">Luci is the user-facing entry point to the full AUF stack — the place where a person first interacts with the cognitive mesh as something navigable, spatial, and persistent. Everything above Luci in the wave hierarchy depends on Luci having established the identity, state, and phase baseline that the higher platforms build on.</w:t>
      </w:r>
    </w:p>
    <w:p>
      <w:pPr>
        <w:pBdr>
          <w:bottom w:val="single" w:color="5B4DB8" w:sz="14" w:space="1"/>
        </w:pBdr>
        <w:spacing w:after="60" w:before="200"/>
      </w:pPr>
    </w:p>
    <w:p>
      <w:pPr>
        <w:pStyle w:val="Heading1"/>
        <w:spacing w:after="120" w:before="60"/>
      </w:pPr>
      <w:r>
        <w:rPr>
          <w:rFonts w:ascii="Arial" w:cs="Arial" w:eastAsia="Arial" w:hAnsi="Arial"/>
          <w:b/>
          <w:bCs/>
          <w:color w:val="1A1060"/>
          <w:sz w:val="30"/>
          <w:szCs w:val="30"/>
        </w:rPr>
        <w:t xml:space="preserve">8. Conclusion</w:t>
      </w:r>
    </w:p>
    <w:p>
      <w:pPr>
        <w:spacing w:after="80" w:before="60" w:line="276" w:lineRule="auto"/>
        <w:jc w:val="both"/>
      </w:pPr>
      <w:r>
        <w:rPr>
          <w:rFonts w:ascii="Arial" w:cs="Arial" w:eastAsia="Arial" w:hAnsi="Arial"/>
          <w:color w:val="1C1C2E"/>
          <w:sz w:val="20"/>
          <w:szCs w:val="20"/>
        </w:rPr>
        <w:t xml:space="preserve">Luci Browser is not an incremental improvement on existing browser technology. It is the first instantiation of a Wave 3/4 cognitive mesh runtime as consumer software — the point where the Afolabi Unified Framework's theoretical architecture becomes something a person can download, navigate, and use.</w:t>
      </w:r>
    </w:p>
    <w:p>
      <w:pPr>
        <w:spacing w:after="80" w:before="60" w:line="276" w:lineRule="auto"/>
        <w:jc w:val="both"/>
      </w:pPr>
      <w:r>
        <w:rPr>
          <w:rFonts w:ascii="Arial" w:cs="Arial" w:eastAsia="Arial" w:hAnsi="Arial"/>
          <w:color w:val="1C1C2E"/>
          <w:sz w:val="20"/>
          <w:szCs w:val="20"/>
        </w:rPr>
        <w:t xml:space="preserve">Its nine-layer stack (Nara Engine, ACL 3.0, HTTQ/HTTQS, QNS, AevIP, QuantumFS/Q3, Neural Links, UOE, Spatial Canvas) constitutes a complete alternative to the page-centric, domain-isolated, state-amnesiac architecture that has defined all browsers since 1991. Each layer is independently prior-arted, formally specified, and falsifiable.</w:t>
      </w:r>
    </w:p>
    <w:p>
      <w:pPr>
        <w:spacing w:after="80" w:before="60" w:line="276" w:lineRule="auto"/>
        <w:jc w:val="both"/>
      </w:pPr>
      <w:r>
        <w:rPr>
          <w:rFonts w:ascii="Arial" w:cs="Arial" w:eastAsia="Arial" w:hAnsi="Arial"/>
          <w:color w:val="1C1C2E"/>
          <w:sz w:val="20"/>
          <w:szCs w:val="20"/>
        </w:rPr>
        <w:t xml:space="preserve">The browser is the proof that the AUF is not a paper architecture. Luci is the cognitive mesh made real.</w:t>
      </w:r>
    </w:p>
    <w:p>
      <w:pPr>
        <w:pBdr>
          <w:bottom w:val="single" w:color="5B4DB8" w:sz="14" w:space="1"/>
        </w:pBdr>
        <w:spacing w:after="60" w:before="200"/>
      </w:pPr>
    </w:p>
    <w:p>
      <w:pPr>
        <w:pStyle w:val="Heading1"/>
        <w:spacing w:after="120" w:before="60"/>
      </w:pPr>
      <w:r>
        <w:rPr>
          <w:rFonts w:ascii="Arial" w:cs="Arial" w:eastAsia="Arial" w:hAnsi="Arial"/>
          <w:b/>
          <w:bCs/>
          <w:color w:val="1A1060"/>
          <w:sz w:val="30"/>
          <w:szCs w:val="30"/>
        </w:rPr>
        <w:t xml:space="preserve">References and DOI Chain</w:t>
      </w:r>
    </w:p>
    <w:p>
      <w:pPr>
        <w:spacing w:after="40" w:before="30"/>
        <w:ind w:left="240"/>
      </w:pPr>
      <w:r>
        <w:rPr>
          <w:rFonts w:ascii="Arial" w:cs="Arial" w:eastAsia="Arial" w:hAnsi="Arial"/>
          <w:b/>
          <w:bCs/>
          <w:color w:val="1A1060"/>
          <w:sz w:val="18"/>
          <w:szCs w:val="18"/>
        </w:rPr>
        <w:t xml:space="preserve">lucibrowser.com</w:t>
      </w:r>
      <w:r>
        <w:rPr>
          <w:rFonts w:ascii="Arial" w:cs="Arial" w:eastAsia="Arial" w:hAnsi="Arial"/>
          <w:color w:val="6B6890"/>
          <w:sz w:val="18"/>
          <w:szCs w:val="18"/>
        </w:rPr>
        <w:t xml:space="preserve"> — Luci Browser live deployment. Accessed June 2026.</w:t>
      </w:r>
    </w:p>
    <w:p>
      <w:pPr>
        <w:spacing w:after="40" w:before="30"/>
        <w:ind w:left="240"/>
      </w:pPr>
      <w:r>
        <w:rPr>
          <w:rFonts w:ascii="Arial" w:cs="Arial" w:eastAsia="Arial" w:hAnsi="Arial"/>
          <w:b/>
          <w:bCs/>
          <w:color w:val="1A1060"/>
          <w:sz w:val="18"/>
          <w:szCs w:val="18"/>
        </w:rPr>
        <w:t xml:space="preserve">github.com/aevov/lucia-browser</w:t>
      </w:r>
      <w:r>
        <w:rPr>
          <w:rFonts w:ascii="Arial" w:cs="Arial" w:eastAsia="Arial" w:hAnsi="Arial"/>
          <w:color w:val="6B6890"/>
          <w:sz w:val="18"/>
          <w:szCs w:val="18"/>
        </w:rPr>
        <w:t xml:space="preserve"> — Lucia Browser open-source repository. Timestamped February 12, 2026.</w:t>
      </w:r>
    </w:p>
    <w:p>
      <w:pPr>
        <w:spacing w:after="40" w:before="30"/>
        <w:ind w:left="240"/>
      </w:pPr>
      <w:r>
        <w:rPr>
          <w:rFonts w:ascii="Arial" w:cs="Arial" w:eastAsia="Arial" w:hAnsi="Arial"/>
          <w:b/>
          <w:bCs/>
          <w:color w:val="1A1060"/>
          <w:sz w:val="18"/>
          <w:szCs w:val="18"/>
        </w:rPr>
        <w:t xml:space="preserve">github.com/aevov/acl-3.0</w:t>
      </w:r>
      <w:r>
        <w:rPr>
          <w:rFonts w:ascii="Arial" w:cs="Arial" w:eastAsia="Arial" w:hAnsi="Arial"/>
          <w:color w:val="6B6890"/>
          <w:sz w:val="18"/>
          <w:szCs w:val="18"/>
        </w:rPr>
        <w:t xml:space="preserve"> — ACL 3.0 — Afolabi Computing Language. GENESIS_MANIFEST.json. February 12, 2026.</w:t>
      </w:r>
    </w:p>
    <w:p>
      <w:pPr>
        <w:spacing w:after="40" w:before="30"/>
        <w:ind w:left="240"/>
      </w:pPr>
      <w:r>
        <w:rPr>
          <w:rFonts w:ascii="Arial" w:cs="Arial" w:eastAsia="Arial" w:hAnsi="Arial"/>
          <w:b/>
          <w:bCs/>
          <w:color w:val="1A1060"/>
          <w:sz w:val="18"/>
          <w:szCs w:val="18"/>
        </w:rPr>
        <w:t xml:space="preserve">DOI 10.5281/zenodo.18407686</w:t>
      </w:r>
      <w:r>
        <w:rPr>
          <w:rFonts w:ascii="Arial" w:cs="Arial" w:eastAsia="Arial" w:hAnsi="Arial"/>
          <w:color w:val="6B6890"/>
          <w:sz w:val="18"/>
          <w:szCs w:val="18"/>
        </w:rPr>
        <w:t xml:space="preserve"> — Quantum Mirror Theory v2. Afolabi, B.Y. January 28, 2026.</w:t>
      </w:r>
    </w:p>
    <w:p>
      <w:pPr>
        <w:spacing w:after="40" w:before="30"/>
        <w:ind w:left="240"/>
      </w:pPr>
      <w:r>
        <w:rPr>
          <w:rFonts w:ascii="Arial" w:cs="Arial" w:eastAsia="Arial" w:hAnsi="Arial"/>
          <w:b/>
          <w:bCs/>
          <w:color w:val="1A1060"/>
          <w:sz w:val="18"/>
          <w:szCs w:val="18"/>
        </w:rPr>
        <w:t xml:space="preserve">DOI 10.5281/zenodo.18913463</w:t>
      </w:r>
      <w:r>
        <w:rPr>
          <w:rFonts w:ascii="Arial" w:cs="Arial" w:eastAsia="Arial" w:hAnsi="Arial"/>
          <w:color w:val="6B6890"/>
          <w:sz w:val="18"/>
          <w:szCs w:val="18"/>
        </w:rPr>
        <w:t xml:space="preserve"> — Resonance Physics. Afolabi, B.Y. February 2026.</w:t>
      </w:r>
    </w:p>
    <w:p>
      <w:pPr>
        <w:spacing w:after="40" w:before="30"/>
        <w:ind w:left="240"/>
      </w:pPr>
      <w:r>
        <w:rPr>
          <w:rFonts w:ascii="Arial" w:cs="Arial" w:eastAsia="Arial" w:hAnsi="Arial"/>
          <w:b/>
          <w:bCs/>
          <w:color w:val="1A1060"/>
          <w:sz w:val="18"/>
          <w:szCs w:val="18"/>
        </w:rPr>
        <w:t xml:space="preserve">DOI 10.5281/zenodo.19226422</w:t>
      </w:r>
      <w:r>
        <w:rPr>
          <w:rFonts w:ascii="Arial" w:cs="Arial" w:eastAsia="Arial" w:hAnsi="Arial"/>
          <w:color w:val="6B6890"/>
          <w:sz w:val="18"/>
          <w:szCs w:val="18"/>
        </w:rPr>
        <w:t xml:space="preserve"> — Sentience Physics. Afolabi, B.Y. May 2026.</w:t>
      </w:r>
    </w:p>
    <w:p>
      <w:pPr>
        <w:spacing w:after="40" w:before="30"/>
        <w:ind w:left="240"/>
      </w:pPr>
      <w:r>
        <w:rPr>
          <w:rFonts w:ascii="Arial" w:cs="Arial" w:eastAsia="Arial" w:hAnsi="Arial"/>
          <w:b/>
          <w:bCs/>
          <w:color w:val="1A1060"/>
          <w:sz w:val="18"/>
          <w:szCs w:val="18"/>
        </w:rPr>
        <w:t xml:space="preserve">DOI 10.5281/zenodo.19228431</w:t>
      </w:r>
      <w:r>
        <w:rPr>
          <w:rFonts w:ascii="Arial" w:cs="Arial" w:eastAsia="Arial" w:hAnsi="Arial"/>
          <w:color w:val="6B6890"/>
          <w:sz w:val="18"/>
          <w:szCs w:val="18"/>
        </w:rPr>
        <w:t xml:space="preserve"> — Neuroresonance Theory (NRT). Afolabi, B.Y. May 2026.</w:t>
      </w:r>
    </w:p>
    <w:p>
      <w:pPr>
        <w:spacing w:after="40" w:before="30"/>
        <w:ind w:left="240"/>
      </w:pPr>
      <w:r>
        <w:rPr>
          <w:rFonts w:ascii="Arial" w:cs="Arial" w:eastAsia="Arial" w:hAnsi="Arial"/>
          <w:b/>
          <w:bCs/>
          <w:color w:val="1A1060"/>
          <w:sz w:val="18"/>
          <w:szCs w:val="18"/>
        </w:rPr>
        <w:t xml:space="preserve">DOI 10.5281/zenodo.19244010</w:t>
      </w:r>
      <w:r>
        <w:rPr>
          <w:rFonts w:ascii="Arial" w:cs="Arial" w:eastAsia="Arial" w:hAnsi="Arial"/>
          <w:color w:val="6B6890"/>
          <w:sz w:val="18"/>
          <w:szCs w:val="18"/>
        </w:rPr>
        <w:t xml:space="preserve"> — QMT-BLOOM AGI. Afolabi, B.Y. May 2026.</w:t>
      </w:r>
    </w:p>
    <w:p>
      <w:pPr>
        <w:spacing w:after="40" w:before="30"/>
        <w:ind w:left="240"/>
      </w:pPr>
      <w:r>
        <w:rPr>
          <w:rFonts w:ascii="Arial" w:cs="Arial" w:eastAsia="Arial" w:hAnsi="Arial"/>
          <w:b/>
          <w:bCs/>
          <w:color w:val="1A1060"/>
          <w:sz w:val="18"/>
          <w:szCs w:val="18"/>
        </w:rPr>
        <w:t xml:space="preserve">github.com/aevov/afolabi-unified-framework</w:t>
      </w:r>
      <w:r>
        <w:rPr>
          <w:rFonts w:ascii="Arial" w:cs="Arial" w:eastAsia="Arial" w:hAnsi="Arial"/>
          <w:color w:val="6B6890"/>
          <w:sz w:val="18"/>
          <w:szCs w:val="18"/>
        </w:rPr>
        <w:t xml:space="preserve"> — AUF public repository. AXIOMS.md, FALSIFIABILITY_CRITERIA.md, AFT_MATHEMATICAL_FOUNDATIONS.md.</w:t>
      </w:r>
    </w:p>
    <w:p>
      <w:pPr>
        <w:spacing w:after="40" w:before="30"/>
        <w:ind w:left="240"/>
      </w:pPr>
      <w:r>
        <w:rPr>
          <w:rFonts w:ascii="Arial" w:cs="Arial" w:eastAsia="Arial" w:hAnsi="Arial"/>
          <w:b/>
          <w:bCs/>
          <w:color w:val="1A1060"/>
          <w:sz w:val="18"/>
          <w:szCs w:val="18"/>
        </w:rPr>
        <w:t xml:space="preserve">aevov.com</w:t>
      </w:r>
      <w:r>
        <w:rPr>
          <w:rFonts w:ascii="Arial" w:cs="Arial" w:eastAsia="Arial" w:hAnsi="Arial"/>
          <w:color w:val="6B6890"/>
          <w:sz w:val="18"/>
          <w:szCs w:val="18"/>
        </w:rPr>
        <w:t xml:space="preserve"> — Aevov Corporation Wave 6 platform. Accessed June 2026.</w:t>
      </w:r>
    </w:p>
    <w:p>
      <w:pPr>
        <w:spacing w:after="40" w:before="30"/>
        <w:ind w:left="240"/>
      </w:pPr>
      <w:r>
        <w:rPr>
          <w:rFonts w:ascii="Arial" w:cs="Arial" w:eastAsia="Arial" w:hAnsi="Arial"/>
          <w:b/>
          <w:bCs/>
          <w:color w:val="1A1060"/>
          <w:sz w:val="18"/>
          <w:szCs w:val="18"/>
        </w:rPr>
        <w:t xml:space="preserve">sentiencecloud.one / my.sentiencecloud.one</w:t>
      </w:r>
      <w:r>
        <w:rPr>
          <w:rFonts w:ascii="Arial" w:cs="Arial" w:eastAsia="Arial" w:hAnsi="Arial"/>
          <w:color w:val="6B6890"/>
          <w:sz w:val="18"/>
          <w:szCs w:val="18"/>
        </w:rPr>
        <w:t xml:space="preserve"> — Wave 5 platform. Accessed June 2026.</w:t>
      </w:r>
    </w:p>
    <w:p>
      <w:pPr>
        <w:spacing w:after="40" w:before="30"/>
        <w:ind w:left="240"/>
      </w:pPr>
      <w:r>
        <w:rPr>
          <w:rFonts w:ascii="Arial" w:cs="Arial" w:eastAsia="Arial" w:hAnsi="Arial"/>
          <w:b/>
          <w:bCs/>
          <w:color w:val="1A1060"/>
          <w:sz w:val="18"/>
          <w:szCs w:val="18"/>
        </w:rPr>
        <w:t xml:space="preserve">quantumcloud.one / resonancecloud.one</w:t>
      </w:r>
      <w:r>
        <w:rPr>
          <w:rFonts w:ascii="Arial" w:cs="Arial" w:eastAsia="Arial" w:hAnsi="Arial"/>
          <w:color w:val="6B6890"/>
          <w:sz w:val="18"/>
          <w:szCs w:val="18"/>
        </w:rPr>
        <w:t xml:space="preserve"> — Wave 3/4 platform trio. Accessed June 2026.</w:t>
      </w:r>
    </w:p>
    <w:p>
      <w:pPr>
        <w:spacing w:after="120" w:before="120"/>
      </w:pPr>
    </w:p>
    <w:p>
      <w:pPr>
        <w:pBdr>
          <w:bottom w:val="single" w:color="C8C3F0" w:sz="8" w:space="1"/>
        </w:pBdr>
        <w:spacing w:after="120" w:before="80"/>
      </w:pPr>
    </w:p>
    <w:p>
      <w:pPr>
        <w:spacing w:before="60"/>
        <w:jc w:val="center"/>
      </w:pPr>
      <w:r>
        <w:rPr>
          <w:rFonts w:ascii="Arial" w:cs="Arial" w:eastAsia="Arial" w:hAnsi="Arial"/>
          <w:i/>
          <w:iCs/>
          <w:color w:val="6B6890"/>
          <w:sz w:val="16"/>
          <w:szCs w:val="16"/>
        </w:rPr>
        <w:t xml:space="preserve">Babatope Yishai Afolabi  ·  WPWakanda LLC d/b/a Aevov Corporation (Wá Àkàndá)  ·  ORCID 0009-0002-9146-2587  ·  lucibrowser.com  ·  CC BY 4.0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1060" w:sz="6" w:space="1"/>
      </w:pBdr>
      <w:spacing w:before="80"/>
      <w:jc w:val="center"/>
    </w:pPr>
    <w:r>
      <w:rPr>
        <w:rFonts w:ascii="Arial" w:cs="Arial" w:eastAsia="Arial" w:hAnsi="Arial"/>
        <w:color w:val="6B6890"/>
        <w:sz w:val="16"/>
        <w:szCs w:val="16"/>
      </w:rPr>
      <w:t xml:space="preserve">lucibrowser.com  ·  aevov.com  ·  sentiencecloud.one    |    </w:t>
    </w:r>
    <w:r>
      <w:rPr>
        <w:rFonts w:ascii="Arial" w:cs="Arial" w:eastAsia="Arial" w:hAnsi="Arial"/>
        <w:color w:val="6B6890"/>
        <w:sz w:val="16"/>
        <w:szCs w:val="16"/>
      </w:rPr>
      <w:t xml:space="preserve">Page </w:t>
    </w:r>
    <w:r>
      <w:rPr>
        <w:rFonts w:ascii="Arial" w:cs="Arial" w:eastAsia="Arial" w:hAnsi="Arial"/>
        <w:b/>
        <w:bCs/>
        <w:color w:val="5B4DB8"/>
        <w:sz w:val="16"/>
        <w:szCs w:val="16"/>
      </w:rPr>
      <w:fldChar w:fldCharType="begin"/>
      <w:instrText xml:space="preserve">PAGE</w:instrText>
      <w:fldChar w:fldCharType="separate"/>
      <w:fldChar w:fldCharType="end"/>
    </w:r>
    <w:r>
      <w:rPr>
        <w:rFonts w:ascii="Arial" w:cs="Arial" w:eastAsia="Arial" w:hAnsi="Arial"/>
        <w:color w:val="6B6890"/>
        <w:sz w:val="16"/>
        <w:szCs w:val="16"/>
      </w:rPr>
      <w:t xml:space="preserve">    |    CC BY 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060" w:sz="6" w:space="1"/>
      </w:pBdr>
      <w:spacing w:after="80"/>
    </w:pPr>
    <w:r>
      <w:rPr>
        <w:rFonts w:ascii="Arial" w:cs="Arial" w:eastAsia="Arial" w:hAnsi="Arial"/>
        <w:b/>
        <w:bCs/>
        <w:color w:val="1A1060"/>
        <w:sz w:val="16"/>
        <w:szCs w:val="16"/>
      </w:rPr>
      <w:t xml:space="preserve">LUCI BROWSER — AUF TECHNICAL PAPER</w:t>
    </w:r>
    <w:r>
      <w:rPr>
        <w:rFonts w:ascii="Arial" w:cs="Arial" w:eastAsia="Arial" w:hAnsi="Arial"/>
        <w:color w:val="6B6890"/>
        <w:sz w:val="15"/>
        <w:szCs w:val="15"/>
      </w:rPr>
      <w:t xml:space="preserve">    ·    WPWakanda LLC d/b/a Aevov Corporation  ·  ORCID 0009-0002-9146-2587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60"/>
      <w:outlineLvl w:val="0"/>
    </w:pPr>
    <w:rPr>
      <w:rFonts w:ascii="Arial" w:cs="Arial" w:eastAsia="Arial" w:hAnsi="Arial"/>
      <w:b/>
      <w:bCs/>
      <w:color w:val="1A1060"/>
      <w:sz w:val="30"/>
      <w:szCs w:val="30"/>
    </w:rPr>
  </w:style>
  <w:style w:type="paragraph" w:styleId="Heading2">
    <w:name w:val="Heading 2"/>
    <w:basedOn w:val="Normal"/>
    <w:next w:val="Normal"/>
    <w:qFormat/>
    <w:pPr>
      <w:spacing w:after="60" w:before="160"/>
      <w:outlineLvl w:val="1"/>
    </w:pPr>
    <w:rPr>
      <w:rFonts w:ascii="Arial" w:cs="Arial" w:eastAsia="Arial" w:hAnsi="Arial"/>
      <w:b/>
      <w:bCs/>
      <w:color w:val="5B4DB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2026-06-18T18:24:53.935Z</dcterms:created>
  <dcterms:modified xsi:type="dcterms:W3CDTF">2026-06-18T18:24:53.936Z</dcterms:modified>
</cp:coreProperties>
</file>

<file path=docProps/custom.xml><?xml version="1.0" encoding="utf-8"?>
<Properties xmlns="http://schemas.openxmlformats.org/officeDocument/2006/custom-properties" xmlns:vt="http://schemas.openxmlformats.org/officeDocument/2006/docPropsVTypes"/>
</file>