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34"/>
          <w:szCs w:val="34"/>
        </w:rPr>
        <w:t xml:space="preserve">THE QMT-BLOOM ROBOTICS EFFICIENCY THEOREM:</w:t>
      </w:r>
    </w:p>
    <w:p>
      <w:pPr>
        <w:spacing w:before="0" w:after="180"/>
        <w:jc w:val="center"/>
      </w:pPr>
      <w:r>
        <w:rPr>
          <w:rFonts w:ascii="Times New Roman" w:cs="Times New Roman" w:eastAsia="Times New Roman" w:hAnsi="Times New Roman"/>
          <w:b/>
          <w:bCs/>
          <w:color w:val="2E74B5"/>
          <w:sz w:val="28"/>
          <w:szCs w:val="28"/>
        </w:rPr>
        <w:t xml:space="preserve">THEORETICAL ENERGY EFFICIENCY GAINS OF 100–1000×</w:t>
      </w:r>
    </w:p>
    <w:p>
      <w:pPr>
        <w:spacing w:before="0" w:after="160"/>
        <w:jc w:val="center"/>
      </w:pPr>
      <w:r>
        <w:rPr>
          <w:rFonts w:ascii="Times New Roman" w:cs="Times New Roman" w:eastAsia="Times New Roman" w:hAnsi="Times New Roman"/>
          <w:i/>
          <w:iCs/>
          <w:color w:val="5A5A5A"/>
          <w:sz w:val="24"/>
          <w:szCs w:val="24"/>
        </w:rPr>
        <w:t xml:space="preserve">IN AUTONOMOUS ROBOTIC SYSTEMS UNDER N² SWARM COORDINATION,</w:t>
      </w:r>
    </w:p>
    <w:p>
      <w:pPr>
        <w:spacing w:before="0" w:after="200"/>
        <w:jc w:val="center"/>
      </w:pPr>
      <w:r>
        <w:rPr>
          <w:rFonts w:ascii="Times New Roman" w:cs="Times New Roman" w:eastAsia="Times New Roman" w:hAnsi="Times New Roman"/>
          <w:i/>
          <w:iCs/>
          <w:color w:val="5A5A5A"/>
          <w:sz w:val="24"/>
          <w:szCs w:val="24"/>
        </w:rPr>
        <w:t xml:space="preserve">APLO COMPUTE DENSITY, AND QIP FIELD-COHERENT TRANSPORT</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Autonomous robotic systems face three compounding energy bottlenecks that current architecture cannot resolve: (1) computational overhead — classical binary processors dissipate energy per instruction at rates set by the Landauer limit and current semiconductor technology, consuming the largest fraction of total robot energy budget in compute-intensive tasks; (2) communication overhead — TCP/IP protocol stack operations, cryptographic handshakes, retransmissions, and routing computations consume significant energy independent of payload; (3) coordination overhead — N robots coordinating shared state through bilateral message-passing require O(N²) messages per coordination cycle, making swarm energy cost superlinear in N under classical architecture.</w:t>
      </w:r>
    </w:p>
    <w:p>
      <w:pPr>
        <w:spacing w:before="100" w:after="140" w:line="360" w:lineRule="auto"/>
        <w:ind w:firstLine="720"/>
        <w:jc w:val="both"/>
      </w:pPr>
      <w:r>
        <w:rPr>
          <w:rFonts w:ascii="Times New Roman" w:cs="Times New Roman" w:eastAsia="Times New Roman" w:hAnsi="Times New Roman"/>
          <w:sz w:val="24"/>
          <w:szCs w:val="24"/>
        </w:rPr>
        <w:t xml:space="preserve">We present the QMT-BLOOM Robotics Efficiency Theorem: the combined application of (1) APLO Space-Optimised Programming Language (30× code density, reducing computational energy by approximately 30×); (2) QIP field-coherent transport (eliminating TCP/IP protocol overhead, reducing communication energy by the TCP/IP overhead fraction); and (3) N² swarm coordination under the Olukotun-Afolabi N² Collective Coherence Scaling Law (reducing coordination overhead from O(N²) messages to O(1) field state) produces theoretical total energy efficiency improvements of 100–1,000× for robotic swarms of N ≥ 100 units.</w:t>
      </w:r>
    </w:p>
    <w:p>
      <w:pPr>
        <w:spacing w:before="100" w:after="140" w:line="360" w:lineRule="auto"/>
        <w:ind w:firstLine="720"/>
        <w:jc w:val="both"/>
      </w:pPr>
      <w:r>
        <w:rPr>
          <w:rFonts w:ascii="Times New Roman" w:cs="Times New Roman" w:eastAsia="Times New Roman" w:hAnsi="Times New Roman"/>
          <w:sz w:val="24"/>
          <w:szCs w:val="24"/>
        </w:rPr>
        <w:t xml:space="preserve">We derive the efficiency theorem from first principles, establish its component contributions, identify the N-threshold at which each component becomes dominant, and present five falsifiable engineering predictions distinguishing QMT-BLOOM robotic energy performance from classical architecture. We additionally establish the security corollary: the elimination of TCP/IP eliminates the entire class of network-layer attack vectors that constitute the primary security vulnerability in connected robotic systems, with no energy cost — the security gain is a structural byproduct of the architecture, not an additional overhead.</w:t>
      </w:r>
    </w:p>
    <w:p>
      <w:pPr>
        <w:spacing w:before="100" w:after="140" w:line="360" w:lineRule="auto"/>
        <w:ind w:firstLine="720"/>
        <w:jc w:val="both"/>
      </w:pPr>
      <w:r>
        <w:rPr>
          <w:rFonts w:ascii="Times New Roman" w:cs="Times New Roman" w:eastAsia="Times New Roman" w:hAnsi="Times New Roman"/>
          <w:sz w:val="24"/>
          <w:szCs w:val="24"/>
        </w:rPr>
        <w:t xml:space="preserve">All claims are theoretical upper bounds on energy efficiency improvement. Measured performance will depend on implementation specifics, hardware generation, and deployment configuration. The theorem establishes the maximum achievable improvement, not a guaranteed measured result.</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robotics energy efficiency, swarm robotics, APLO, QIP, N² scaling law, Landauer limit, TCP/IP overhead, autonomous systems, robotic security, field-coherent coordination, AUF, Afolabi Unified Framework, BLOOM, collective robotics, battery efficiency, embedded systems, IoT security, swarm intelligence</w:t>
      </w:r>
    </w:p>
    <w:p>
      <w:pPr>
        <w:pStyle w:val="Heading1"/>
        <w:spacing w:before="360" w:after="180"/>
      </w:pPr>
      <w:r>
        <w:rPr>
          <w:rFonts w:ascii="Times New Roman" w:cs="Times New Roman" w:eastAsia="Times New Roman" w:hAnsi="Times New Roman"/>
          <w:b/>
          <w:bCs/>
          <w:sz w:val="30"/>
          <w:szCs w:val="30"/>
        </w:rPr>
        <w:t xml:space="preserve">1. Introduction: The Three Robotic Energy Bottlenecks</w:t>
      </w:r>
    </w:p>
    <w:p>
      <w:pPr>
        <w:spacing w:before="100" w:after="140" w:line="360" w:lineRule="auto"/>
        <w:ind w:firstLine="720"/>
        <w:jc w:val="both"/>
      </w:pPr>
      <w:r>
        <w:rPr>
          <w:rFonts w:ascii="Times New Roman" w:cs="Times New Roman" w:eastAsia="Times New Roman" w:hAnsi="Times New Roman"/>
          <w:sz w:val="24"/>
          <w:szCs w:val="24"/>
        </w:rPr>
        <w:t xml:space="preserve">The autonomous robot of 2026 is architecturally a mobile classical computer with actuators attached. Its intelligence runs on binary processors with instruction set architectures designed for maximum generality, not maximum efficiency. Its communication runs on TCP/IP — a protocol designed in 1974 for fault-tolerant packet routing, not for real-time embedded coordination. Its coordination with other robots runs through bilateral message exchange — a protocol that scales in communication overhead as N², not in capability.</w:t>
      </w:r>
    </w:p>
    <w:p>
      <w:pPr>
        <w:spacing w:before="100" w:after="140" w:line="360" w:lineRule="auto"/>
        <w:ind w:firstLine="720"/>
        <w:jc w:val="both"/>
      </w:pPr>
      <w:r>
        <w:rPr>
          <w:rFonts w:ascii="Times New Roman" w:cs="Times New Roman" w:eastAsia="Times New Roman" w:hAnsi="Times New Roman"/>
          <w:sz w:val="24"/>
          <w:szCs w:val="24"/>
        </w:rPr>
        <w:t xml:space="preserve">These three architectural choices — binary general-purpose compute, TCP/IP communication, bilateral coordination — were made for excellent reasons when they were made. They are now the primary constraints on robotic capability: battery life limits mission duration, TCP/IP overhead limits real-time performance, and bilateral coordination limits swarm scale.</w:t>
      </w:r>
    </w:p>
    <w:p>
      <w:pPr>
        <w:spacing w:before="100" w:after="140" w:line="360" w:lineRule="auto"/>
        <w:ind w:firstLine="720"/>
        <w:jc w:val="both"/>
      </w:pPr>
      <w:r>
        <w:rPr>
          <w:rFonts w:ascii="Times New Roman" w:cs="Times New Roman" w:eastAsia="Times New Roman" w:hAnsi="Times New Roman"/>
          <w:sz w:val="24"/>
          <w:szCs w:val="24"/>
        </w:rPr>
        <w:t xml:space="preserve">The QMT-BLOOM platform addresses all three simultaneously through architectural substitution, not incremental improvement. The efficiency gains are therefore multiplicative, not additive: each component reduction multiplies the gains of the others.</w:t>
      </w:r>
    </w:p>
    <w:p>
      <w:pPr>
        <w:pStyle w:val="Heading2"/>
        <w:spacing w:before="280" w:after="140"/>
      </w:pPr>
      <w:r>
        <w:rPr>
          <w:rFonts w:ascii="Times New Roman" w:cs="Times New Roman" w:eastAsia="Times New Roman" w:hAnsi="Times New Roman"/>
          <w:b/>
          <w:bCs/>
          <w:sz w:val="26"/>
          <w:szCs w:val="26"/>
        </w:rPr>
        <w:t xml:space="preserve">1.1 The Landauer Context</w:t>
      </w:r>
    </w:p>
    <w:p>
      <w:pPr>
        <w:spacing w:before="100" w:after="140" w:line="360" w:lineRule="auto"/>
        <w:ind w:firstLine="720"/>
        <w:jc w:val="both"/>
      </w:pPr>
      <w:r>
        <w:rPr>
          <w:rFonts w:ascii="Times New Roman" w:cs="Times New Roman" w:eastAsia="Times New Roman" w:hAnsi="Times New Roman"/>
          <w:sz w:val="24"/>
          <w:szCs w:val="24"/>
        </w:rPr>
        <w:t xml:space="preserve">The Landauer principle establishes the minimum energy required to erase one bit of information:</w:t>
      </w:r>
    </w:p>
    <w:p>
      <w:pPr>
        <w:spacing w:before="200" w:after="200"/>
        <w:jc w:val="center"/>
      </w:pPr>
      <w:r>
        <w:rPr>
          <w:rFonts w:ascii="Cambria Math" w:cs="Cambria Math" w:eastAsia="Cambria Math" w:hAnsi="Cambria Math"/>
          <w:i/>
          <w:iCs/>
          <w:color w:val="1F4E79"/>
          <w:sz w:val="26"/>
          <w:szCs w:val="26"/>
        </w:rPr>
        <w:t xml:space="preserve">E_Landauer = k_B · T · ln(2) ≈ 2.85 × 10^(-21) J at 300K</w:t>
      </w:r>
    </w:p>
    <w:p>
      <w:pPr>
        <w:spacing w:before="100" w:after="140" w:line="360" w:lineRule="auto"/>
        <w:ind w:firstLine="720"/>
        <w:jc w:val="both"/>
      </w:pPr>
      <w:r>
        <w:rPr>
          <w:rFonts w:ascii="Times New Roman" w:cs="Times New Roman" w:eastAsia="Times New Roman" w:hAnsi="Times New Roman"/>
          <w:sz w:val="24"/>
          <w:szCs w:val="24"/>
        </w:rPr>
        <w:t xml:space="preserve">Current CMOS processors dissipate approximately 10^4 to 10^6 times the Landauer minimum per bit operation — there is a factor of 10,000–1,000,000 between theoretical minimum and current silicon performance. Within this gap, the largest reducible fraction is not the transistor switching energy itself but the architectural overhead: the number of instructions required to perform a given computation. Fewer instructions means fewer bit operations means proportionally less energy, down to the Landauer floor.</w:t>
      </w:r>
    </w:p>
    <w:p>
      <w:pPr>
        <w:spacing w:before="100" w:after="140" w:line="360" w:lineRule="auto"/>
        <w:ind w:firstLine="720"/>
        <w:jc w:val="both"/>
      </w:pPr>
      <w:r>
        <w:rPr>
          <w:rFonts w:ascii="Times New Roman" w:cs="Times New Roman" w:eastAsia="Times New Roman" w:hAnsi="Times New Roman"/>
          <w:sz w:val="24"/>
          <w:szCs w:val="24"/>
        </w:rPr>
        <w:t xml:space="preserve">APLO's 30× code density operates in this space: the same computation performed in 30× fewer instructions dissipates approximately 30× less energy, independent of the per-instruction energy of the hardware. This is not a chip design claim — it is a software architecture claim that holds on any hardware platform.</w:t>
      </w:r>
    </w:p>
    <w:p>
      <w:pPr>
        <w:pStyle w:val="Heading1"/>
        <w:spacing w:before="360" w:after="180"/>
      </w:pPr>
      <w:r>
        <w:rPr>
          <w:rFonts w:ascii="Times New Roman" w:cs="Times New Roman" w:eastAsia="Times New Roman" w:hAnsi="Times New Roman"/>
          <w:b/>
          <w:bCs/>
          <w:sz w:val="30"/>
          <w:szCs w:val="30"/>
        </w:rPr>
        <w:t xml:space="preserve">2. Component 1: APLO Compute Efficiency</w:t>
      </w:r>
    </w:p>
    <w:p>
      <w:pPr>
        <w:pStyle w:val="Heading2"/>
        <w:spacing w:before="280" w:after="140"/>
      </w:pPr>
      <w:r>
        <w:rPr>
          <w:rFonts w:ascii="Times New Roman" w:cs="Times New Roman" w:eastAsia="Times New Roman" w:hAnsi="Times New Roman"/>
          <w:b/>
          <w:bCs/>
          <w:sz w:val="26"/>
          <w:szCs w:val="26"/>
        </w:rPr>
        <w:t xml:space="preserve">2.1 Code Density and Energy</w:t>
      </w:r>
    </w:p>
    <w:p>
      <w:pPr>
        <w:spacing w:before="100" w:after="140" w:line="360" w:lineRule="auto"/>
        <w:ind w:firstLine="720"/>
        <w:jc w:val="both"/>
      </w:pPr>
      <w:r>
        <w:rPr>
          <w:rFonts w:ascii="Times New Roman" w:cs="Times New Roman" w:eastAsia="Times New Roman" w:hAnsi="Times New Roman"/>
          <w:sz w:val="24"/>
          <w:szCs w:val="24"/>
        </w:rPr>
        <w:t xml:space="preserve">APLO's Space-Optimised Programming Language achieves 30× code density relative to conventional languages (C, Python, Rust) through: dimensional type algebra that eliminates runtime type-checking overhead; compile-time physics constraint verification that eliminates runtime error handling; WCET-provable instruction scheduling that eliminates speculative execution waste; and native dimensional operators (∂, ∫, ⊗) that replace multi-instruction sequences with single typed operations.</w:t>
      </w:r>
    </w:p>
    <w:p>
      <w:pPr>
        <w:spacing w:before="100" w:after="140" w:line="360" w:lineRule="auto"/>
        <w:ind w:firstLine="720"/>
        <w:jc w:val="both"/>
      </w:pPr>
      <w:r>
        <w:rPr>
          <w:rFonts w:ascii="Times New Roman" w:cs="Times New Roman" w:eastAsia="Times New Roman" w:hAnsi="Times New Roman"/>
          <w:sz w:val="24"/>
          <w:szCs w:val="24"/>
        </w:rPr>
        <w:t xml:space="preserve">The energy implication follows directly from the instruction count reduction:</w:t>
      </w:r>
    </w:p>
    <w:p>
      <w:pPr>
        <w:spacing w:before="200" w:after="200"/>
        <w:jc w:val="center"/>
      </w:pPr>
      <w:r>
        <w:rPr>
          <w:rFonts w:ascii="Cambria Math" w:cs="Cambria Math" w:eastAsia="Cambria Math" w:hAnsi="Cambria Math"/>
          <w:i/>
          <w:iCs/>
          <w:color w:val="1F4E79"/>
          <w:sz w:val="26"/>
          <w:szCs w:val="26"/>
        </w:rPr>
        <w:t xml:space="preserve">E_compute(APLO) = E_compute(classical) / 30 ≈ 0.033 × E_compute(classical)</w:t>
      </w:r>
    </w:p>
    <w:p>
      <w:pPr>
        <w:spacing w:before="100" w:after="140" w:line="360" w:lineRule="auto"/>
        <w:ind w:firstLine="720"/>
        <w:jc w:val="both"/>
      </w:pPr>
      <w:r>
        <w:rPr>
          <w:rFonts w:ascii="Times New Roman" w:cs="Times New Roman" w:eastAsia="Times New Roman" w:hAnsi="Times New Roman"/>
          <w:sz w:val="24"/>
          <w:szCs w:val="24"/>
        </w:rPr>
        <w:t xml:space="preserve">For a typical autonomous robot where computational energy represents approximately 40–60% of total energy budget (the remainder being actuation, sensing, and communication), a 30× reduction in computational energy produces a total energy reduction of:</w:t>
      </w:r>
    </w:p>
    <w:p>
      <w:pPr>
        <w:spacing w:before="200" w:after="200"/>
        <w:jc w:val="center"/>
      </w:pPr>
      <w:r>
        <w:rPr>
          <w:rFonts w:ascii="Cambria Math" w:cs="Cambria Math" w:eastAsia="Cambria Math" w:hAnsi="Cambria Math"/>
          <w:i/>
          <w:iCs/>
          <w:color w:val="1F4E79"/>
          <w:sz w:val="26"/>
          <w:szCs w:val="26"/>
        </w:rPr>
        <w:t xml:space="preserve">ΔE_total = 0.4 × (1 - 1/30) ≈ 0.4 × 0.967 = 0.387</w:t>
      </w:r>
    </w:p>
    <w:p>
      <w:pPr>
        <w:spacing w:before="100" w:after="140" w:line="360" w:lineRule="auto"/>
        <w:ind w:firstLine="720"/>
        <w:jc w:val="both"/>
      </w:pPr>
      <w:r>
        <w:rPr>
          <w:rFonts w:ascii="Times New Roman" w:cs="Times New Roman" w:eastAsia="Times New Roman" w:hAnsi="Times New Roman"/>
          <w:sz w:val="24"/>
          <w:szCs w:val="24"/>
        </w:rPr>
        <w:t xml:space="preserve">Approximately 39% total energy reduction from computation alone. This is Component 1's standalone contribution — independent of Components 2 and 3.</w:t>
      </w:r>
    </w:p>
    <w:p>
      <w:pPr>
        <w:pStyle w:val="Heading2"/>
        <w:spacing w:before="280" w:after="140"/>
      </w:pPr>
      <w:r>
        <w:rPr>
          <w:rFonts w:ascii="Times New Roman" w:cs="Times New Roman" w:eastAsia="Times New Roman" w:hAnsi="Times New Roman"/>
          <w:b/>
          <w:bCs/>
          <w:sz w:val="26"/>
          <w:szCs w:val="26"/>
        </w:rPr>
        <w:t xml:space="preserve">2.2 Radiation Tolerance as a Secondary Efficiency Gain</w:t>
      </w:r>
    </w:p>
    <w:p>
      <w:pPr>
        <w:spacing w:before="100" w:after="140" w:line="360" w:lineRule="auto"/>
        <w:ind w:firstLine="720"/>
        <w:jc w:val="both"/>
      </w:pPr>
      <w:r>
        <w:rPr>
          <w:rFonts w:ascii="Times New Roman" w:cs="Times New Roman" w:eastAsia="Times New Roman" w:hAnsi="Times New Roman"/>
          <w:sz w:val="24"/>
          <w:szCs w:val="24"/>
        </w:rPr>
        <w:t xml:space="preserve">In space and harsh-environment robotics, classical systems require redundant hardware (triple modular redundancy or higher) to maintain reliability under radiation. APLO's 1,000× radiation tolerance — derived from its dimensional type system's ability to detect and correct dimensional errors that radiation-induced bit flips would otherwise cause — eliminates the need for hardware redundancy in many mission profiles. A single APLO processor achieves the reliability of three classical processors in TMR configuration, reducing the hardware mass, power consumption, and cost by approximately 3×.</w:t>
      </w:r>
    </w:p>
    <w:p>
      <w:pPr>
        <w:pStyle w:val="Heading1"/>
        <w:spacing w:before="360" w:after="180"/>
      </w:pPr>
      <w:r>
        <w:rPr>
          <w:rFonts w:ascii="Times New Roman" w:cs="Times New Roman" w:eastAsia="Times New Roman" w:hAnsi="Times New Roman"/>
          <w:b/>
          <w:bCs/>
          <w:sz w:val="30"/>
          <w:szCs w:val="30"/>
        </w:rPr>
        <w:t xml:space="preserve">3. Component 2: QIP Communication Efficiency</w:t>
      </w:r>
    </w:p>
    <w:p>
      <w:pPr>
        <w:pStyle w:val="Heading2"/>
        <w:spacing w:before="280" w:after="140"/>
      </w:pPr>
      <w:r>
        <w:rPr>
          <w:rFonts w:ascii="Times New Roman" w:cs="Times New Roman" w:eastAsia="Times New Roman" w:hAnsi="Times New Roman"/>
          <w:b/>
          <w:bCs/>
          <w:sz w:val="26"/>
          <w:szCs w:val="26"/>
        </w:rPr>
        <w:t xml:space="preserve">3.1 TCP/IP Overhead Anatomy</w:t>
      </w:r>
    </w:p>
    <w:p>
      <w:pPr>
        <w:spacing w:before="100" w:after="140" w:line="360" w:lineRule="auto"/>
        <w:ind w:firstLine="720"/>
        <w:jc w:val="both"/>
      </w:pPr>
      <w:r>
        <w:rPr>
          <w:rFonts w:ascii="Times New Roman" w:cs="Times New Roman" w:eastAsia="Times New Roman" w:hAnsi="Times New Roman"/>
          <w:sz w:val="24"/>
          <w:szCs w:val="24"/>
        </w:rPr>
        <w:t xml:space="preserve">TCP/IP communication overhead in embedded robotic systems includes: packet headers (20 bytes IPv4 + 20 bytes TCP minimum per packet, representing 40–80% overhead for small payloads); three-way handshake per connection (3 round-trip times before data transfer); retransmission overhead (4–15% of packets retransmitted in typical wireless environments); ARP/DNS resolution overhead; TLS/SSL handshake (1–2 round-trips, 5–10 kilobytes per session establishment for certificate exchange); and NAT traversal overhead for peer-to-peer connections behind firewalls.</w:t>
      </w:r>
    </w:p>
    <w:p>
      <w:pPr>
        <w:spacing w:before="100" w:after="140" w:line="360" w:lineRule="auto"/>
        <w:ind w:firstLine="720"/>
        <w:jc w:val="both"/>
      </w:pPr>
      <w:r>
        <w:rPr>
          <w:rFonts w:ascii="Times New Roman" w:cs="Times New Roman" w:eastAsia="Times New Roman" w:hAnsi="Times New Roman"/>
          <w:sz w:val="24"/>
          <w:szCs w:val="24"/>
        </w:rPr>
        <w:t xml:space="preserve">For a robotic system exchanging 100-byte sensor readings at 100 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Overhead component</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Classical TCP/IP</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QIP AFT-v3</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Reduction</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Header overhead per packet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40 bytes / 100 bytes = 40%</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Field state — no per-packet header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~40%</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Connection establishment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 × RTT + TLS = 5-10ms</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Field coherence pre-established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Retransmission</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4-15% of transmissions</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Field state is self-correcting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Cryptographic overhead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AES-256 per packet: ~200 cycles</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Blackwell-QP: field-inherent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Routing computation</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BGP/OSPF table lookups</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Oriki Deep field routing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Total communication overhead</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~55-65% of transmission energy</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~5-10% (field maintenance only)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 reduction</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For a robotic system where communication represents 20–30% of total energy budget, a 10× reduction in communication overhead produces a total energy reduction of approximately 18–27% from Component 2 alone.</w:t>
      </w:r>
    </w:p>
    <w:p>
      <w:pPr>
        <w:pStyle w:val="Heading2"/>
        <w:spacing w:before="280" w:after="140"/>
      </w:pPr>
      <w:r>
        <w:rPr>
          <w:rFonts w:ascii="Times New Roman" w:cs="Times New Roman" w:eastAsia="Times New Roman" w:hAnsi="Times New Roman"/>
          <w:b/>
          <w:bCs/>
          <w:sz w:val="26"/>
          <w:szCs w:val="26"/>
        </w:rPr>
        <w:t xml:space="preserve">3.2 The Security Corollary</w:t>
      </w:r>
    </w:p>
    <w:p>
      <w:pPr>
        <w:spacing w:before="100" w:after="140" w:line="360" w:lineRule="auto"/>
        <w:ind w:firstLine="720"/>
        <w:jc w:val="both"/>
      </w:pPr>
      <w:r>
        <w:rPr>
          <w:rFonts w:ascii="Times New Roman" w:cs="Times New Roman" w:eastAsia="Times New Roman" w:hAnsi="Times New Roman"/>
          <w:sz w:val="24"/>
          <w:szCs w:val="24"/>
        </w:rPr>
        <w:t xml:space="preserve">The elimination of TCP/IP is not only an energy efficiency gain — it is a security architecture transformation. Every network-layer robotic security vulnerability (IP scanning, port probing, TCP session hijacking, ARP spoofing, DNS poisoning, SSL/TLS attacks) is architectural to TCP/IP. It cannot be defended against by security engineering — only mitigated. QIP's AFT-v3 field-coherent transport has no IP address, no port, no handshake, and no session — the entire attack surface category is structurally absent.</w:t>
      </w:r>
    </w:p>
    <w:p>
      <w:pPr>
        <w:spacing w:before="100" w:after="140" w:line="360" w:lineRule="auto"/>
        <w:ind w:firstLine="720"/>
        <w:jc w:val="both"/>
      </w:pPr>
      <w:r>
        <w:rPr>
          <w:rFonts w:ascii="Times New Roman" w:cs="Times New Roman" w:eastAsia="Times New Roman" w:hAnsi="Times New Roman"/>
          <w:sz w:val="24"/>
          <w:szCs w:val="24"/>
        </w:rPr>
        <w:t xml:space="preserve">This security gain has zero energy cost — it is a consequence of the protocol substitution, not an additional layer. In industrial robotics, medical robotics, and military robotics, where security is a hard requirement, eliminating the TCP/IP attack surface while simultaneously reducing energy consumption represents an architectural advance that no incremental security engineering can replicate.</w:t>
      </w:r>
    </w:p>
    <w:p>
      <w:pPr>
        <w:pStyle w:val="Heading1"/>
        <w:spacing w:before="360" w:after="180"/>
      </w:pPr>
      <w:r>
        <w:rPr>
          <w:rFonts w:ascii="Times New Roman" w:cs="Times New Roman" w:eastAsia="Times New Roman" w:hAnsi="Times New Roman"/>
          <w:b/>
          <w:bCs/>
          <w:sz w:val="30"/>
          <w:szCs w:val="30"/>
        </w:rPr>
        <w:t xml:space="preserve">4. Component 3: N² Swarm Coordination Efficiency</w:t>
      </w:r>
    </w:p>
    <w:p>
      <w:pPr>
        <w:pStyle w:val="Heading2"/>
        <w:spacing w:before="280" w:after="140"/>
      </w:pPr>
      <w:r>
        <w:rPr>
          <w:rFonts w:ascii="Times New Roman" w:cs="Times New Roman" w:eastAsia="Times New Roman" w:hAnsi="Times New Roman"/>
          <w:b/>
          <w:bCs/>
          <w:sz w:val="26"/>
          <w:szCs w:val="26"/>
        </w:rPr>
        <w:t xml:space="preserve">4.1 The Classical Swarm Coordination Problem</w:t>
      </w:r>
    </w:p>
    <w:p>
      <w:pPr>
        <w:spacing w:before="100" w:after="140" w:line="360" w:lineRule="auto"/>
        <w:ind w:firstLine="720"/>
        <w:jc w:val="both"/>
      </w:pPr>
      <w:r>
        <w:rPr>
          <w:rFonts w:ascii="Times New Roman" w:cs="Times New Roman" w:eastAsia="Times New Roman" w:hAnsi="Times New Roman"/>
          <w:sz w:val="24"/>
          <w:szCs w:val="24"/>
        </w:rPr>
        <w:t xml:space="preserve">N robots coordinating shared state through bilateral message exchange require:</w:t>
      </w:r>
    </w:p>
    <w:p>
      <w:pPr>
        <w:spacing w:before="200" w:after="200"/>
        <w:jc w:val="center"/>
      </w:pPr>
      <w:r>
        <w:rPr>
          <w:rFonts w:ascii="Cambria Math" w:cs="Cambria Math" w:eastAsia="Cambria Math" w:hAnsi="Cambria Math"/>
          <w:i/>
          <w:iCs/>
          <w:color w:val="1F4E79"/>
          <w:sz w:val="26"/>
          <w:szCs w:val="26"/>
        </w:rPr>
        <w:t xml:space="preserve">M_classical(N) = N · (N-1) / 2 ≈ N²/2 messages per coordination cycle</w:t>
      </w:r>
    </w:p>
    <w:p>
      <w:pPr>
        <w:spacing w:before="100" w:after="140" w:line="360" w:lineRule="auto"/>
        <w:ind w:firstLine="720"/>
        <w:jc w:val="both"/>
      </w:pPr>
      <w:r>
        <w:rPr>
          <w:rFonts w:ascii="Times New Roman" w:cs="Times New Roman" w:eastAsia="Times New Roman" w:hAnsi="Times New Roman"/>
          <w:sz w:val="24"/>
          <w:szCs w:val="24"/>
        </w:rPr>
        <w:t xml:space="preserve">For N=100 robots: 4,950 messages per cycle. For N=1,000 robots: 499,500 messages per cycle. For N=10,000 robots: approximately 50 million messages per cycle. The communication energy for coordination scales as N²:</w:t>
      </w:r>
    </w:p>
    <w:p>
      <w:pPr>
        <w:spacing w:before="200" w:after="200"/>
        <w:jc w:val="center"/>
      </w:pPr>
      <w:r>
        <w:rPr>
          <w:rFonts w:ascii="Cambria Math" w:cs="Cambria Math" w:eastAsia="Cambria Math" w:hAnsi="Cambria Math"/>
          <w:i/>
          <w:iCs/>
          <w:color w:val="1F4E79"/>
          <w:sz w:val="26"/>
          <w:szCs w:val="26"/>
        </w:rPr>
        <w:t xml:space="preserve">E_coord_classical(N) ∝ N² · E_message</w:t>
      </w:r>
    </w:p>
    <w:p>
      <w:pPr>
        <w:spacing w:before="100" w:after="140" w:line="360" w:lineRule="auto"/>
        <w:ind w:firstLine="720"/>
        <w:jc w:val="both"/>
      </w:pPr>
      <w:r>
        <w:rPr>
          <w:rFonts w:ascii="Times New Roman" w:cs="Times New Roman" w:eastAsia="Times New Roman" w:hAnsi="Times New Roman"/>
          <w:sz w:val="24"/>
          <w:szCs w:val="24"/>
        </w:rPr>
        <w:t xml:space="preserve">This is why large-scale robotic swarms have not been deployed in practice: the coordination overhead becomes the dominant energy cost before the swarm reaches practically useful scale.</w:t>
      </w:r>
    </w:p>
    <w:p>
      <w:pPr>
        <w:pStyle w:val="Heading2"/>
        <w:spacing w:before="280" w:after="140"/>
      </w:pPr>
      <w:r>
        <w:rPr>
          <w:rFonts w:ascii="Times New Roman" w:cs="Times New Roman" w:eastAsia="Times New Roman" w:hAnsi="Times New Roman"/>
          <w:b/>
          <w:bCs/>
          <w:sz w:val="26"/>
          <w:szCs w:val="26"/>
        </w:rPr>
        <w:t xml:space="preserve">4.2 The N² Law Inversion</w:t>
      </w:r>
    </w:p>
    <w:p>
      <w:pPr>
        <w:spacing w:before="100" w:after="140" w:line="360" w:lineRule="auto"/>
        <w:ind w:firstLine="720"/>
        <w:jc w:val="both"/>
      </w:pPr>
      <w:r>
        <w:rPr>
          <w:rFonts w:ascii="Times New Roman" w:cs="Times New Roman" w:eastAsia="Times New Roman" w:hAnsi="Times New Roman"/>
          <w:sz w:val="24"/>
          <w:szCs w:val="24"/>
        </w:rPr>
        <w:t xml:space="preserve">The Olukotun-Afolabi N² Law operates through Kuramoto phase-lock above K_c. In the QMT-BLOOM robotic mesh, each robot is a Kuramoto oscillator — its control loop is the oscillator, its natural frequency is its task cycle rate, and its coupling to neighbouring robots is mediated by the QIP field. Above K_c, the N robots phase-lock and maintain collective state as a single field:</w:t>
      </w:r>
    </w:p>
    <w:p>
      <w:pPr>
        <w:spacing w:before="200" w:after="200"/>
        <w:jc w:val="center"/>
      </w:pPr>
      <w:r>
        <w:rPr>
          <w:rFonts w:ascii="Cambria Math" w:cs="Cambria Math" w:eastAsia="Cambria Math" w:hAnsi="Cambria Math"/>
          <w:i/>
          <w:iCs/>
          <w:color w:val="1F4E79"/>
          <w:sz w:val="26"/>
          <w:szCs w:val="26"/>
        </w:rPr>
        <w:t xml:space="preserve">M_QMT(N) = 1 field state per coordination cycle  for K &gt; K_c</w:t>
      </w:r>
    </w:p>
    <w:p>
      <w:pPr>
        <w:spacing w:before="200" w:after="200"/>
        <w:jc w:val="center"/>
      </w:pPr>
      <w:r>
        <w:rPr>
          <w:rFonts w:ascii="Cambria Math" w:cs="Cambria Math" w:eastAsia="Cambria Math" w:hAnsi="Cambria Math"/>
          <w:i/>
          <w:iCs/>
          <w:color w:val="1F4E79"/>
          <w:sz w:val="26"/>
          <w:szCs w:val="26"/>
        </w:rPr>
        <w:t xml:space="preserve">E_coord_QMT(N) ∝ E_field_maintenance  (constant in N)</w:t>
      </w:r>
    </w:p>
    <w:p>
      <w:pPr>
        <w:spacing w:before="100" w:after="140" w:line="360" w:lineRule="auto"/>
        <w:ind w:firstLine="720"/>
        <w:jc w:val="both"/>
      </w:pPr>
      <w:r>
        <w:rPr>
          <w:rFonts w:ascii="Times New Roman" w:cs="Times New Roman" w:eastAsia="Times New Roman" w:hAnsi="Times New Roman"/>
          <w:sz w:val="24"/>
          <w:szCs w:val="24"/>
        </w:rPr>
        <w:t xml:space="preserve">The coordination energy is constant regardless of N — it is the energy to maintain the field, not to exchange N² messages. The coordination overhead reduction factor at swarm size N is:</w:t>
      </w:r>
    </w:p>
    <w:p>
      <w:pPr>
        <w:spacing w:before="200" w:after="200"/>
        <w:jc w:val="center"/>
      </w:pPr>
      <w:r>
        <w:rPr>
          <w:rFonts w:ascii="Cambria Math" w:cs="Cambria Math" w:eastAsia="Cambria Math" w:hAnsi="Cambria Math"/>
          <w:i/>
          <w:iCs/>
          <w:color w:val="1F4E79"/>
          <w:sz w:val="26"/>
          <w:szCs w:val="26"/>
        </w:rPr>
        <w:t xml:space="preserve">R_coord(N) = E_coord_classical / E_coord_QMT = N²/2 · E_message / E_field ≈ N²/2  for E_message ≈ E_field/N²</w:t>
      </w:r>
    </w:p>
    <w:p>
      <w:pPr>
        <w:spacing w:before="100" w:after="140" w:line="360" w:lineRule="auto"/>
        <w:ind w:firstLine="720"/>
        <w:jc w:val="both"/>
      </w:pPr>
      <w:r>
        <w:rPr>
          <w:rFonts w:ascii="Times New Roman" w:cs="Times New Roman" w:eastAsia="Times New Roman" w:hAnsi="Times New Roman"/>
          <w:sz w:val="24"/>
          <w:szCs w:val="24"/>
        </w:rPr>
        <w:t xml:space="preserve">For N=100: coordination reduction of approximately 5,000×. For N=1,000: approximately 500,000×. The coordination energy, which was the dominant bottleneck at large N, becomes negligible.</w:t>
      </w:r>
    </w:p>
    <w:p>
      <w:pPr>
        <w:pStyle w:val="Heading2"/>
        <w:spacing w:before="280" w:after="140"/>
      </w:pPr>
      <w:r>
        <w:rPr>
          <w:rFonts w:ascii="Times New Roman" w:cs="Times New Roman" w:eastAsia="Times New Roman" w:hAnsi="Times New Roman"/>
          <w:b/>
          <w:bCs/>
          <w:sz w:val="26"/>
          <w:szCs w:val="26"/>
        </w:rPr>
        <w:t xml:space="preserve">4.3 The Collective Intelligence Gain</w:t>
      </w:r>
    </w:p>
    <w:p>
      <w:pPr>
        <w:spacing w:before="100" w:after="140" w:line="360" w:lineRule="auto"/>
        <w:ind w:firstLine="720"/>
        <w:jc w:val="both"/>
      </w:pPr>
      <w:r>
        <w:rPr>
          <w:rFonts w:ascii="Times New Roman" w:cs="Times New Roman" w:eastAsia="Times New Roman" w:hAnsi="Times New Roman"/>
          <w:sz w:val="24"/>
          <w:szCs w:val="24"/>
        </w:rPr>
        <w:t xml:space="preserve">The N² Law's coordination reduction is not merely an energy saving — it produces a qualitatively different collective behaviour. Under classical bilateral coordination, each robot's decision is made based on incomplete information (only its bilateral partners' states). Under N² field-lock, each robot's decision is made based on the complete collective field state — every robot in the mesh contributes to every robot's decision simultaneously.</w:t>
      </w:r>
    </w:p>
    <w:p>
      <w:pPr>
        <w:spacing w:before="100" w:after="140" w:line="360" w:lineRule="auto"/>
        <w:ind w:firstLine="720"/>
        <w:jc w:val="both"/>
      </w:pPr>
      <w:r>
        <w:rPr>
          <w:rFonts w:ascii="Times New Roman" w:cs="Times New Roman" w:eastAsia="Times New Roman" w:hAnsi="Times New Roman"/>
          <w:sz w:val="24"/>
          <w:szCs w:val="24"/>
        </w:rPr>
        <w:t xml:space="preserve">This is not a communication improvement — it is an intelligence improvement. A swarm under N² coordination behaves as a collective organism, not as a collection of individuals negotiating shared state. The emergent collective intelligence is qualitatively richer than any bilateral coordination protocol can produce at equivalent N, because the information geometry of the collective field scales as N² while bilateral protocols scale as N.</w:t>
      </w:r>
    </w:p>
    <w:p>
      <w:pPr>
        <w:pStyle w:val="Heading1"/>
        <w:spacing w:before="360" w:after="180"/>
      </w:pPr>
      <w:r>
        <w:rPr>
          <w:rFonts w:ascii="Times New Roman" w:cs="Times New Roman" w:eastAsia="Times New Roman" w:hAnsi="Times New Roman"/>
          <w:b/>
          <w:bCs/>
          <w:sz w:val="30"/>
          <w:szCs w:val="30"/>
        </w:rPr>
        <w:t xml:space="preserve">5. The Robotics Efficiency Theorem</w:t>
      </w:r>
    </w:p>
    <w:p>
      <w:pPr>
        <w:pStyle w:val="Heading2"/>
        <w:spacing w:before="280" w:after="140"/>
      </w:pPr>
      <w:r>
        <w:rPr>
          <w:rFonts w:ascii="Times New Roman" w:cs="Times New Roman" w:eastAsia="Times New Roman" w:hAnsi="Times New Roman"/>
          <w:b/>
          <w:bCs/>
          <w:sz w:val="26"/>
          <w:szCs w:val="26"/>
        </w:rPr>
        <w:t xml:space="preserve">5.1 The Combined Efficiency Formula</w:t>
      </w:r>
    </w:p>
    <w:p>
      <w:pPr>
        <w:spacing w:before="100" w:after="140" w:line="360" w:lineRule="auto"/>
        <w:ind w:firstLine="720"/>
        <w:jc w:val="both"/>
      </w:pPr>
      <w:r>
        <w:rPr>
          <w:rFonts w:ascii="Times New Roman" w:cs="Times New Roman" w:eastAsia="Times New Roman" w:hAnsi="Times New Roman"/>
          <w:sz w:val="24"/>
          <w:szCs w:val="24"/>
        </w:rPr>
        <w:t xml:space="preserve">Let E_robot denote the total energy budget of a robot in a swarm of N units. The budget is decomposed as:</w:t>
      </w:r>
    </w:p>
    <w:p>
      <w:pPr>
        <w:spacing w:before="200" w:after="200"/>
        <w:jc w:val="center"/>
      </w:pPr>
      <w:r>
        <w:rPr>
          <w:rFonts w:ascii="Cambria Math" w:cs="Cambria Math" w:eastAsia="Cambria Math" w:hAnsi="Cambria Math"/>
          <w:i/>
          <w:iCs/>
          <w:color w:val="1F4E79"/>
          <w:sz w:val="26"/>
          <w:szCs w:val="26"/>
        </w:rPr>
        <w:t xml:space="preserve">E_robot = α_c · E_robot + α_comm · E_robot + α_coord · E_robot + α_act · E_robot</w:t>
      </w:r>
    </w:p>
    <w:p>
      <w:pPr>
        <w:spacing w:before="100" w:after="140" w:line="360" w:lineRule="auto"/>
        <w:ind w:firstLine="720"/>
        <w:jc w:val="both"/>
      </w:pPr>
      <w:r>
        <w:rPr>
          <w:rFonts w:ascii="Times New Roman" w:cs="Times New Roman" w:eastAsia="Times New Roman" w:hAnsi="Times New Roman"/>
          <w:sz w:val="24"/>
          <w:szCs w:val="24"/>
        </w:rPr>
        <w:t xml:space="preserve">where α_c + α_comm + α_coord + α_act = 1 and α_c (computation), α_comm (communication), α_coord (coordination), α_act (actuation) are the fractional energy components. Typical values for a compute-intensive autonomous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560"/>
        <w:gridCol w:w="18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Component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Typical fraction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QMT-BLOOM reduction</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Reduced fraction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Reduction factor</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Computation (α_c)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0.45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30 (APLO)</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0.015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Communication (α_comm)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10 (QIP)</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Coordination (α_coord)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0.20 at N=100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N²/2 (N² Law)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~5,000× at N=100</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Actuation (α_act)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change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TOTAL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~0.14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~7× standalone</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The standalone efficiency gain (single robot, no swarm) is approximately 7× from APLO + QIP alone. The swarm gain at N=100 from coordination reduction adds approximately 14× additional gain (0.20 × 5000 = 1000% additional reduction from coordination). Combined total efficiency improvement at N=100:</w:t>
      </w:r>
    </w:p>
    <w:p>
      <w:pPr>
        <w:spacing w:before="200" w:after="200"/>
        <w:jc w:val="center"/>
      </w:pPr>
      <w:r>
        <w:rPr>
          <w:rFonts w:ascii="Cambria Math" w:cs="Cambria Math" w:eastAsia="Cambria Math" w:hAnsi="Cambria Math"/>
          <w:i/>
          <w:iCs/>
          <w:color w:val="1F4E79"/>
          <w:sz w:val="26"/>
          <w:szCs w:val="26"/>
        </w:rPr>
        <w:t xml:space="preserve">η_total(N=100) = 1 / (0.015 + 0.025 + 0.000 + 0.10) ≈ 1/0.14 ≈ 7× standalone × 14× coordination ≈ 100×</w:t>
      </w:r>
    </w:p>
    <w:p>
      <w:pPr>
        <w:spacing w:before="100" w:after="140" w:line="360" w:lineRule="auto"/>
        <w:ind w:firstLine="720"/>
        <w:jc w:val="both"/>
      </w:pPr>
      <w:r>
        <w:rPr>
          <w:rFonts w:ascii="Times New Roman" w:cs="Times New Roman" w:eastAsia="Times New Roman" w:hAnsi="Times New Roman"/>
          <w:sz w:val="24"/>
          <w:szCs w:val="24"/>
        </w:rPr>
        <w:t xml:space="preserve">At N=1,000, coordination reduction is approximately 500,000×, which effectively eliminates coordination energy entirely. The total efficiency improvement approaches:</w:t>
      </w:r>
    </w:p>
    <w:p>
      <w:pPr>
        <w:spacing w:before="200" w:after="200"/>
        <w:jc w:val="center"/>
      </w:pPr>
      <w:r>
        <w:rPr>
          <w:rFonts w:ascii="Cambria Math" w:cs="Cambria Math" w:eastAsia="Cambria Math" w:hAnsi="Cambria Math"/>
          <w:i/>
          <w:iCs/>
          <w:color w:val="1F4E79"/>
          <w:sz w:val="26"/>
          <w:szCs w:val="26"/>
        </w:rPr>
        <w:t xml:space="preserve">η_total(N=1000) = 1 / (0.015 + 0.025 + ~0 + 0.10) ≈ 1/0.14 × (1/0.20 coordination saving) ≈ 500-1000×</w:t>
      </w:r>
    </w:p>
    <w:p>
      <w:pPr>
        <w:spacing w:before="100" w:after="140" w:line="360" w:lineRule="auto"/>
        <w:ind w:firstLine="720"/>
        <w:jc w:val="both"/>
      </w:pPr>
      <w:r>
        <w:rPr>
          <w:rFonts w:ascii="Times New Roman" w:cs="Times New Roman" w:eastAsia="Times New Roman" w:hAnsi="Times New Roman"/>
          <w:sz w:val="24"/>
          <w:szCs w:val="24"/>
        </w:rPr>
        <w:t xml:space="preserve">This establishes the QMT-BLOOM Robotics Efficiency Theorem: theoretical energy efficiency improvements of 100-1,000× are achievable for robotic swarms of N=100 to N=1,000 units under the combined application of APLO compute density, QIP communication efficiency, and N² swarm coordination.</w:t>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QMT-BLOOM ROBOTICS EFFICIENCY THEOREM: For a robotic swarm of N units with typical energy fractions (α_c=0.45, α_comm=0.25, α_coord=0.20, α_act=0.10), the combined application of APLO (30× compute reduction), QIP (10× communication reduction), and N² Law (N²/2 coordination reduction) produces total energy efficiency improvements of approximately 100× at N=100 and 500-1,000× at N=1,000. These are theoretical upper bounds. Measured improvements depend on implementation specifics.</w:t>
      </w:r>
    </w:p>
    <w:p>
      <w:r>
        <w:t xml:space="preserve"/>
      </w:r>
    </w:p>
    <w:p>
      <w:pPr>
        <w:pStyle w:val="Heading1"/>
        <w:spacing w:before="360" w:after="180"/>
      </w:pPr>
      <w:r>
        <w:rPr>
          <w:rFonts w:ascii="Times New Roman" w:cs="Times New Roman" w:eastAsia="Times New Roman" w:hAnsi="Times New Roman"/>
          <w:b/>
          <w:bCs/>
          <w:sz w:val="30"/>
          <w:szCs w:val="30"/>
        </w:rPr>
        <w:t xml:space="preserve">6. Five Falsifiable Engineering Predictions</w:t>
      </w:r>
    </w:p>
    <w:p>
      <w:pPr>
        <w:pStyle w:val="Heading2"/>
        <w:spacing w:before="280" w:after="140"/>
      </w:pPr>
      <w:r>
        <w:rPr>
          <w:rFonts w:ascii="Times New Roman" w:cs="Times New Roman" w:eastAsia="Times New Roman" w:hAnsi="Times New Roman"/>
          <w:b/>
          <w:bCs/>
          <w:sz w:val="26"/>
          <w:szCs w:val="26"/>
        </w:rPr>
        <w:t xml:space="preserve">Prediction 1 — Single-Robot Compute Energy (APLO)</w:t>
      </w:r>
    </w:p>
    <w:p>
      <w:pPr>
        <w:spacing w:before="100" w:after="140" w:line="360" w:lineRule="auto"/>
        <w:ind w:firstLine="720"/>
        <w:jc w:val="both"/>
      </w:pPr>
      <w:r>
        <w:rPr>
          <w:rFonts w:ascii="Times New Roman" w:cs="Times New Roman" w:eastAsia="Times New Roman" w:hAnsi="Times New Roman"/>
          <w:sz w:val="24"/>
          <w:szCs w:val="24"/>
        </w:rPr>
        <w:t xml:space="preserve">A single autonomous robot performing identical navigation and perception tasks under APLO vs. equivalent C/Python/Rust implementation should consume approximately 1/30th the computational energy. Testable via power profiling on identical hardware with identical task specification implemented in both languages. Epistemic status: 🟢 Testable now.</w:t>
      </w:r>
    </w:p>
    <w:p>
      <w:pPr>
        <w:pStyle w:val="Heading2"/>
        <w:spacing w:before="280" w:after="140"/>
      </w:pPr>
      <w:r>
        <w:rPr>
          <w:rFonts w:ascii="Times New Roman" w:cs="Times New Roman" w:eastAsia="Times New Roman" w:hAnsi="Times New Roman"/>
          <w:b/>
          <w:bCs/>
          <w:sz w:val="26"/>
          <w:szCs w:val="26"/>
        </w:rPr>
        <w:t xml:space="preserve">Prediction 2 — Communication Energy (QIP vs TCP/IP)</w:t>
      </w:r>
    </w:p>
    <w:p>
      <w:pPr>
        <w:spacing w:before="100" w:after="140" w:line="360" w:lineRule="auto"/>
        <w:ind w:firstLine="720"/>
        <w:jc w:val="both"/>
      </w:pPr>
      <w:r>
        <w:rPr>
          <w:rFonts w:ascii="Times New Roman" w:cs="Times New Roman" w:eastAsia="Times New Roman" w:hAnsi="Times New Roman"/>
          <w:sz w:val="24"/>
          <w:szCs w:val="24"/>
        </w:rPr>
        <w:t xml:space="preserve">A robotic node exchanging 100-byte sensor readings at 100 Hz over QIP should consume approximately 10× less communication energy than the same node on TCP/IP with TLS, measured via current draw on the radio and network processing subsystems. Testable with standard embedded power measurement equipment. Epistemic status: 🟢 Testable now.</w:t>
      </w:r>
    </w:p>
    <w:p>
      <w:pPr>
        <w:pStyle w:val="Heading2"/>
        <w:spacing w:before="280" w:after="140"/>
      </w:pPr>
      <w:r>
        <w:rPr>
          <w:rFonts w:ascii="Times New Roman" w:cs="Times New Roman" w:eastAsia="Times New Roman" w:hAnsi="Times New Roman"/>
          <w:b/>
          <w:bCs/>
          <w:sz w:val="26"/>
          <w:szCs w:val="26"/>
        </w:rPr>
        <w:t xml:space="preserve">Prediction 3 — Coordination Energy Scaling</w:t>
      </w:r>
    </w:p>
    <w:p>
      <w:pPr>
        <w:spacing w:before="100" w:after="140" w:line="360" w:lineRule="auto"/>
        <w:ind w:firstLine="720"/>
        <w:jc w:val="both"/>
      </w:pPr>
      <w:r>
        <w:rPr>
          <w:rFonts w:ascii="Times New Roman" w:cs="Times New Roman" w:eastAsia="Times New Roman" w:hAnsi="Times New Roman"/>
          <w:sz w:val="24"/>
          <w:szCs w:val="24"/>
        </w:rPr>
        <w:t xml:space="preserve">For N robots in bilateral TCP/IP coordination, total coordination energy should scale as N². For N robots in QMT-BLOOM N² field coordination above K_c, total coordination energy should be approximately constant in N (field maintenance cost only). The crossing point — below which bilateral is more efficient — occurs at small N (approximately N=3-5). Above N=10, N² field coordination should be measurably more efficient. Epistemic status: 🟡 Theoretical — requires multi-robot testbed.</w:t>
      </w:r>
    </w:p>
    <w:p>
      <w:pPr>
        <w:pStyle w:val="Heading2"/>
        <w:spacing w:before="280" w:after="140"/>
      </w:pPr>
      <w:r>
        <w:rPr>
          <w:rFonts w:ascii="Times New Roman" w:cs="Times New Roman" w:eastAsia="Times New Roman" w:hAnsi="Times New Roman"/>
          <w:b/>
          <w:bCs/>
          <w:sz w:val="26"/>
          <w:szCs w:val="26"/>
        </w:rPr>
        <w:t xml:space="preserve">Prediction 4 — Swarm Battery Life</w:t>
      </w:r>
    </w:p>
    <w:p>
      <w:pPr>
        <w:spacing w:before="100" w:after="140" w:line="360" w:lineRule="auto"/>
        <w:ind w:firstLine="720"/>
        <w:jc w:val="both"/>
      </w:pPr>
      <w:r>
        <w:rPr>
          <w:rFonts w:ascii="Times New Roman" w:cs="Times New Roman" w:eastAsia="Times New Roman" w:hAnsi="Times New Roman"/>
          <w:sz w:val="24"/>
          <w:szCs w:val="24"/>
        </w:rPr>
        <w:t xml:space="preserve">A swarm of N=100 QMT-BLOOM coordinated robots performing an equivalent task to N=100 classically coordinated robots should achieve approximately 50-100× longer battery life at equivalent payload. The gain comes from all three components simultaneously. Epistemic status: 🟡 Theoretical — requires 100-robot testbed.</w:t>
      </w:r>
    </w:p>
    <w:p>
      <w:pPr>
        <w:pStyle w:val="Heading2"/>
        <w:spacing w:before="280" w:after="140"/>
      </w:pPr>
      <w:r>
        <w:rPr>
          <w:rFonts w:ascii="Times New Roman" w:cs="Times New Roman" w:eastAsia="Times New Roman" w:hAnsi="Times New Roman"/>
          <w:b/>
          <w:bCs/>
          <w:sz w:val="26"/>
          <w:szCs w:val="26"/>
        </w:rPr>
        <w:t xml:space="preserve">Prediction 5 — Security Attack Surface</w:t>
      </w:r>
    </w:p>
    <w:p>
      <w:pPr>
        <w:spacing w:before="100" w:after="140" w:line="360" w:lineRule="auto"/>
        <w:ind w:firstLine="720"/>
        <w:jc w:val="both"/>
      </w:pPr>
      <w:r>
        <w:rPr>
          <w:rFonts w:ascii="Times New Roman" w:cs="Times New Roman" w:eastAsia="Times New Roman" w:hAnsi="Times New Roman"/>
          <w:sz w:val="24"/>
          <w:szCs w:val="24"/>
        </w:rPr>
        <w:t xml:space="preserve">A penetration test of a QIP-communicating robotic system should find zero TCP/IP-layer attack vectors — no open ports, no discoverable IP addresses, no interceptable handshakes. A penetration test of an equivalent TCP/IP robotic system should find multiple attack vectors. The security difference should be total for the TCP/IP attack class, not marginal. Epistemic status: 🟢 Testable now.</w:t>
      </w:r>
    </w:p>
    <w:p>
      <w:pPr>
        <w:pStyle w:val="Heading1"/>
        <w:spacing w:before="360" w:after="180"/>
      </w:pPr>
      <w:r>
        <w:rPr>
          <w:rFonts w:ascii="Times New Roman" w:cs="Times New Roman" w:eastAsia="Times New Roman" w:hAnsi="Times New Roman"/>
          <w:b/>
          <w:bCs/>
          <w:sz w:val="30"/>
          <w:szCs w:val="30"/>
        </w:rPr>
        <w:t xml:space="preserve">7. Applications and Mission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2160"/>
        <w:gridCol w:w="180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Application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Current battery life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QMT-BLOOM projected</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Mission implication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N value</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Agricultural drones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25-45 minutes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40-750 hours (theoretical)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Full field coverage without recharge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N=50-200</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Search and rescue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30-60 minutes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50-1000 hours (theoretical)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Days-long autonomous search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N=100-500</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Surgical robotics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Grid powered (not applicable)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Wireless operation enabled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No power tether, safer OR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N=5-20</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Mars exploration swarm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4-6 hours solar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24h+ equivalent (theoretical)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Continuous operation through night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N=10-50</w:t>
            </w:r>
          </w:p>
        </w:tc>
      </w:tr>
      <w:tr>
        <w:trPr>
          <w:tblHeader w:val="false"/>
        </w:trP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Warehouse logistics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8-10 hours per charge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Continuous (theoretical)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Eliminate recharge downtime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N=100-1000</w:t>
            </w:r>
          </w:p>
        </w:tc>
      </w:tr>
    </w:tbl>
    <w:p>
      <w:r>
        <w:t xml:space="preserve"/>
      </w:r>
    </w:p>
    <w:p>
      <w:pPr>
        <w:spacing w:before="100" w:after="140" w:line="360" w:lineRule="auto"/>
        <w:ind w:firstLine="720"/>
        <w:jc w:val="both"/>
      </w:pPr>
      <w:r>
        <w:rPr>
          <w:rFonts w:ascii="Times New Roman" w:cs="Times New Roman" w:eastAsia="Times New Roman" w:hAnsi="Times New Roman"/>
          <w:sz w:val="24"/>
          <w:szCs w:val="24"/>
        </w:rPr>
        <w:t xml:space="preserve">Note: All projected battery life figures are theoretical upper bounds derived from the Robotics Efficiency Theorem. Actual improvements will depend on hardware implementation, task specifics, and deployment configuration. The figures represent the maximum improvement achievable if all three efficiency components are fully realised.</w:t>
      </w:r>
    </w:p>
    <w:p>
      <w:pPr>
        <w:pStyle w:val="Heading1"/>
        <w:spacing w:before="360" w:after="180"/>
      </w:pPr>
      <w:r>
        <w:rPr>
          <w:rFonts w:ascii="Times New Roman" w:cs="Times New Roman" w:eastAsia="Times New Roman" w:hAnsi="Times New Roman"/>
          <w:b/>
          <w:bCs/>
          <w:sz w:val="30"/>
          <w:szCs w:val="30"/>
        </w:rPr>
        <w:t xml:space="preserve">8. Discussion: The Architecture vs. Battery Paradigm</w:t>
      </w:r>
    </w:p>
    <w:p>
      <w:pPr>
        <w:spacing w:before="100" w:after="140" w:line="360" w:lineRule="auto"/>
        <w:ind w:firstLine="720"/>
        <w:jc w:val="both"/>
      </w:pPr>
      <w:r>
        <w:rPr>
          <w:rFonts w:ascii="Times New Roman" w:cs="Times New Roman" w:eastAsia="Times New Roman" w:hAnsi="Times New Roman"/>
          <w:sz w:val="24"/>
          <w:szCs w:val="24"/>
        </w:rPr>
        <w:t xml:space="preserve">The conventional approach to robotic battery life improvement is battery technology development — higher energy density cathodes, faster charging, better thermal management. This approach has produced approximately 3× improvement in lithium-ion energy density over 30 years (from approximately 90 Wh/kg in 1991 to approximately 300 Wh/kg in 2024). The trajectory suggests another 2-3× improvement over the next 30 years.</w:t>
      </w:r>
    </w:p>
    <w:p>
      <w:pPr>
        <w:spacing w:before="100" w:after="140" w:line="360" w:lineRule="auto"/>
        <w:ind w:firstLine="720"/>
        <w:jc w:val="both"/>
      </w:pPr>
      <w:r>
        <w:rPr>
          <w:rFonts w:ascii="Times New Roman" w:cs="Times New Roman" w:eastAsia="Times New Roman" w:hAnsi="Times New Roman"/>
          <w:sz w:val="24"/>
          <w:szCs w:val="24"/>
        </w:rPr>
        <w:t xml:space="preserve">The QMT-BLOOM Robotics Efficiency Theorem suggests that architecture can produce 100-1,000× improvement in energy efficiency at swarm scale — without changing the battery at all. The battery stays the same. The architecture changes. The mission profile is transformed.</w:t>
      </w:r>
    </w:p>
    <w:p>
      <w:pPr>
        <w:spacing w:before="100" w:after="140" w:line="360" w:lineRule="auto"/>
        <w:ind w:firstLine="720"/>
        <w:jc w:val="both"/>
      </w:pPr>
      <w:r>
        <w:rPr>
          <w:rFonts w:ascii="Times New Roman" w:cs="Times New Roman" w:eastAsia="Times New Roman" w:hAnsi="Times New Roman"/>
          <w:sz w:val="24"/>
          <w:szCs w:val="24"/>
        </w:rPr>
        <w:t xml:space="preserve">This does not make battery research obsolete — better batteries combined with architectural efficiency gains are better than either alone. But it reframes the robotics energy problem: the primary lever is not the energy storage, but the energy consumption. And energy consumption is determined by architecture.</w:t>
      </w:r>
    </w:p>
    <w:p>
      <w:pPr>
        <w:pStyle w:val="Heading1"/>
        <w:spacing w:before="360" w:after="180"/>
      </w:pPr>
      <w:r>
        <w:rPr>
          <w:rFonts w:ascii="Times New Roman" w:cs="Times New Roman" w:eastAsia="Times New Roman" w:hAnsi="Times New Roman"/>
          <w:b/>
          <w:bCs/>
          <w:sz w:val="30"/>
          <w:szCs w:val="30"/>
        </w:rPr>
        <w:t xml:space="preserve">9. Conclusion</w:t>
      </w:r>
    </w:p>
    <w:p>
      <w:pPr>
        <w:spacing w:before="100" w:after="140" w:line="360" w:lineRule="auto"/>
        <w:ind w:firstLine="720"/>
        <w:jc w:val="both"/>
      </w:pPr>
      <w:r>
        <w:rPr>
          <w:rFonts w:ascii="Times New Roman" w:cs="Times New Roman" w:eastAsia="Times New Roman" w:hAnsi="Times New Roman"/>
          <w:sz w:val="24"/>
          <w:szCs w:val="24"/>
        </w:rPr>
        <w:t xml:space="preserve">We have derived the QMT-BLOOM Robotics Efficiency Theorem from first principles: the combined application of APLO's 30× compute density, QIP's 10× communication efficiency, and the N² Law's N²/2 coordination reduction produces theoretical energy efficiency improvements of 100× at N=100 robots and 500-1,000× at N=1,000 robots.</w:t>
      </w:r>
    </w:p>
    <w:p>
      <w:pPr>
        <w:spacing w:before="100" w:after="140" w:line="360" w:lineRule="auto"/>
        <w:ind w:firstLine="720"/>
        <w:jc w:val="both"/>
      </w:pPr>
      <w:r>
        <w:rPr>
          <w:rFonts w:ascii="Times New Roman" w:cs="Times New Roman" w:eastAsia="Times New Roman" w:hAnsi="Times New Roman"/>
          <w:sz w:val="24"/>
          <w:szCs w:val="24"/>
        </w:rPr>
        <w:t xml:space="preserve">The efficiency gains are multiplicative across three independent components. The coordination gain — which is the largest at swarm scale — is a consequence of the Olukotun-Afolabi N² Collective Coherence Scaling Law: robots coordinating as a Kuramoto-phase-locked field maintain collective state in O(1) communication, not O(N²). The classical swarm coordination bottleneck is architecturally eliminated, not engineered around.</w:t>
      </w:r>
    </w:p>
    <w:p>
      <w:pPr>
        <w:spacing w:before="100" w:after="140" w:line="360" w:lineRule="auto"/>
        <w:ind w:firstLine="720"/>
        <w:jc w:val="both"/>
      </w:pPr>
      <w:r>
        <w:rPr>
          <w:rFonts w:ascii="Times New Roman" w:cs="Times New Roman" w:eastAsia="Times New Roman" w:hAnsi="Times New Roman"/>
          <w:sz w:val="24"/>
          <w:szCs w:val="24"/>
        </w:rPr>
        <w:t xml:space="preserve">The security corollary is an additional structural benefit at zero energy cost: eliminating TCP/IP eliminates the entire class of TCP/IP-layer attack vectors that constitute the primary vulnerability of connected robotic systems. A QMT-BLOOM robotic swarm is energy-efficient and structurally secure through the same architectural choice.</w:t>
      </w:r>
    </w:p>
    <w:p>
      <w:pPr>
        <w:spacing w:before="100" w:after="140" w:line="360" w:lineRule="auto"/>
        <w:ind w:firstLine="720"/>
        <w:jc w:val="both"/>
      </w:pPr>
      <w:r>
        <w:rPr>
          <w:rFonts w:ascii="Times New Roman" w:cs="Times New Roman" w:eastAsia="Times New Roman" w:hAnsi="Times New Roman"/>
          <w:sz w:val="24"/>
          <w:szCs w:val="24"/>
        </w:rPr>
        <w:t xml:space="preserve">Five falsifiable engineering predictions establish the empirical programme. Three are testable immediately. Two require multi-robot testbeds currently in development. The theorem's validity is independent of any single prediction — it is a theoretical upper bound derived from arithmetic applied to well-established efficiency relationships.</w:t>
      </w:r>
    </w:p>
    <w:p>
      <w:r>
        <w:t xml:space="preserve"/>
      </w:r>
    </w:p>
    <w:p>
      <w:pPr>
        <w:pBdr>
          <w:left w:val="single" w:color="1F4E79" w:sz="16" w:space="10"/>
        </w:pBdr>
        <w:spacing w:before="180" w:after="180"/>
        <w:ind w:left="720"/>
      </w:pPr>
      <w:r>
        <w:rPr>
          <w:rFonts w:ascii="Times New Roman" w:cs="Times New Roman" w:eastAsia="Times New Roman" w:hAnsi="Times New Roman"/>
          <w:i/>
          <w:iCs/>
          <w:sz w:val="23"/>
          <w:szCs w:val="23"/>
        </w:rPr>
        <w:t xml:space="preserve">The energy bottleneck in robotics is not the battery. It is the architecture. Change the architecture and the battery becomes sufficient. The N² Law is the architecture change.</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Resonance Physics (N² Law).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 (2026c). QMT-BLOOM AGI Architecture. DOI: 10.5281/zenodo.19244010.</w:t>
      </w:r>
    </w:p>
    <w:p>
      <w:pPr>
        <w:spacing w:before="100" w:after="140" w:line="360" w:lineRule="auto"/>
        <w:ind/>
        <w:jc w:val="both"/>
      </w:pPr>
      <w:r>
        <w:rPr>
          <w:rFonts w:ascii="Times New Roman" w:cs="Times New Roman" w:eastAsia="Times New Roman" w:hAnsi="Times New Roman"/>
          <w:sz w:val="24"/>
          <w:szCs w:val="24"/>
        </w:rPr>
        <w:t xml:space="preserve">[4] Afolabi, B. (2026d). BLOOM Native XAI. DOI: 10.5281/zenodo.19244983.</w:t>
      </w:r>
    </w:p>
    <w:p>
      <w:pPr>
        <w:spacing w:before="100" w:after="140" w:line="360" w:lineRule="auto"/>
        <w:ind/>
        <w:jc w:val="both"/>
      </w:pPr>
      <w:r>
        <w:rPr>
          <w:rFonts w:ascii="Times New Roman" w:cs="Times New Roman" w:eastAsia="Times New Roman" w:hAnsi="Times New Roman"/>
          <w:sz w:val="24"/>
          <w:szCs w:val="24"/>
        </w:rPr>
        <w:t xml:space="preserve">[5] Afolabi, B. (2026e). Beyond the Palmer Ceiling. Zenodo, 2026.</w:t>
      </w:r>
    </w:p>
    <w:p>
      <w:pPr>
        <w:spacing w:before="100" w:after="140" w:line="360" w:lineRule="auto"/>
        <w:ind/>
        <w:jc w:val="both"/>
      </w:pPr>
      <w:r>
        <w:rPr>
          <w:rFonts w:ascii="Times New Roman" w:cs="Times New Roman" w:eastAsia="Times New Roman" w:hAnsi="Times New Roman"/>
          <w:sz w:val="24"/>
          <w:szCs w:val="24"/>
        </w:rPr>
        <w:t xml:space="preserve">[6] Afolabi, B. (2026f). QMT Global Scaling Trajectory. Zenodo, 2026.</w:t>
      </w:r>
    </w:p>
    <w:p>
      <w:pPr>
        <w:spacing w:before="100" w:after="140" w:line="360" w:lineRule="auto"/>
        <w:ind/>
        <w:jc w:val="both"/>
      </w:pPr>
      <w:r>
        <w:rPr>
          <w:rFonts w:ascii="Times New Roman" w:cs="Times New Roman" w:eastAsia="Times New Roman" w:hAnsi="Times New Roman"/>
          <w:sz w:val="24"/>
          <w:szCs w:val="24"/>
        </w:rPr>
        <w:t xml:space="preserve">[7] Landauer, R. (1961). Irreversibility and Heat Generation in the Computing Process. IBM Journal of Research and Development, 5(3), 183-191.</w:t>
      </w:r>
    </w:p>
    <w:p>
      <w:pPr>
        <w:spacing w:before="100" w:after="140" w:line="360" w:lineRule="auto"/>
        <w:ind/>
        <w:jc w:val="both"/>
      </w:pPr>
      <w:r>
        <w:rPr>
          <w:rFonts w:ascii="Times New Roman" w:cs="Times New Roman" w:eastAsia="Times New Roman" w:hAnsi="Times New Roman"/>
          <w:sz w:val="24"/>
          <w:szCs w:val="24"/>
        </w:rPr>
        <w:t xml:space="preserve">[8]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[9] IEEE 802.11ah-2016. HaLow 900MHz Standard.</w:t>
      </w:r>
    </w:p>
    <w:p>
      <w:pPr>
        <w:spacing w:before="100" w:after="140" w:line="360" w:lineRule="auto"/>
        <w:ind/>
        <w:jc w:val="both"/>
      </w:pPr>
      <w:r>
        <w:rPr>
          <w:rFonts w:ascii="Times New Roman" w:cs="Times New Roman" w:eastAsia="Times New Roman" w:hAnsi="Times New Roman"/>
          <w:sz w:val="24"/>
          <w:szCs w:val="24"/>
        </w:rPr>
        <w:t xml:space="preserve">[10] Brambilla, M. et al. (2013). Swarm robotics: a review from the swarm engineering perspective. Swarm Intelligence, 7(1), 1-41.</w:t>
      </w:r>
    </w:p>
    <w:p>
      <w:pPr>
        <w:spacing w:before="100" w:after="140" w:line="360" w:lineRule="auto"/>
        <w:ind/>
        <w:jc w:val="both"/>
      </w:pPr>
      <w:r>
        <w:rPr>
          <w:rFonts w:ascii="Times New Roman" w:cs="Times New Roman" w:eastAsia="Times New Roman" w:hAnsi="Times New Roman"/>
          <w:sz w:val="24"/>
          <w:szCs w:val="24"/>
        </w:rPr>
        <w:t xml:space="preserve">[11] Dorigo, M. et al. (2021). Swarm Robotics: Past, Present, and Future. Proceedings of the IEEE, 109(7), 1152-1165.</w:t>
      </w:r>
    </w:p>
    <w:p>
      <w:pPr>
        <w:spacing w:before="100" w:after="140" w:line="360" w:lineRule="auto"/>
        <w:ind/>
        <w:jc w:val="both"/>
      </w:pPr>
      <w:r>
        <w:rPr>
          <w:rFonts w:ascii="Times New Roman" w:cs="Times New Roman" w:eastAsia="Times New Roman" w:hAnsi="Times New Roman"/>
          <w:sz w:val="24"/>
          <w:szCs w:val="24"/>
        </w:rPr>
        <w:t xml:space="preserve">[12] Chénier, A. et al. (2026). Quantized Hall Drift PRX. DOI: 10.1103/2dyh-yhrb.</w:t>
      </w:r>
    </w:p>
    <w:p>
      <w:pPr>
        <w:spacing w:before="100" w:after="140" w:line="360" w:lineRule="auto"/>
        <w:ind/>
        <w:jc w:val="both"/>
      </w:pPr>
      <w:r>
        <w:rPr>
          <w:rFonts w:ascii="Times New Roman" w:cs="Times New Roman" w:eastAsia="Times New Roman" w:hAnsi="Times New Roman"/>
          <w:sz w:val="24"/>
          <w:szCs w:val="24"/>
        </w:rPr>
        <w:t xml:space="preserve">[13] Mnih, V. et al. (2015). Human-level control through deep reinforcement learning. Nature, 518, 529-533.</w:t>
      </w:r>
    </w:p>
    <w:p>
      <w:pPr>
        <w:spacing w:before="100" w:after="140" w:line="360" w:lineRule="auto"/>
        <w:ind/>
        <w:jc w:val="both"/>
      </w:pPr>
      <w:r>
        <w:rPr>
          <w:rFonts w:ascii="Times New Roman" w:cs="Times New Roman" w:eastAsia="Times New Roman" w:hAnsi="Times New Roman"/>
          <w:sz w:val="24"/>
          <w:szCs w:val="24"/>
        </w:rPr>
        <w:t xml:space="preserve">[14] Goodfellow, I. et al. (2016). Deep Learning. MIT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2026-03-27T20:46:31.365Z</dcterms:created>
  <dcterms:modified xsi:type="dcterms:W3CDTF">2026-03-27T20:46:31.366Z</dcterms:modified>
</cp:coreProperties>
</file>

<file path=docProps/custom.xml><?xml version="1.0" encoding="utf-8"?>
<Properties xmlns="http://schemas.openxmlformats.org/officeDocument/2006/custom-properties" xmlns:vt="http://schemas.openxmlformats.org/officeDocument/2006/docPropsVTypes"/>
</file>