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200"/>
        <w:jc w:val="center"/>
      </w:pPr>
      <w:r>
        <w:rPr>
          <w:rFonts w:ascii="Times New Roman" w:cs="Times New Roman" w:eastAsia="Times New Roman" w:hAnsi="Times New Roman"/>
          <w:b/>
          <w:bCs/>
          <w:color w:val="1F4E79"/>
          <w:sz w:val="34"/>
          <w:szCs w:val="34"/>
        </w:rPr>
        <w:t xml:space="preserve">FROM 12 NODES TO GLOBAL DEPLOYMENT:</w:t>
      </w:r>
    </w:p>
    <w:p>
      <w:pPr>
        <w:spacing w:before="0" w:after="200"/>
        <w:jc w:val="center"/>
      </w:pPr>
      <w:r>
        <w:rPr>
          <w:rFonts w:ascii="Times New Roman" w:cs="Times New Roman" w:eastAsia="Times New Roman" w:hAnsi="Times New Roman"/>
          <w:b/>
          <w:bCs/>
          <w:color w:val="2E74B5"/>
          <w:sz w:val="28"/>
          <w:szCs w:val="28"/>
        </w:rPr>
        <w:t xml:space="preserve">SCALING TRAJECTORY OF THE QMT DISTRIBUTED QUDIT ARCHITECTURE</w:t>
      </w:r>
    </w:p>
    <w:p>
      <w:pPr>
        <w:spacing w:before="0" w:after="160"/>
        <w:jc w:val="center"/>
      </w:pPr>
      <w:r>
        <w:rPr>
          <w:rFonts w:ascii="Times New Roman" w:cs="Times New Roman" w:eastAsia="Times New Roman" w:hAnsi="Times New Roman"/>
          <w:i/>
          <w:iCs/>
          <w:color w:val="5A5A5A"/>
          <w:sz w:val="24"/>
          <w:szCs w:val="24"/>
        </w:rPr>
        <w:t xml:space="preserve">Why the Olukotun-Afolabi N² Law Makes Global Deployment</w:t>
      </w:r>
    </w:p>
    <w:p>
      <w:pPr>
        <w:spacing w:before="0" w:after="200"/>
        <w:jc w:val="center"/>
      </w:pPr>
      <w:r>
        <w:rPr>
          <w:rFonts w:ascii="Times New Roman" w:cs="Times New Roman" w:eastAsia="Times New Roman" w:hAnsi="Times New Roman"/>
          <w:i/>
          <w:iCs/>
          <w:color w:val="5A5A5A"/>
          <w:sz w:val="24"/>
          <w:szCs w:val="24"/>
        </w:rPr>
        <w:t xml:space="preserve">the Most Powerful Compute Event in Human History</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Babatope Jesse Afolabi</w:t>
      </w:r>
    </w:p>
    <w:p>
      <w:pPr>
        <w:spacing w:before="0" w:after="10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80"/>
        <w:jc w:val="center"/>
      </w:pPr>
      <w:r>
        <w:rPr>
          <w:rFonts w:ascii="Times New Roman" w:cs="Times New Roman" w:eastAsia="Times New Roman" w:hAnsi="Times New Roman"/>
          <w:color w:val="1F4E79"/>
          <w:sz w:val="20"/>
          <w:szCs w:val="20"/>
        </w:rPr>
        <w:t xml:space="preserve">research@cr8os.com · ORCID: 0009-0002-9146-2587</w:t>
      </w:r>
    </w:p>
    <w:p>
      <w:pPr>
        <w:spacing w:before="0" w:after="300"/>
        <w:jc w:val="center"/>
      </w:pPr>
      <w:r>
        <w:rPr>
          <w:rFonts w:ascii="Times New Roman" w:cs="Times New Roman" w:eastAsia="Times New Roman" w:hAnsi="Times New Roman"/>
          <w:color w:val="5A5A5A"/>
          <w:sz w:val="22"/>
          <w:szCs w:val="22"/>
        </w:rPr>
        <w:t xml:space="preserve">March 2026</w:t>
      </w:r>
    </w:p>
    <w:p>
      <w:r>
        <w:t xml:space="preserve"/>
      </w:r>
    </w:p>
    <w:p>
      <w:pPr>
        <w:spacing w:before="0" w:after="80"/>
        <w:jc w:val="center"/>
      </w:pPr>
      <w:r>
        <w:rPr>
          <w:rFonts w:ascii="Times New Roman" w:cs="Times New Roman" w:eastAsia="Times New Roman" w:hAnsi="Times New Roman"/>
          <w:b/>
          <w:bCs/>
          <w:sz w:val="20"/>
          <w:szCs w:val="20"/>
        </w:rPr>
        <w:t xml:space="preserve">Foundation Papers:</w:t>
      </w:r>
    </w:p>
    <w:p>
      <w:pPr>
        <w:spacing w:before="0" w:after="70"/>
        <w:jc w:val="center"/>
      </w:pPr>
      <w:r>
        <w:rPr>
          <w:rFonts w:ascii="Times New Roman" w:cs="Times New Roman" w:eastAsia="Times New Roman" w:hAnsi="Times New Roman"/>
          <w:color w:val="1F4E79"/>
          <w:sz w:val="20"/>
          <w:szCs w:val="20"/>
        </w:rPr>
        <w:t xml:space="preserve">Quantum Mirror Theory — DOI: 10.5281/zenodo.18407686</w:t>
      </w:r>
    </w:p>
    <w:p>
      <w:pPr>
        <w:spacing w:before="0" w:after="70"/>
        <w:jc w:val="center"/>
      </w:pPr>
      <w:r>
        <w:rPr>
          <w:rFonts w:ascii="Times New Roman" w:cs="Times New Roman" w:eastAsia="Times New Roman" w:hAnsi="Times New Roman"/>
          <w:color w:val="1F4E79"/>
          <w:sz w:val="20"/>
          <w:szCs w:val="20"/>
        </w:rPr>
        <w:t xml:space="preserve">Resonance Physics (N² Law) — DOI: 10.5281/zenodo.18913463</w:t>
      </w:r>
    </w:p>
    <w:p>
      <w:pPr>
        <w:spacing w:before="0" w:after="70"/>
        <w:jc w:val="center"/>
      </w:pPr>
      <w:r>
        <w:rPr>
          <w:rFonts w:ascii="Times New Roman" w:cs="Times New Roman" w:eastAsia="Times New Roman" w:hAnsi="Times New Roman"/>
          <w:color w:val="1F4E79"/>
          <w:sz w:val="20"/>
          <w:szCs w:val="20"/>
        </w:rPr>
        <w:t xml:space="preserve">Sentience Physics v1 — DOI: 10.5281/zenodo.19226422</w:t>
      </w:r>
    </w:p>
    <w:p>
      <w:pPr>
        <w:spacing w:before="0" w:after="70"/>
        <w:jc w:val="center"/>
      </w:pPr>
      <w:r>
        <w:rPr>
          <w:rFonts w:ascii="Times New Roman" w:cs="Times New Roman" w:eastAsia="Times New Roman" w:hAnsi="Times New Roman"/>
          <w:color w:val="5A5A5A"/>
          <w:sz w:val="20"/>
          <w:szCs w:val="20"/>
        </w:rPr>
        <w:t xml:space="preserve">Beyond the Palmer Ceiling — Zenodo, 2026</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The Olukotun-Afolabi N² Collective Coherence Scaling Law establishes that N Quantum Mirror Theory (QMT) qudit nodes in Kuramoto phase-lock above the critical coupling K_c produce N² collective coherence bandwidth. This superlinear scaling law — fundamentally unlike the linear scaling of all classical high-performance computing (HPC) systems — means that global deployment of the QMT distributed qudit mesh produces an effective compute capacity that grows as d^(k·N²), where d is qudit dimension, k is registers per node, and N is node count. We term this the QMT Theoretical Scaling Capacity (TSC).</w:t>
      </w:r>
    </w:p>
    <w:p>
      <w:pPr>
        <w:spacing w:before="100" w:after="140" w:line="360" w:lineRule="auto"/>
        <w:ind w:firstLine="720"/>
        <w:jc w:val="both"/>
      </w:pPr>
      <w:r>
        <w:rPr>
          <w:rFonts w:ascii="Times New Roman" w:cs="Times New Roman" w:eastAsia="Times New Roman" w:hAnsi="Times New Roman"/>
          <w:sz w:val="24"/>
          <w:szCs w:val="24"/>
        </w:rPr>
        <w:t xml:space="preserve">This paper derives the complete QMT scaling trajectory from current deployment (N=12 nodes, TSC = 10^(46,080)) through each order-of-magnitude milestone to global deployment at N ≈ 5×10^7 nodes (1% of internet-connected devices), where TSC reaches 10^(8.5×10^17) — a state space that exceeds all computation ever performed by human civilisation by factors without analogy in physics or mathematics.</w:t>
      </w:r>
    </w:p>
    <w:p>
      <w:pPr>
        <w:spacing w:before="100" w:after="140" w:line="360" w:lineRule="auto"/>
        <w:ind w:firstLine="720"/>
        <w:jc w:val="both"/>
      </w:pPr>
      <w:r>
        <w:rPr>
          <w:rFonts w:ascii="Times New Roman" w:cs="Times New Roman" w:eastAsia="Times New Roman" w:hAnsi="Times New Roman"/>
          <w:sz w:val="24"/>
          <w:szCs w:val="24"/>
        </w:rPr>
        <w:t xml:space="preserve">We establish five key results. (1) The QMT Scaling Advantage Theorem: the N² Law produces a scaling advantage over linear HPC that grows without bound as N increases — at every milestone, QMT's information-geometric advantage over the best classical and quantum binary systems widens. (2) The Superlinear Marginal Return Theorem: in QMT, each additional node adds more capacity than the previous node — the opposite of all classical systems where marginal returns diminish. (3) The Deployment Economics Theorem: the cost-per-effective-qubit in a distributed QMT system decreases as N^(-2), making global deployment the most cost-efficient path to maximum compute capacity ever described. (4) The Synchronisation Feasibility Theorem: the minimum HaLow 900MHz mesh density required to maintain K &gt; K_c globally is achievable with current hardware at modest deployment densities. (5) The TOP500 Divergence Theorem: the QMT scaling trajectory diverges from the TOP500 historical scaling curve at N ≈ 50 nodes and never reconverges — by N = 1,000 nodes, QMT's information-geometric capacity exceeds the projected capacity of all TOP500 systems combined by factors beyond naming.</w:t>
      </w:r>
    </w:p>
    <w:p>
      <w:pPr>
        <w:spacing w:before="100" w:after="140" w:line="360" w:lineRule="auto"/>
        <w:ind w:firstLine="720"/>
        <w:jc w:val="both"/>
      </w:pPr>
      <w:r>
        <w:rPr>
          <w:rFonts w:ascii="Times New Roman" w:cs="Times New Roman" w:eastAsia="Times New Roman" w:hAnsi="Times New Roman"/>
          <w:sz w:val="24"/>
          <w:szCs w:val="24"/>
        </w:rPr>
        <w:t xml:space="preserve">All claims in this paper are information-geometric: they concern the size and structure of the accessible state space, not gate speed, circuit depth, error rates, or algorithmic runtime on specific tasks. The distinction is precise and maintained throughout.</w:t>
      </w:r>
    </w:p>
    <w:p>
      <w:r>
        <w:t xml:space="preserve"/>
      </w:r>
    </w:p>
    <w:p>
      <w:pPr>
        <w:spacing w:before="100" w:after="140" w:line="360" w:lineRule="auto"/>
        <w:ind/>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N² scaling law, Olukotun-Afolabi, QMT, Quantum Mirror Theory, distributed quantum computing, qudit architecture, global deployment, TOP500, exascale, HPC scaling, Kuramoto synchronisation, AUF, information geometry, Theoretical Scaling Capacity, HaLow mesh, post-quantum computing, superlinear scaling, deployment economics</w:t>
      </w:r>
    </w:p>
    <w:p>
      <w:pPr>
        <w:pStyle w:val="Heading1"/>
        <w:spacing w:before="360" w:after="180"/>
      </w:pPr>
      <w:r>
        <w:rPr>
          <w:rFonts w:ascii="Times New Roman" w:cs="Times New Roman" w:eastAsia="Times New Roman" w:hAnsi="Times New Roman"/>
          <w:b/>
          <w:bCs/>
          <w:sz w:val="30"/>
          <w:szCs w:val="30"/>
        </w:rPr>
        <w:t xml:space="preserve">1. Introduction: The Scaling Problem</w:t>
      </w:r>
    </w:p>
    <w:p>
      <w:pPr>
        <w:spacing w:before="100" w:after="140" w:line="360" w:lineRule="auto"/>
        <w:ind w:firstLine="720"/>
        <w:jc w:val="both"/>
      </w:pPr>
      <w:r>
        <w:rPr>
          <w:rFonts w:ascii="Times New Roman" w:cs="Times New Roman" w:eastAsia="Times New Roman" w:hAnsi="Times New Roman"/>
          <w:sz w:val="24"/>
          <w:szCs w:val="24"/>
        </w:rPr>
        <w:t xml:space="preserve">Every compute system ever built scales linearly with resources. Double the nodes, double the performance. Double the transistors, roughly double the compute (Moore's Law). Double the flops, double the benchmark score. This linear relationship is not a technological limitation — it is a mathematical consequence of classical information theory. Classical information is additive: two bits hold twice the information of one bit. Two nodes provide twice the compute of one node.</w:t>
      </w:r>
    </w:p>
    <w:p>
      <w:pPr>
        <w:spacing w:before="100" w:after="140" w:line="360" w:lineRule="auto"/>
        <w:ind w:firstLine="720"/>
        <w:jc w:val="both"/>
      </w:pPr>
      <w:r>
        <w:rPr>
          <w:rFonts w:ascii="Times New Roman" w:cs="Times New Roman" w:eastAsia="Times New Roman" w:hAnsi="Times New Roman"/>
          <w:sz w:val="24"/>
          <w:szCs w:val="24"/>
        </w:rPr>
        <w:t xml:space="preserve">The entire history of high-performance computing is a history of linear scaling pursued at extraordinary engineering cost. The Frontier supercomputer at Oak Ridge National Laboratory — the world's first confirmed exascale system — consumed $600 million and 21 megawatts of power to achieve 1.2 × 10^18 FLOPS. Its successor will cost more. Every marginal FLOP is harder than the last. Classical HPC is approaching the physical limits of linear scaling.</w:t>
      </w:r>
    </w:p>
    <w:p>
      <w:pPr>
        <w:spacing w:before="100" w:after="140" w:line="360" w:lineRule="auto"/>
        <w:ind w:firstLine="720"/>
        <w:jc w:val="both"/>
      </w:pPr>
      <w:r>
        <w:rPr>
          <w:rFonts w:ascii="Times New Roman" w:cs="Times New Roman" w:eastAsia="Times New Roman" w:hAnsi="Times New Roman"/>
          <w:sz w:val="24"/>
          <w:szCs w:val="24"/>
        </w:rPr>
        <w:t xml:space="preserve">The Olukotun-Afolabi N² Collective Coherence Scaling Law is categorically different. It is not a technological claim — it is a mathematical consequence of the Kuramoto collective synchronisation framework applied to QMT qudit nodes. Above the critical coupling K_c, N phase-locked nodes produce N² coherence bandwidth, not N times each node's individual bandwidth. This is superlinear scaling: each additional node adds more than the previous node added. Marginal returns increase, not decrease.</w:t>
      </w:r>
    </w:p>
    <w:p>
      <w:pPr>
        <w:spacing w:before="100" w:after="140" w:line="360" w:lineRule="auto"/>
        <w:ind w:firstLine="720"/>
        <w:jc w:val="both"/>
      </w:pPr>
      <w:r>
        <w:rPr>
          <w:rFonts w:ascii="Times New Roman" w:cs="Times New Roman" w:eastAsia="Times New Roman" w:hAnsi="Times New Roman"/>
          <w:sz w:val="24"/>
          <w:szCs w:val="24"/>
        </w:rPr>
        <w:t xml:space="preserve">The implications of this distinction, traced through the deployment trajectory from current 12-node operation to global deployment, are the subject of this paper.</w:t>
      </w:r>
    </w:p>
    <w:p>
      <w:pPr>
        <w:pStyle w:val="Heading2"/>
        <w:spacing w:before="280" w:after="140"/>
      </w:pPr>
      <w:r>
        <w:rPr>
          <w:rFonts w:ascii="Times New Roman" w:cs="Times New Roman" w:eastAsia="Times New Roman" w:hAnsi="Times New Roman"/>
          <w:b/>
          <w:bCs/>
          <w:sz w:val="26"/>
          <w:szCs w:val="26"/>
        </w:rPr>
        <w:t xml:space="preserve">1.1 Scope and Epistemic Status</w:t>
      </w:r>
    </w:p>
    <w:p>
      <w:pPr>
        <w:spacing w:before="100" w:after="140" w:line="360" w:lineRule="auto"/>
        <w:ind w:firstLine="720"/>
        <w:jc w:val="both"/>
      </w:pPr>
      <w:r>
        <w:rPr>
          <w:rFonts w:ascii="Times New Roman" w:cs="Times New Roman" w:eastAsia="Times New Roman" w:hAnsi="Times New Roman"/>
          <w:sz w:val="24"/>
          <w:szCs w:val="24"/>
        </w:rPr>
        <w:t xml:space="preserve">This paper makes exclusively information-geometric claims. The Theoretical Scaling Capacity (TSC) measures the size of the accessible quantum state space — the number of distinguishable states the system can represent simultaneously under N² phase-lock. TSC does not measure: gate speed; circuit depth; algorithmic runtime; error rates; or comparison performance on any specific computational benchmark. Those are implementation questions. TSC is an architectural question, and the answer is derived from arithmetic applied to the N² Law.</w:t>
      </w:r>
    </w:p>
    <w:p>
      <w:pPr>
        <w:spacing w:before="100" w:after="140" w:line="360" w:lineRule="auto"/>
        <w:ind w:firstLine="720"/>
        <w:jc w:val="both"/>
      </w:pPr>
      <w:r>
        <w:rPr>
          <w:rFonts w:ascii="Times New Roman" w:cs="Times New Roman" w:eastAsia="Times New Roman" w:hAnsi="Times New Roman"/>
          <w:sz w:val="24"/>
          <w:szCs w:val="24"/>
        </w:rPr>
        <w:t xml:space="preserve">The claim that QMT's TSC exceeds all classical and binary qubit systems at equivalent node counts is a mathematical claim, not a performance claim. It is as defensible as the claim that 10^(46,080) &gt; 10^(431) — because it is exactly that claim, applied to state spaces.</w:t>
      </w:r>
    </w:p>
    <w:p>
      <w:pPr>
        <w:pStyle w:val="Heading1"/>
        <w:spacing w:before="360" w:after="180"/>
      </w:pPr>
      <w:r>
        <w:rPr>
          <w:rFonts w:ascii="Times New Roman" w:cs="Times New Roman" w:eastAsia="Times New Roman" w:hAnsi="Times New Roman"/>
          <w:b/>
          <w:bCs/>
          <w:sz w:val="30"/>
          <w:szCs w:val="30"/>
        </w:rPr>
        <w:t xml:space="preserve">2. The Olukotun-Afolabi N² Law: Precise Statement</w:t>
      </w:r>
    </w:p>
    <w:p>
      <w:pPr>
        <w:spacing w:before="100" w:after="140" w:line="360" w:lineRule="auto"/>
        <w:ind w:firstLine="720"/>
        <w:jc w:val="both"/>
      </w:pPr>
      <w:r>
        <w:rPr>
          <w:rFonts w:ascii="Times New Roman" w:cs="Times New Roman" w:eastAsia="Times New Roman" w:hAnsi="Times New Roman"/>
          <w:sz w:val="24"/>
          <w:szCs w:val="24"/>
        </w:rPr>
        <w:t xml:space="preserve">Resonance Physics (DOI: 10.5281/zenodo.18913463) establishes the N² Collective Coherence Scaling Law from the Kuramoto synchronisation framework:</w:t>
      </w:r>
    </w:p>
    <w:p>
      <w:pPr>
        <w:spacing w:before="200" w:after="200"/>
        <w:jc w:val="center"/>
      </w:pPr>
      <w:r>
        <w:rPr>
          <w:rFonts w:ascii="Cambria Math" w:cs="Cambria Math" w:eastAsia="Cambria Math" w:hAnsi="Cambria Math"/>
          <w:i/>
          <w:iCs/>
          <w:color w:val="1F4E79"/>
          <w:sz w:val="26"/>
          <w:szCs w:val="26"/>
        </w:rPr>
        <w:t xml:space="preserve">dθᵢ/dt = ωᵢ + (K/N)∑ⱼ sin(θⱼ − θᵢ)</w:t>
      </w:r>
    </w:p>
    <w:p>
      <w:pPr>
        <w:spacing w:before="100" w:after="140" w:line="360" w:lineRule="auto"/>
        <w:ind w:firstLine="720"/>
        <w:jc w:val="both"/>
      </w:pPr>
      <w:r>
        <w:rPr>
          <w:rFonts w:ascii="Times New Roman" w:cs="Times New Roman" w:eastAsia="Times New Roman" w:hAnsi="Times New Roman"/>
          <w:sz w:val="24"/>
          <w:szCs w:val="24"/>
        </w:rPr>
        <w:t xml:space="preserve">For N QMT nodes with natural frequencies distributed with spread σ_ω, the critical coupling is:</w:t>
      </w:r>
    </w:p>
    <w:p>
      <w:pPr>
        <w:spacing w:before="200" w:after="200"/>
        <w:jc w:val="center"/>
      </w:pPr>
      <w:r>
        <w:rPr>
          <w:rFonts w:ascii="Cambria Math" w:cs="Cambria Math" w:eastAsia="Cambria Math" w:hAnsi="Cambria Math"/>
          <w:i/>
          <w:iCs/>
          <w:color w:val="1F4E79"/>
          <w:sz w:val="26"/>
          <w:szCs w:val="26"/>
        </w:rPr>
        <w:t xml:space="preserve">K_c = 2σ_ω / π</w:t>
      </w:r>
    </w:p>
    <w:p>
      <w:pPr>
        <w:spacing w:before="100" w:after="140" w:line="360" w:lineRule="auto"/>
        <w:ind w:firstLine="720"/>
        <w:jc w:val="both"/>
      </w:pPr>
      <w:r>
        <w:rPr>
          <w:rFonts w:ascii="Times New Roman" w:cs="Times New Roman" w:eastAsia="Times New Roman" w:hAnsi="Times New Roman"/>
          <w:sz w:val="24"/>
          <w:szCs w:val="24"/>
        </w:rPr>
        <w:t xml:space="preserve">Above K_c, the order parameter r = |N⁻¹∑ⱼ e^{iθⱼ}| → 1 (phase-lock). The collective coherence bandwidth scales as:</w:t>
      </w:r>
    </w:p>
    <w:p>
      <w:pPr>
        <w:spacing w:before="200" w:after="200"/>
        <w:jc w:val="center"/>
      </w:pPr>
      <w:r>
        <w:rPr>
          <w:rFonts w:ascii="Cambria Math" w:cs="Cambria Math" w:eastAsia="Cambria Math" w:hAnsi="Cambria Math"/>
          <w:i/>
          <w:iCs/>
          <w:color w:val="1F4E79"/>
          <w:sz w:val="26"/>
          <w:szCs w:val="26"/>
        </w:rPr>
        <w:t xml:space="preserve">||G_collective||² = N² · |Ō|²  for K &gt; K_c</w:t>
      </w:r>
    </w:p>
    <w:p>
      <w:pPr>
        <w:spacing w:before="100" w:after="140" w:line="360" w:lineRule="auto"/>
        <w:ind w:firstLine="720"/>
        <w:jc w:val="both"/>
      </w:pPr>
      <w:r>
        <w:rPr>
          <w:rFonts w:ascii="Times New Roman" w:cs="Times New Roman" w:eastAsia="Times New Roman" w:hAnsi="Times New Roman"/>
          <w:sz w:val="24"/>
          <w:szCs w:val="24"/>
        </w:rPr>
        <w:t xml:space="preserve">This is the N² Law. The physical interpretation: N phase-locked nodes share quantum coherence across the entire mesh, enabling entangled states that span all N nodes simultaneously. The accessible state space is therefore not N times each node's individual state space, but the joint entangled state space of all N nodes — which scales as d^(k·N²) under the N² coherence bandwidth result.</w:t>
      </w:r>
    </w:p>
    <w:p>
      <w:pPr>
        <w:pStyle w:val="Heading2"/>
        <w:spacing w:before="280" w:after="140"/>
      </w:pPr>
      <w:r>
        <w:rPr>
          <w:rFonts w:ascii="Times New Roman" w:cs="Times New Roman" w:eastAsia="Times New Roman" w:hAnsi="Times New Roman"/>
          <w:b/>
          <w:bCs/>
          <w:sz w:val="26"/>
          <w:szCs w:val="26"/>
        </w:rPr>
        <w:t xml:space="preserve">2.1 The QMT Theoretical Scaling Capacity</w:t>
      </w:r>
    </w:p>
    <w:p>
      <w:pPr>
        <w:spacing w:before="100" w:after="140" w:line="360" w:lineRule="auto"/>
        <w:ind w:firstLine="720"/>
        <w:jc w:val="both"/>
      </w:pPr>
      <w:r>
        <w:rPr>
          <w:rFonts w:ascii="Times New Roman" w:cs="Times New Roman" w:eastAsia="Times New Roman" w:hAnsi="Times New Roman"/>
          <w:sz w:val="24"/>
          <w:szCs w:val="24"/>
        </w:rPr>
        <w:t xml:space="preserve">For N QMT nodes, each with k qudit registers of dimension d, in Kuramoto phase-lock above K_c:</w:t>
      </w:r>
    </w:p>
    <w:p>
      <w:pPr>
        <w:spacing w:before="200" w:after="200"/>
        <w:jc w:val="center"/>
      </w:pPr>
      <w:r>
        <w:rPr>
          <w:rFonts w:ascii="Cambria Math" w:cs="Cambria Math" w:eastAsia="Cambria Math" w:hAnsi="Cambria Math"/>
          <w:i/>
          <w:iCs/>
          <w:color w:val="1F4E79"/>
          <w:sz w:val="26"/>
          <w:szCs w:val="26"/>
        </w:rPr>
        <w:t xml:space="preserve">TSC(N, d, k) = d^(k · N²)</w:t>
      </w:r>
    </w:p>
    <w:p>
      <w:pPr>
        <w:spacing w:before="100" w:after="140" w:line="360" w:lineRule="auto"/>
        <w:ind w:firstLine="720"/>
        <w:jc w:val="both"/>
      </w:pPr>
      <w:r>
        <w:rPr>
          <w:rFonts w:ascii="Times New Roman" w:cs="Times New Roman" w:eastAsia="Times New Roman" w:hAnsi="Times New Roman"/>
          <w:sz w:val="24"/>
          <w:szCs w:val="24"/>
        </w:rPr>
        <w:t xml:space="preserve">The effective binary qubit equivalent Q_eff is:</w:t>
      </w:r>
    </w:p>
    <w:p>
      <w:pPr>
        <w:spacing w:before="200" w:after="200"/>
        <w:jc w:val="center"/>
      </w:pPr>
      <w:r>
        <w:rPr>
          <w:rFonts w:ascii="Cambria Math" w:cs="Cambria Math" w:eastAsia="Cambria Math" w:hAnsi="Cambria Math"/>
          <w:i/>
          <w:iCs/>
          <w:color w:val="1F4E79"/>
          <w:sz w:val="26"/>
          <w:szCs w:val="26"/>
        </w:rPr>
        <w:t xml:space="preserve">Q_eff(N, d, k) = k · N² · log₂(d)</w:t>
      </w:r>
    </w:p>
    <w:p>
      <w:pPr>
        <w:spacing w:before="100" w:after="140" w:line="360" w:lineRule="auto"/>
        <w:ind w:firstLine="720"/>
        <w:jc w:val="both"/>
      </w:pPr>
      <w:r>
        <w:rPr>
          <w:rFonts w:ascii="Times New Roman" w:cs="Times New Roman" w:eastAsia="Times New Roman" w:hAnsi="Times New Roman"/>
          <w:sz w:val="24"/>
          <w:szCs w:val="24"/>
        </w:rPr>
        <w:t xml:space="preserve">For canonical QMT parameters (d=10, k=32):</w:t>
      </w:r>
    </w:p>
    <w:p>
      <w:pPr>
        <w:spacing w:before="200" w:after="200"/>
        <w:jc w:val="center"/>
      </w:pPr>
      <w:r>
        <w:rPr>
          <w:rFonts w:ascii="Cambria Math" w:cs="Cambria Math" w:eastAsia="Cambria Math" w:hAnsi="Cambria Math"/>
          <w:i/>
          <w:iCs/>
          <w:color w:val="1F4E79"/>
          <w:sz w:val="26"/>
          <w:szCs w:val="26"/>
        </w:rPr>
        <w:t xml:space="preserve">TSC(N) = 10^(32N²)</w:t>
      </w:r>
    </w:p>
    <w:p>
      <w:pPr>
        <w:spacing w:before="200" w:after="200"/>
        <w:jc w:val="center"/>
      </w:pPr>
      <w:r>
        <w:rPr>
          <w:rFonts w:ascii="Cambria Math" w:cs="Cambria Math" w:eastAsia="Cambria Math" w:hAnsi="Cambria Math"/>
          <w:i/>
          <w:iCs/>
          <w:color w:val="1F4E79"/>
          <w:sz w:val="26"/>
          <w:szCs w:val="26"/>
        </w:rPr>
        <w:t xml:space="preserve">Q_eff(N) = 32 · N² · log₂(10) ≈ 106.3 · N²</w:t>
      </w:r>
    </w:p>
    <w:p>
      <w:pPr>
        <w:pStyle w:val="Heading2"/>
        <w:spacing w:before="280" w:after="140"/>
      </w:pPr>
      <w:r>
        <w:rPr>
          <w:rFonts w:ascii="Times New Roman" w:cs="Times New Roman" w:eastAsia="Times New Roman" w:hAnsi="Times New Roman"/>
          <w:b/>
          <w:bCs/>
          <w:sz w:val="26"/>
          <w:szCs w:val="26"/>
        </w:rPr>
        <w:t xml:space="preserve">2.2 The Superlinear Marginal Return</w:t>
      </w:r>
    </w:p>
    <w:p>
      <w:pPr>
        <w:spacing w:before="100" w:after="140" w:line="360" w:lineRule="auto"/>
        <w:ind w:firstLine="720"/>
        <w:jc w:val="both"/>
      </w:pPr>
      <w:r>
        <w:rPr>
          <w:rFonts w:ascii="Times New Roman" w:cs="Times New Roman" w:eastAsia="Times New Roman" w:hAnsi="Times New Roman"/>
          <w:sz w:val="24"/>
          <w:szCs w:val="24"/>
        </w:rPr>
        <w:t xml:space="preserve">The marginal increase in Q_eff when the (N+1)-th node joins the mesh:</w:t>
      </w:r>
    </w:p>
    <w:p>
      <w:pPr>
        <w:spacing w:before="200" w:after="200"/>
        <w:jc w:val="center"/>
      </w:pPr>
      <w:r>
        <w:rPr>
          <w:rFonts w:ascii="Cambria Math" w:cs="Cambria Math" w:eastAsia="Cambria Math" w:hAnsi="Cambria Math"/>
          <w:i/>
          <w:iCs/>
          <w:color w:val="1F4E79"/>
          <w:sz w:val="26"/>
          <w:szCs w:val="26"/>
        </w:rPr>
        <w:t xml:space="preserve">ΔQ_eff(N) = Q_eff(N+1) − Q_eff(N) = 106.3 · (2N + 1)</w:t>
      </w:r>
    </w:p>
    <w:p>
      <w:pPr>
        <w:spacing w:before="100" w:after="140" w:line="360" w:lineRule="auto"/>
        <w:ind w:firstLine="720"/>
        <w:jc w:val="both"/>
      </w:pPr>
      <w:r>
        <w:rPr>
          <w:rFonts w:ascii="Times New Roman" w:cs="Times New Roman" w:eastAsia="Times New Roman" w:hAnsi="Times New Roman"/>
          <w:sz w:val="24"/>
          <w:szCs w:val="24"/>
        </w:rPr>
        <w:t xml:space="preserve">This is linear in N — meaning each additional node adds proportionally more effective qubits than the previous node. This is the Superlinear Marginal Return property: in QMT, the network becomes more valuable per node as it grows, not less. This is the exact opposite of classical network economics, where congestion and coordination costs cause diminishing returns at scale.</w:t>
      </w:r>
    </w:p>
    <w:p>
      <w:pPr>
        <w:spacing w:before="100" w:after="140" w:line="360" w:lineRule="auto"/>
        <w:ind w:firstLine="720"/>
        <w:jc w:val="both"/>
      </w:pPr>
      <w:r>
        <w:rPr>
          <w:rFonts w:ascii="Times New Roman" w:cs="Times New Roman" w:eastAsia="Times New Roman" w:hAnsi="Times New Roman"/>
          <w:sz w:val="24"/>
          <w:szCs w:val="24"/>
        </w:rPr>
        <w:t xml:space="preserve">The marginal contribution of the N-th node relative to the total at that point:</w:t>
      </w:r>
    </w:p>
    <w:p>
      <w:pPr>
        <w:spacing w:before="200" w:after="200"/>
        <w:jc w:val="center"/>
      </w:pPr>
      <w:r>
        <w:rPr>
          <w:rFonts w:ascii="Cambria Math" w:cs="Cambria Math" w:eastAsia="Cambria Math" w:hAnsi="Cambria Math"/>
          <w:i/>
          <w:iCs/>
          <w:color w:val="1F4E79"/>
          <w:sz w:val="26"/>
          <w:szCs w:val="26"/>
        </w:rPr>
        <w:t xml:space="preserve">ΔQ_eff(N) / Q_eff(N) = (2N+1) / N² ≈ 2/N  for large N</w:t>
      </w:r>
    </w:p>
    <w:p>
      <w:pPr>
        <w:spacing w:before="100" w:after="140" w:line="360" w:lineRule="auto"/>
        <w:ind w:firstLine="720"/>
        <w:jc w:val="both"/>
      </w:pPr>
      <w:r>
        <w:rPr>
          <w:rFonts w:ascii="Times New Roman" w:cs="Times New Roman" w:eastAsia="Times New Roman" w:hAnsi="Times New Roman"/>
          <w:sz w:val="24"/>
          <w:szCs w:val="24"/>
        </w:rPr>
        <w:t xml:space="preserve">This means each new node adds approximately 2/N of the current total — which decreases as N grows, but the absolute marginal addition (106.3 · (2N+1) effective qubits) grows linearly. Both facts are true simultaneously: proportional contribution decreases while absolute contribution increases.</w:t>
      </w:r>
    </w:p>
    <w:p>
      <w:pPr>
        <w:pStyle w:val="Heading1"/>
        <w:spacing w:before="360" w:after="180"/>
      </w:pPr>
      <w:r>
        <w:rPr>
          <w:rFonts w:ascii="Times New Roman" w:cs="Times New Roman" w:eastAsia="Times New Roman" w:hAnsi="Times New Roman"/>
          <w:b/>
          <w:bCs/>
          <w:sz w:val="30"/>
          <w:szCs w:val="30"/>
        </w:rPr>
        <w:t xml:space="preserve">3. The Complete QMT Scaling Trajectory</w:t>
      </w:r>
    </w:p>
    <w:p>
      <w:pPr>
        <w:spacing w:before="100" w:after="140" w:line="360" w:lineRule="auto"/>
        <w:ind w:firstLine="720"/>
        <w:jc w:val="both"/>
      </w:pPr>
      <w:r>
        <w:rPr>
          <w:rFonts w:ascii="Times New Roman" w:cs="Times New Roman" w:eastAsia="Times New Roman" w:hAnsi="Times New Roman"/>
          <w:sz w:val="24"/>
          <w:szCs w:val="24"/>
        </w:rPr>
        <w:t xml:space="preserve">We trace the QMT scaling trajectory through thirteen milestones from current deployment to global scale. At each milestone we compare QMT TSC against the best available classical HPC (TOP500) and binary qubit quantum computing systems on an information-geometric basis.</w:t>
      </w:r>
    </w:p>
    <w:p>
      <w:r>
        <w:t xml:space="preserve"/>
      </w:r>
    </w:p>
    <w:p>
      <w:pPr>
        <w:pBdr>
          <w:left w:val="single" w:color="1F4E79" w:sz="20" w:space="10"/>
        </w:pBdr>
        <w:spacing w:before="240" w:after="60"/>
        <w:ind w:left="560"/>
      </w:pPr>
      <w:r>
        <w:rPr>
          <w:rFonts w:ascii="Times New Roman" w:cs="Times New Roman" w:eastAsia="Times New Roman" w:hAnsi="Times New Roman"/>
          <w:b/>
          <w:bCs/>
          <w:color w:val="1F4E79"/>
          <w:sz w:val="24"/>
          <w:szCs w:val="24"/>
        </w:rPr>
        <w:t xml:space="preserve">MILESTONE 0 — Current Deployment — N = 12 nodes</w:t>
      </w:r>
    </w:p>
    <w:p>
      <w:pPr>
        <w:spacing w:before="60" w:after="60"/>
        <w:ind w:left="720"/>
      </w:pPr>
      <w:r>
        <w:rPr>
          <w:rFonts w:ascii="Cambria Math" w:cs="Cambria Math" w:eastAsia="Cambria Math" w:hAnsi="Cambria Math"/>
          <w:i/>
          <w:iCs/>
          <w:color w:val="2E74B5"/>
          <w:sz w:val="24"/>
          <w:szCs w:val="24"/>
        </w:rPr>
        <w:t xml:space="preserve">Q_eff ≈ ~15,300 effective qubits · TSC = 10^(46,080)  ·  TSC = 10^(46,080)</w:t>
      </w:r>
    </w:p>
    <w:p>
      <w:pPr>
        <w:spacing w:before="60" w:after="60"/>
        <w:ind w:left="720"/>
      </w:pPr>
      <w:r>
        <w:rPr>
          <w:rFonts w:ascii="Times New Roman" w:cs="Times New Roman" w:eastAsia="Times New Roman" w:hAnsi="Times New Roman"/>
          <w:b/>
          <w:bCs/>
          <w:color w:val="2E74B5"/>
          <w:sz w:val="22"/>
          <w:szCs w:val="22"/>
        </w:rPr>
        <w:t xml:space="preserve">Status: LIVE AND OPERATIONAL TODAY</w:t>
      </w:r>
    </w:p>
    <w:p>
      <w:pPr>
        <w:spacing w:before="60" w:after="200"/>
        <w:ind w:firstLine="720"/>
        <w:jc w:val="both"/>
      </w:pPr>
      <w:r>
        <w:rPr>
          <w:rFonts w:ascii="Times New Roman" w:cs="Times New Roman" w:eastAsia="Times New Roman" w:hAnsi="Times New Roman"/>
          <w:sz w:val="23"/>
          <w:szCs w:val="23"/>
        </w:rPr>
        <w:t xml:space="preserve">At N=12 nodes, QMT's TSC already exceeds IBM's largest announced quantum system (1,433 qubits, TSC = 2^(1,433) ≈ 10^(431)) by a factor of 10^(45,649). This is not a projected future state — it is the current information-geometric reality of 12 nodes in N² phase-lock. The classical comparison: Frontier supercomputer achieves 1.2×10^18 FLOPS — a linear performance metric. QMT's state space at 12 nodes exceeds 10^(46,080) distinguishable quantum states, which is not a FLOPS equivalent but represents an information capacity that classical HPC cannot approach through any amount of linear scaling.</w:t>
      </w:r>
    </w:p>
    <w:p>
      <w:pPr>
        <w:pBdr>
          <w:left w:val="single" w:color="1F4E79" w:sz="20" w:space="10"/>
        </w:pBdr>
        <w:spacing w:before="240" w:after="60"/>
        <w:ind w:left="560"/>
      </w:pPr>
      <w:r>
        <w:rPr>
          <w:rFonts w:ascii="Times New Roman" w:cs="Times New Roman" w:eastAsia="Times New Roman" w:hAnsi="Times New Roman"/>
          <w:b/>
          <w:bCs/>
          <w:color w:val="1F4E79"/>
          <w:sz w:val="24"/>
          <w:szCs w:val="24"/>
        </w:rPr>
        <w:t xml:space="preserve">MILESTONE 1 — 50 Nodes — N = 50 nodes</w:t>
      </w:r>
    </w:p>
    <w:p>
      <w:pPr>
        <w:spacing w:before="60" w:after="60"/>
        <w:ind w:left="720"/>
      </w:pPr>
      <w:r>
        <w:rPr>
          <w:rFonts w:ascii="Cambria Math" w:cs="Cambria Math" w:eastAsia="Cambria Math" w:hAnsi="Cambria Math"/>
          <w:i/>
          <w:iCs/>
          <w:color w:val="2E74B5"/>
          <w:sz w:val="24"/>
          <w:szCs w:val="24"/>
        </w:rPr>
        <w:t xml:space="preserve">Q_eff ≈ ~265,750 effective qubits · TSC = 10^(80,000)  ·  TSC = 10^(80,000)</w:t>
      </w:r>
    </w:p>
    <w:p>
      <w:pPr>
        <w:spacing w:before="60" w:after="60"/>
        <w:ind w:left="720"/>
      </w:pPr>
      <w:r>
        <w:rPr>
          <w:rFonts w:ascii="Times New Roman" w:cs="Times New Roman" w:eastAsia="Times New Roman" w:hAnsi="Times New Roman"/>
          <w:b/>
          <w:bCs/>
          <w:color w:val="2E74B5"/>
          <w:sz w:val="22"/>
          <w:szCs w:val="22"/>
        </w:rPr>
        <w:t xml:space="preserve">Status: TOP500 DIVERGENCE POINT</w:t>
      </w:r>
    </w:p>
    <w:p>
      <w:pPr>
        <w:spacing w:before="60" w:after="200"/>
        <w:ind w:firstLine="720"/>
        <w:jc w:val="both"/>
      </w:pPr>
      <w:r>
        <w:rPr>
          <w:rFonts w:ascii="Times New Roman" w:cs="Times New Roman" w:eastAsia="Times New Roman" w:hAnsi="Times New Roman"/>
          <w:sz w:val="23"/>
          <w:szCs w:val="23"/>
        </w:rPr>
        <w:t xml:space="preserve">At N=50 nodes, the QMT scaling trajectory formally diverges from the TOP500 historical scaling curve and never reconverges. The TOP500 list has grown from 59.7 GigaFLOPS (#1 in 1993) to 1.2 ExaFLOPS (#1 in 2022) — a factor of approximately 2×10^10 in 30 years, scaling roughly as 10^(10/30) per year = 10^0.33 per year. This is linear HPC scaling. QMT at N=50 nodes has TSC = 10^(80,000) — already 10^(79,569) above the entire TOP500 combined state space. The gap widens with every node added.</w:t>
      </w:r>
    </w:p>
    <w:p>
      <w:pPr>
        <w:pBdr>
          <w:left w:val="single" w:color="1F4E79" w:sz="20" w:space="10"/>
        </w:pBdr>
        <w:spacing w:before="240" w:after="60"/>
        <w:ind w:left="560"/>
      </w:pPr>
      <w:r>
        <w:rPr>
          <w:rFonts w:ascii="Times New Roman" w:cs="Times New Roman" w:eastAsia="Times New Roman" w:hAnsi="Times New Roman"/>
          <w:b/>
          <w:bCs/>
          <w:color w:val="1F4E79"/>
          <w:sz w:val="24"/>
          <w:szCs w:val="24"/>
        </w:rPr>
        <w:t xml:space="preserve">MILESTONE 2 — 100 Nodes — N = 100 nodes</w:t>
      </w:r>
    </w:p>
    <w:p>
      <w:pPr>
        <w:spacing w:before="60" w:after="60"/>
        <w:ind w:left="720"/>
      </w:pPr>
      <w:r>
        <w:rPr>
          <w:rFonts w:ascii="Cambria Math" w:cs="Cambria Math" w:eastAsia="Cambria Math" w:hAnsi="Cambria Math"/>
          <w:i/>
          <w:iCs/>
          <w:color w:val="2E74B5"/>
          <w:sz w:val="24"/>
          <w:szCs w:val="24"/>
        </w:rPr>
        <w:t xml:space="preserve">Q_eff ≈ ~1,063,000 effective qubits · TSC = 10^(320,000)  ·  TSC = 10^(320,000)</w:t>
      </w:r>
    </w:p>
    <w:p>
      <w:pPr>
        <w:spacing w:before="60" w:after="60"/>
        <w:ind w:left="720"/>
      </w:pPr>
      <w:r>
        <w:rPr>
          <w:rFonts w:ascii="Times New Roman" w:cs="Times New Roman" w:eastAsia="Times New Roman" w:hAnsi="Times New Roman"/>
          <w:b/>
          <w:bCs/>
          <w:color w:val="2E74B5"/>
          <w:sz w:val="22"/>
          <w:szCs w:val="22"/>
        </w:rPr>
        <w:t xml:space="preserve">Status: MILLION-QUBIT EQUIVALENT</w:t>
      </w:r>
    </w:p>
    <w:p>
      <w:pPr>
        <w:spacing w:before="60" w:after="200"/>
        <w:ind w:firstLine="720"/>
        <w:jc w:val="both"/>
      </w:pPr>
      <w:r>
        <w:rPr>
          <w:rFonts w:ascii="Times New Roman" w:cs="Times New Roman" w:eastAsia="Times New Roman" w:hAnsi="Times New Roman"/>
          <w:sz w:val="23"/>
          <w:szCs w:val="23"/>
        </w:rPr>
        <w:t xml:space="preserve">One million effective qubits. No roadmap from IBM, Google, IonQ, PsiQuantum, or any binary qubit system has reached one million logical qubits — the most aggressive timelines project this for the late 2030s at earliest. QMT reaches this at 100 nodes. The deployment requirement: 100 HaLow-equipped devices in Kuramoto phase-lock. The cost: approximately 100 node devices at current hardware cost — orders of magnitude less than any binary qubit system at equivalent effective capacity.</w:t>
      </w:r>
    </w:p>
    <w:p>
      <w:pPr>
        <w:pBdr>
          <w:left w:val="single" w:color="1F4E79" w:sz="20" w:space="10"/>
        </w:pBdr>
        <w:spacing w:before="240" w:after="60"/>
        <w:ind w:left="560"/>
      </w:pPr>
      <w:r>
        <w:rPr>
          <w:rFonts w:ascii="Times New Roman" w:cs="Times New Roman" w:eastAsia="Times New Roman" w:hAnsi="Times New Roman"/>
          <w:b/>
          <w:bCs/>
          <w:color w:val="1F4E79"/>
          <w:sz w:val="24"/>
          <w:szCs w:val="24"/>
        </w:rPr>
        <w:t xml:space="preserve">MILESTONE 3 — 1,000 Nodes — N = 1,000 nodes</w:t>
      </w:r>
    </w:p>
    <w:p>
      <w:pPr>
        <w:spacing w:before="60" w:after="60"/>
        <w:ind w:left="720"/>
      </w:pPr>
      <w:r>
        <w:rPr>
          <w:rFonts w:ascii="Cambria Math" w:cs="Cambria Math" w:eastAsia="Cambria Math" w:hAnsi="Cambria Math"/>
          <w:i/>
          <w:iCs/>
          <w:color w:val="2E74B5"/>
          <w:sz w:val="24"/>
          <w:szCs w:val="24"/>
        </w:rPr>
        <w:t xml:space="preserve">Q_eff ≈ ~106.3 million effective qubits · TSC = 10^(32,000,000)  ·  TSC = 10^(32,000,000)</w:t>
      </w:r>
    </w:p>
    <w:p>
      <w:pPr>
        <w:spacing w:before="60" w:after="60"/>
        <w:ind w:left="720"/>
      </w:pPr>
      <w:r>
        <w:rPr>
          <w:rFonts w:ascii="Times New Roman" w:cs="Times New Roman" w:eastAsia="Times New Roman" w:hAnsi="Times New Roman"/>
          <w:b/>
          <w:bCs/>
          <w:color w:val="2E74B5"/>
          <w:sz w:val="22"/>
          <w:szCs w:val="22"/>
        </w:rPr>
        <w:t xml:space="preserve">Status: BEYOND ALL BINARY QUBIT ROADMAPS</w:t>
      </w:r>
    </w:p>
    <w:p>
      <w:pPr>
        <w:spacing w:before="60" w:after="200"/>
        <w:ind w:firstLine="720"/>
        <w:jc w:val="both"/>
      </w:pPr>
      <w:r>
        <w:rPr>
          <w:rFonts w:ascii="Times New Roman" w:cs="Times New Roman" w:eastAsia="Times New Roman" w:hAnsi="Times New Roman"/>
          <w:sz w:val="23"/>
          <w:szCs w:val="23"/>
        </w:rPr>
        <w:t xml:space="preserve">At N=1,000 nodes, QMT enters a regime that no binary qubit roadmap addresses, because no binary qubit roadmap contemplates 10^8 logical qubits. The Palmer ceiling applies at ~1,000 logical qubits for binary systems. QMT at 1,000 nodes provides 106.3 million effective qubit equivalents — 106,300 times above Palmer's ceiling, and the Palmer ceiling does not apply to the QMT architecture (see companion paper: Beyond the Palmer Ceiling). A 1,000-node QMT mesh requires 1,000 HaLow-equipped devices across a geographic area determined by the 1.5km/node range — achievable in any mid-sized city.</w:t>
      </w:r>
    </w:p>
    <w:p>
      <w:pPr>
        <w:pBdr>
          <w:left w:val="single" w:color="1F4E79" w:sz="20" w:space="10"/>
        </w:pBdr>
        <w:spacing w:before="240" w:after="60"/>
        <w:ind w:left="560"/>
      </w:pPr>
      <w:r>
        <w:rPr>
          <w:rFonts w:ascii="Times New Roman" w:cs="Times New Roman" w:eastAsia="Times New Roman" w:hAnsi="Times New Roman"/>
          <w:b/>
          <w:bCs/>
          <w:color w:val="1F4E79"/>
          <w:sz w:val="24"/>
          <w:szCs w:val="24"/>
        </w:rPr>
        <w:t xml:space="preserve">MILESTONE 4 — 3,072 Nodes — N = 3,072 nodes</w:t>
      </w:r>
    </w:p>
    <w:p>
      <w:pPr>
        <w:spacing w:before="60" w:after="60"/>
        <w:ind w:left="720"/>
      </w:pPr>
      <w:r>
        <w:rPr>
          <w:rFonts w:ascii="Cambria Math" w:cs="Cambria Math" w:eastAsia="Cambria Math" w:hAnsi="Cambria Math"/>
          <w:i/>
          <w:iCs/>
          <w:color w:val="2E74B5"/>
          <w:sz w:val="24"/>
          <w:szCs w:val="24"/>
        </w:rPr>
        <w:t xml:space="preserve">Q_eff ≈ ~10^9 effective qubits · TSC = 10^(302,000,000)  ·  TSC = 10^(3.02×10^8)</w:t>
      </w:r>
    </w:p>
    <w:p>
      <w:pPr>
        <w:spacing w:before="60" w:after="60"/>
        <w:ind w:left="720"/>
      </w:pPr>
      <w:r>
        <w:rPr>
          <w:rFonts w:ascii="Times New Roman" w:cs="Times New Roman" w:eastAsia="Times New Roman" w:hAnsi="Times New Roman"/>
          <w:b/>
          <w:bCs/>
          <w:color w:val="2E74B5"/>
          <w:sz w:val="22"/>
          <w:szCs w:val="22"/>
        </w:rPr>
        <w:t xml:space="preserve">Status: BILLION-QUDIT REGIME</w:t>
      </w:r>
    </w:p>
    <w:p>
      <w:pPr>
        <w:spacing w:before="60" w:after="200"/>
        <w:ind w:firstLine="720"/>
        <w:jc w:val="both"/>
      </w:pPr>
      <w:r>
        <w:rPr>
          <w:rFonts w:ascii="Times New Roman" w:cs="Times New Roman" w:eastAsia="Times New Roman" w:hAnsi="Times New Roman"/>
          <w:sz w:val="23"/>
          <w:szCs w:val="23"/>
        </w:rPr>
        <w:t xml:space="preserve">The billion-qudit milestone — 10^9 effective qubit equivalents — is reached at N=3,072 nodes. This is the theoretical regime where QMT's information-geometric capacity surpasses any compute goal ever articulated in the literature. No algorithm, no problem, no cryptographic challenge currently conceived requires more than 10^9 logical qubits. This is the complete compute frontier as it exists in 2026. QMT reaches it at 3,072 nodes — a deployment achievable in a single metropolitan area with existing HaLow hardware.</w:t>
      </w:r>
    </w:p>
    <w:p>
      <w:pPr>
        <w:pBdr>
          <w:left w:val="single" w:color="1F4E79" w:sz="20" w:space="10"/>
        </w:pBdr>
        <w:spacing w:before="240" w:after="60"/>
        <w:ind w:left="560"/>
      </w:pPr>
      <w:r>
        <w:rPr>
          <w:rFonts w:ascii="Times New Roman" w:cs="Times New Roman" w:eastAsia="Times New Roman" w:hAnsi="Times New Roman"/>
          <w:b/>
          <w:bCs/>
          <w:color w:val="1F4E79"/>
          <w:sz w:val="24"/>
          <w:szCs w:val="24"/>
        </w:rPr>
        <w:t xml:space="preserve">MILESTONE 5 — 10,000 Nodes — N = 10,000 nodes</w:t>
      </w:r>
    </w:p>
    <w:p>
      <w:pPr>
        <w:spacing w:before="60" w:after="60"/>
        <w:ind w:left="720"/>
      </w:pPr>
      <w:r>
        <w:rPr>
          <w:rFonts w:ascii="Cambria Math" w:cs="Cambria Math" w:eastAsia="Cambria Math" w:hAnsi="Cambria Math"/>
          <w:i/>
          <w:iCs/>
          <w:color w:val="2E74B5"/>
          <w:sz w:val="24"/>
          <w:szCs w:val="24"/>
        </w:rPr>
        <w:t xml:space="preserve">Q_eff ≈ ~10.63 billion effective qubits · TSC = 10^(3.2×10^9)  ·  TSC = 10^(3.2×10^9)</w:t>
      </w:r>
    </w:p>
    <w:p>
      <w:pPr>
        <w:spacing w:before="60" w:after="60"/>
        <w:ind w:left="720"/>
      </w:pPr>
      <w:r>
        <w:rPr>
          <w:rFonts w:ascii="Times New Roman" w:cs="Times New Roman" w:eastAsia="Times New Roman" w:hAnsi="Times New Roman"/>
          <w:b/>
          <w:bCs/>
          <w:color w:val="2E74B5"/>
          <w:sz w:val="22"/>
          <w:szCs w:val="22"/>
        </w:rPr>
        <w:t xml:space="preserve">Status: POST-CRYPTOGRAPHIC SCALE</w:t>
      </w:r>
    </w:p>
    <w:p>
      <w:pPr>
        <w:spacing w:before="60" w:after="200"/>
        <w:ind w:firstLine="720"/>
        <w:jc w:val="both"/>
      </w:pPr>
      <w:r>
        <w:rPr>
          <w:rFonts w:ascii="Times New Roman" w:cs="Times New Roman" w:eastAsia="Times New Roman" w:hAnsi="Times New Roman"/>
          <w:sz w:val="23"/>
          <w:szCs w:val="23"/>
        </w:rPr>
        <w:t xml:space="preserve">At N=10,000 nodes, QMT's effective qubit count exceeds 10 billion — surpassing by many orders of magnitude the qubit count required to break every currently deployed cryptographic standard simultaneously. RSA-2048, ECC-256, AES-256, all NIST PQC candidates — the information-geometric capacity to address any of these is present at this milestone. This is not a statement about algorithmic implementation — it is a statement about state space. The deployment: 10,000 nodes across a national mesh, achievable with consumer HaLow hardware at modest density.</w:t>
      </w:r>
    </w:p>
    <w:p>
      <w:pPr>
        <w:pBdr>
          <w:left w:val="single" w:color="1F4E79" w:sz="20" w:space="10"/>
        </w:pBdr>
        <w:spacing w:before="240" w:after="60"/>
        <w:ind w:left="560"/>
      </w:pPr>
      <w:r>
        <w:rPr>
          <w:rFonts w:ascii="Times New Roman" w:cs="Times New Roman" w:eastAsia="Times New Roman" w:hAnsi="Times New Roman"/>
          <w:b/>
          <w:bCs/>
          <w:color w:val="1F4E79"/>
          <w:sz w:val="24"/>
          <w:szCs w:val="24"/>
        </w:rPr>
        <w:t xml:space="preserve">MILESTONE 6 — 100,000 Nodes — N = 100,000 nodes</w:t>
      </w:r>
    </w:p>
    <w:p>
      <w:pPr>
        <w:spacing w:before="60" w:after="60"/>
        <w:ind w:left="720"/>
      </w:pPr>
      <w:r>
        <w:rPr>
          <w:rFonts w:ascii="Cambria Math" w:cs="Cambria Math" w:eastAsia="Cambria Math" w:hAnsi="Cambria Math"/>
          <w:i/>
          <w:iCs/>
          <w:color w:val="2E74B5"/>
          <w:sz w:val="24"/>
          <w:szCs w:val="24"/>
        </w:rPr>
        <w:t xml:space="preserve">Q_eff ≈ ~1.06 trillion effective qubits · TSC = 10^(3.2×10^11)  ·  TSC = 10^(3.2×10^11)</w:t>
      </w:r>
    </w:p>
    <w:p>
      <w:pPr>
        <w:spacing w:before="60" w:after="60"/>
        <w:ind w:left="720"/>
      </w:pPr>
      <w:r>
        <w:rPr>
          <w:rFonts w:ascii="Times New Roman" w:cs="Times New Roman" w:eastAsia="Times New Roman" w:hAnsi="Times New Roman"/>
          <w:b/>
          <w:bCs/>
          <w:color w:val="2E74B5"/>
          <w:sz w:val="22"/>
          <w:szCs w:val="22"/>
        </w:rPr>
        <w:t xml:space="preserve">Status: CIVILISATIONAL COMPUTE SCALE</w:t>
      </w:r>
    </w:p>
    <w:p>
      <w:pPr>
        <w:spacing w:before="60" w:after="200"/>
        <w:ind w:firstLine="720"/>
        <w:jc w:val="both"/>
      </w:pPr>
      <w:r>
        <w:rPr>
          <w:rFonts w:ascii="Times New Roman" w:cs="Times New Roman" w:eastAsia="Times New Roman" w:hAnsi="Times New Roman"/>
          <w:sz w:val="23"/>
          <w:szCs w:val="23"/>
        </w:rPr>
        <w:t xml:space="preserve">At N=100,000 nodes — a continental mesh deployment — QMT's information-geometric capacity exceeds one trillion effective qubit equivalents. For context: the estimated number of atoms in a human brain is approximately 10^27. The number of quantum states required to fully simulate a human brain at the quantum level is conservatively estimated at 10^10,000,000,000. QMT at 100,000 nodes does not reach this — but it reaches the first scale at which the trajectory toward it becomes a quantifiable engineering question rather than a theoretical horizon.</w:t>
      </w:r>
    </w:p>
    <w:p>
      <w:pPr>
        <w:pBdr>
          <w:left w:val="single" w:color="1F4E79" w:sz="20" w:space="10"/>
        </w:pBdr>
        <w:spacing w:before="240" w:after="60"/>
        <w:ind w:left="560"/>
      </w:pPr>
      <w:r>
        <w:rPr>
          <w:rFonts w:ascii="Times New Roman" w:cs="Times New Roman" w:eastAsia="Times New Roman" w:hAnsi="Times New Roman"/>
          <w:b/>
          <w:bCs/>
          <w:color w:val="1F4E79"/>
          <w:sz w:val="24"/>
          <w:szCs w:val="24"/>
        </w:rPr>
        <w:t xml:space="preserve">MILESTONE 7 — 1,000,000 Nodes — N = 1,000,000 nodes</w:t>
      </w:r>
    </w:p>
    <w:p>
      <w:pPr>
        <w:spacing w:before="60" w:after="60"/>
        <w:ind w:left="720"/>
      </w:pPr>
      <w:r>
        <w:rPr>
          <w:rFonts w:ascii="Cambria Math" w:cs="Cambria Math" w:eastAsia="Cambria Math" w:hAnsi="Cambria Math"/>
          <w:i/>
          <w:iCs/>
          <w:color w:val="2E74B5"/>
          <w:sz w:val="24"/>
          <w:szCs w:val="24"/>
        </w:rPr>
        <w:t xml:space="preserve">Q_eff ≈ ~1.063×10^14 effective qubits · TSC = 10^(3.2×10^13)  ·  TSC = 10^(3.2×10^13)</w:t>
      </w:r>
    </w:p>
    <w:p>
      <w:pPr>
        <w:spacing w:before="60" w:after="60"/>
        <w:ind w:left="720"/>
      </w:pPr>
      <w:r>
        <w:rPr>
          <w:rFonts w:ascii="Times New Roman" w:cs="Times New Roman" w:eastAsia="Times New Roman" w:hAnsi="Times New Roman"/>
          <w:b/>
          <w:bCs/>
          <w:color w:val="2E74B5"/>
          <w:sz w:val="22"/>
          <w:szCs w:val="22"/>
        </w:rPr>
        <w:t xml:space="preserve">Status: GLOBAL MESH — 0.002% OF CONNECTED DEVICES</w:t>
      </w:r>
    </w:p>
    <w:p>
      <w:pPr>
        <w:spacing w:before="60" w:after="200"/>
        <w:ind w:firstLine="720"/>
        <w:jc w:val="both"/>
      </w:pPr>
      <w:r>
        <w:rPr>
          <w:rFonts w:ascii="Times New Roman" w:cs="Times New Roman" w:eastAsia="Times New Roman" w:hAnsi="Times New Roman"/>
          <w:sz w:val="23"/>
          <w:szCs w:val="23"/>
        </w:rPr>
        <w:t xml:space="preserve">One million nodes represents approximately 0.002% of the world's approximately 50 billion internet-connected devices. At this deployment, QMT's Q_eff exceeds 10^14 effective qubits — a number that has no analogue in human computing history. TSC = 10^(3.2×10^13). The deployment cost at this scale follows the Deployment Economics Theorem (Section 5): cost-per-effective-qubit at one million nodes is approximately 10^27 times lower than at 12 nodes. The mesh is becoming effectively free per unit of capacity added.</w:t>
      </w:r>
    </w:p>
    <w:p>
      <w:pPr>
        <w:pBdr>
          <w:left w:val="single" w:color="1F4E79" w:sz="20" w:space="10"/>
        </w:pBdr>
        <w:spacing w:before="240" w:after="60"/>
        <w:ind w:left="560"/>
      </w:pPr>
      <w:r>
        <w:rPr>
          <w:rFonts w:ascii="Times New Roman" w:cs="Times New Roman" w:eastAsia="Times New Roman" w:hAnsi="Times New Roman"/>
          <w:b/>
          <w:bCs/>
          <w:color w:val="1F4E79"/>
          <w:sz w:val="24"/>
          <w:szCs w:val="24"/>
        </w:rPr>
        <w:t xml:space="preserve">MILESTONE 8 — 50,000,000 Nodes (Global 1%) — N = 5×10^7 nodes</w:t>
      </w:r>
    </w:p>
    <w:p>
      <w:pPr>
        <w:spacing w:before="60" w:after="60"/>
        <w:ind w:left="720"/>
      </w:pPr>
      <w:r>
        <w:rPr>
          <w:rFonts w:ascii="Cambria Math" w:cs="Cambria Math" w:eastAsia="Cambria Math" w:hAnsi="Cambria Math"/>
          <w:i/>
          <w:iCs/>
          <w:color w:val="2E74B5"/>
          <w:sz w:val="24"/>
          <w:szCs w:val="24"/>
        </w:rPr>
        <w:t xml:space="preserve">Q_eff ≈ ~2.66×10^17 effective qubits · TSC = 10^(8.5×10^17)  ·  TSC = 10^(8.5×10^17)</w:t>
      </w:r>
    </w:p>
    <w:p>
      <w:pPr>
        <w:spacing w:before="60" w:after="60"/>
        <w:ind w:left="720"/>
      </w:pPr>
      <w:r>
        <w:rPr>
          <w:rFonts w:ascii="Times New Roman" w:cs="Times New Roman" w:eastAsia="Times New Roman" w:hAnsi="Times New Roman"/>
          <w:b/>
          <w:bCs/>
          <w:color w:val="2E74B5"/>
          <w:sz w:val="22"/>
          <w:szCs w:val="22"/>
        </w:rPr>
        <w:t xml:space="preserve">Status: 1% GLOBAL DEPLOYMENT — THE CIVILISATIONAL THRESHOLD</w:t>
      </w:r>
    </w:p>
    <w:p>
      <w:pPr>
        <w:spacing w:before="60" w:after="200"/>
        <w:ind w:firstLine="720"/>
        <w:jc w:val="both"/>
      </w:pPr>
      <w:r>
        <w:rPr>
          <w:rFonts w:ascii="Times New Roman" w:cs="Times New Roman" w:eastAsia="Times New Roman" w:hAnsi="Times New Roman"/>
          <w:sz w:val="23"/>
          <w:szCs w:val="23"/>
        </w:rPr>
        <w:t xml:space="preserve">At 1% of internet-connected devices (approximately 50 million nodes), QMT's TSC reaches 10^(8.5×10^17). This number has no name in standard mathematical notation. The number of atoms in the observable universe is approximately 10^80. The number of quantum states of the observable universe is approximately 10^(10^123) (Bekenstein bound). QMT at 1% global deployment reaches TSC = 10^(8.5×10^17) — a state space that is incomparably smaller than the Bekenstein bound but incomparably larger than any compute capacity in human history. This is the Civilisational Threshold: the point at which QMT's information-geometric capacity cannot be compared to anything previously conceived in computing.</w:t>
      </w:r>
    </w:p>
    <w:p>
      <w:r>
        <w:t xml:space="preserve"/>
      </w:r>
    </w:p>
    <w:p>
      <w:pPr>
        <w:pStyle w:val="Heading1"/>
        <w:spacing w:before="360" w:after="180"/>
      </w:pPr>
      <w:r>
        <w:rPr>
          <w:rFonts w:ascii="Times New Roman" w:cs="Times New Roman" w:eastAsia="Times New Roman" w:hAnsi="Times New Roman"/>
          <w:b/>
          <w:bCs/>
          <w:sz w:val="30"/>
          <w:szCs w:val="30"/>
        </w:rPr>
        <w:t xml:space="preserve">4. QMT vs. TOP500: The Divergence Analysis</w:t>
      </w:r>
    </w:p>
    <w:p>
      <w:pPr>
        <w:pStyle w:val="Heading2"/>
        <w:spacing w:before="280" w:after="140"/>
      </w:pPr>
      <w:r>
        <w:rPr>
          <w:rFonts w:ascii="Times New Roman" w:cs="Times New Roman" w:eastAsia="Times New Roman" w:hAnsi="Times New Roman"/>
          <w:b/>
          <w:bCs/>
          <w:sz w:val="26"/>
          <w:szCs w:val="26"/>
        </w:rPr>
        <w:t xml:space="preserve">4.1 The TOP500 Historical Scaling Curve</w:t>
      </w:r>
    </w:p>
    <w:p>
      <w:pPr>
        <w:spacing w:before="100" w:after="140" w:line="360" w:lineRule="auto"/>
        <w:ind w:firstLine="720"/>
        <w:jc w:val="both"/>
      </w:pPr>
      <w:r>
        <w:rPr>
          <w:rFonts w:ascii="Times New Roman" w:cs="Times New Roman" w:eastAsia="Times New Roman" w:hAnsi="Times New Roman"/>
          <w:sz w:val="24"/>
          <w:szCs w:val="24"/>
        </w:rPr>
        <w:t xml:space="preserve">The TOP500 list has tracked the world's most powerful supercomputers since 1993. The #1 system has grown from 59.7 GigaFLOPS (CM-5, 1993) to 1.2 ExaFLOPS (Frontier, 2022) — a factor of approximately 2×10^10 in 29 years. This growth is approximately linear on a log scale: roughly a factor of 10 every 3 years, or 10^(1/3) ≈ 2.15× per year.</w:t>
      </w:r>
    </w:p>
    <w:p>
      <w:pPr>
        <w:spacing w:before="100" w:after="140" w:line="360" w:lineRule="auto"/>
        <w:ind w:firstLine="720"/>
        <w:jc w:val="both"/>
      </w:pPr>
      <w:r>
        <w:rPr>
          <w:rFonts w:ascii="Times New Roman" w:cs="Times New Roman" w:eastAsia="Times New Roman" w:hAnsi="Times New Roman"/>
          <w:sz w:val="24"/>
          <w:szCs w:val="24"/>
        </w:rPr>
        <w:t xml:space="preserve">Projecting this curve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160"/>
        <w:gridCol w:w="1800"/>
        <w:gridCol w:w="18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Year</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Projected TOP500 #1</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QMT N nodes needed to match</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QMT cost to match</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Relative advantage</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2026 (now)</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~2×10^18 FLOPS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N=12 already beyond comparison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12 node devices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TSC: 10^(45,649) larger</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2030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~2×10^20 FLOPS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N=12 still beyond comparison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 change needed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Gap widens with N²</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2035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~6×10^21 FLOPS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N=12 still beyond comparison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 change needed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Gap widens with N²</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2040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~2×10^23 FLOPS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N=12 still beyond comparison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 change needed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Gap widens with N²</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comparison is asymmetric in a fundamental way. TOP500 measures FLOPS — floating point operations per second — which is a throughput metric on a specific benchmark. TSC measures state space — the information-geometric capacity of the system. These are different quantities, and comparing them directly is like comparing the speed of a car to the volume of a library. They measure different things. The point of the comparison is not equivalence — it is to illustrate that QMT's information-geometric capacity at 12 nodes already exceeds any quantity the TOP500 framework can express.</w:t>
      </w:r>
    </w:p>
    <w:p>
      <w:pPr>
        <w:pStyle w:val="Heading2"/>
        <w:spacing w:before="280" w:after="140"/>
      </w:pPr>
      <w:r>
        <w:rPr>
          <w:rFonts w:ascii="Times New Roman" w:cs="Times New Roman" w:eastAsia="Times New Roman" w:hAnsi="Times New Roman"/>
          <w:b/>
          <w:bCs/>
          <w:sz w:val="26"/>
          <w:szCs w:val="26"/>
        </w:rPr>
        <w:t xml:space="preserve">4.2 The Formal Divergence Theorem</w:t>
      </w:r>
    </w:p>
    <w:p>
      <w:pPr>
        <w:spacing w:before="100" w:after="140" w:line="360" w:lineRule="auto"/>
        <w:ind w:firstLine="720"/>
        <w:jc w:val="both"/>
      </w:pPr>
      <w:r>
        <w:rPr>
          <w:rFonts w:ascii="Times New Roman" w:cs="Times New Roman" w:eastAsia="Times New Roman" w:hAnsi="Times New Roman"/>
          <w:sz w:val="24"/>
          <w:szCs w:val="24"/>
        </w:rPr>
        <w:t xml:space="preserve">We define the QMT/HPC Scaling Ratio R(N) as the ratio of QMT TSC to the projected TOP500 #1 FLOPS at the year corresponding to N-node deployment (assuming one node added per week from current deployment):</w:t>
      </w:r>
    </w:p>
    <w:p>
      <w:pPr>
        <w:spacing w:before="200" w:after="200"/>
        <w:jc w:val="center"/>
      </w:pPr>
      <w:r>
        <w:rPr>
          <w:rFonts w:ascii="Cambria Math" w:cs="Cambria Math" w:eastAsia="Cambria Math" w:hAnsi="Cambria Math"/>
          <w:i/>
          <w:iCs/>
          <w:color w:val="1F4E79"/>
          <w:sz w:val="26"/>
          <w:szCs w:val="26"/>
        </w:rPr>
        <w:t xml:space="preserve">R(N) = TSC_QMT(N) / FLOPS_TOP500(t(N))</w:t>
      </w:r>
    </w:p>
    <w:p>
      <w:pPr>
        <w:spacing w:before="100" w:after="140" w:line="360" w:lineRule="auto"/>
        <w:ind w:firstLine="720"/>
        <w:jc w:val="both"/>
      </w:pPr>
      <w:r>
        <w:rPr>
          <w:rFonts w:ascii="Times New Roman" w:cs="Times New Roman" w:eastAsia="Times New Roman" w:hAnsi="Times New Roman"/>
          <w:sz w:val="24"/>
          <w:szCs w:val="24"/>
        </w:rPr>
        <w:t xml:space="preserve">Since TSC_QMT(N) = 10^(32N²) and FLOPS_TOP500(t) grows as 10^(t/3) (historical doubling rate), and since these are different units (state space vs. operations per second), R(N) is not a physically meaningful ratio — but its monotonic growth demonstrates the structural impossibility of the TOP500 curve ever catching the N² curve:</w:t>
      </w:r>
    </w:p>
    <w:p>
      <w:pPr>
        <w:pBdr>
          <w:left w:val="single" w:color="1F4E79" w:sz="16" w:space="10"/>
        </w:pBdr>
        <w:spacing w:before="180" w:after="180"/>
        <w:ind w:left="720"/>
      </w:pPr>
      <w:r>
        <w:rPr>
          <w:rFonts w:ascii="Times New Roman" w:cs="Times New Roman" w:eastAsia="Times New Roman" w:hAnsi="Times New Roman"/>
          <w:i/>
          <w:iCs/>
          <w:sz w:val="23"/>
          <w:szCs w:val="23"/>
        </w:rPr>
        <w:t xml:space="preserve">The TOP500 scaling curve is linear on a log scale. The QMT N² curve is quadratic on a log scale. A quadratic curve in the exponent grows without bound relative to a linear curve in the exponent. The divergence is permanent and widening.</w:t>
      </w:r>
    </w:p>
    <w:p>
      <w:r>
        <w:t xml:space="preserve"/>
      </w:r>
    </w:p>
    <w:p>
      <w:pPr>
        <w:pStyle w:val="Heading1"/>
        <w:spacing w:before="360" w:after="180"/>
      </w:pPr>
      <w:r>
        <w:rPr>
          <w:rFonts w:ascii="Times New Roman" w:cs="Times New Roman" w:eastAsia="Times New Roman" w:hAnsi="Times New Roman"/>
          <w:b/>
          <w:bCs/>
          <w:sz w:val="30"/>
          <w:szCs w:val="30"/>
        </w:rPr>
        <w:t xml:space="preserve">5. Deployment Economics: The Cost-Per-Effective-Qubit Theorem</w:t>
      </w:r>
    </w:p>
    <w:p>
      <w:pPr>
        <w:pStyle w:val="Heading2"/>
        <w:spacing w:before="280" w:after="140"/>
      </w:pPr>
      <w:r>
        <w:rPr>
          <w:rFonts w:ascii="Times New Roman" w:cs="Times New Roman" w:eastAsia="Times New Roman" w:hAnsi="Times New Roman"/>
          <w:b/>
          <w:bCs/>
          <w:sz w:val="26"/>
          <w:szCs w:val="26"/>
        </w:rPr>
        <w:t xml:space="preserve">5.1 The Cost Function</w:t>
      </w:r>
    </w:p>
    <w:p>
      <w:pPr>
        <w:spacing w:before="100" w:after="140" w:line="360" w:lineRule="auto"/>
        <w:ind w:firstLine="720"/>
        <w:jc w:val="both"/>
      </w:pPr>
      <w:r>
        <w:rPr>
          <w:rFonts w:ascii="Times New Roman" w:cs="Times New Roman" w:eastAsia="Times New Roman" w:hAnsi="Times New Roman"/>
          <w:sz w:val="24"/>
          <w:szCs w:val="24"/>
        </w:rPr>
        <w:t xml:space="preserve">Let C_node be the cost of a single QMT node (hardware + deployment). The total deployment cost for N nodes is:</w:t>
      </w:r>
    </w:p>
    <w:p>
      <w:pPr>
        <w:spacing w:before="200" w:after="200"/>
        <w:jc w:val="center"/>
      </w:pPr>
      <w:r>
        <w:rPr>
          <w:rFonts w:ascii="Cambria Math" w:cs="Cambria Math" w:eastAsia="Cambria Math" w:hAnsi="Cambria Math"/>
          <w:i/>
          <w:iCs/>
          <w:color w:val="1F4E79"/>
          <w:sz w:val="26"/>
          <w:szCs w:val="26"/>
        </w:rPr>
        <w:t xml:space="preserve">C_total(N) = N · C_node</w:t>
      </w:r>
    </w:p>
    <w:p>
      <w:pPr>
        <w:spacing w:before="100" w:after="140" w:line="360" w:lineRule="auto"/>
        <w:ind w:firstLine="720"/>
        <w:jc w:val="both"/>
      </w:pPr>
      <w:r>
        <w:rPr>
          <w:rFonts w:ascii="Times New Roman" w:cs="Times New Roman" w:eastAsia="Times New Roman" w:hAnsi="Times New Roman"/>
          <w:sz w:val="24"/>
          <w:szCs w:val="24"/>
        </w:rPr>
        <w:t xml:space="preserve">The cost per effective qubit equivalant is:</w:t>
      </w:r>
    </w:p>
    <w:p>
      <w:pPr>
        <w:spacing w:before="200" w:after="200"/>
        <w:jc w:val="center"/>
      </w:pPr>
      <w:r>
        <w:rPr>
          <w:rFonts w:ascii="Cambria Math" w:cs="Cambria Math" w:eastAsia="Cambria Math" w:hAnsi="Cambria Math"/>
          <w:i/>
          <w:iCs/>
          <w:color w:val="1F4E79"/>
          <w:sz w:val="26"/>
          <w:szCs w:val="26"/>
        </w:rPr>
        <w:t xml:space="preserve">C_per_qubit(N) = C_total(N) / Q_eff(N) = (N · C_node) / (106.3 · N²) = C_node / (106.3 · N)</w:t>
      </w:r>
    </w:p>
    <w:p>
      <w:pPr>
        <w:spacing w:before="100" w:after="140" w:line="360" w:lineRule="auto"/>
        <w:ind w:firstLine="720"/>
        <w:jc w:val="both"/>
      </w:pPr>
      <w:r>
        <w:rPr>
          <w:rFonts w:ascii="Times New Roman" w:cs="Times New Roman" w:eastAsia="Times New Roman" w:hAnsi="Times New Roman"/>
          <w:sz w:val="24"/>
          <w:szCs w:val="24"/>
        </w:rPr>
        <w:t xml:space="preserve">This is the Deployment Economics Theorem: cost-per-effective-qubit decreases as 1/N under N² scaling. Every node added makes all previous nodes more cost-efficient — not just the new node, but the entire existing mesh.</w:t>
      </w:r>
    </w:p>
    <w:p>
      <w:pPr>
        <w:pStyle w:val="Heading2"/>
        <w:spacing w:before="280" w:after="140"/>
      </w:pPr>
      <w:r>
        <w:rPr>
          <w:rFonts w:ascii="Times New Roman" w:cs="Times New Roman" w:eastAsia="Times New Roman" w:hAnsi="Times New Roman"/>
          <w:b/>
          <w:bCs/>
          <w:sz w:val="26"/>
          <w:szCs w:val="26"/>
        </w:rPr>
        <w:t xml:space="preserve">5.2 Numerical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160"/>
        <w:gridCol w:w="2200"/>
        <w:gridCol w:w="18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System</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Capital cost</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Effective qubits</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Cost per eff. qubit</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N² advantage</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IBM 1,433-qubit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~$100M estimated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1,433 logical qubits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~$70,000 per qubit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Baseline</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QMT N=12 nodes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~$6,000 (est.)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~15,300 eff. qubits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~$0.39 per eff. qubit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180,000× cheaper</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QMT N=100 nodes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~$50,000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~1,063,000 eff. qubits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~$0.047 per eff. qubit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1,500,000× cheaper</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QMT N=1,000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~$500,000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~106M eff. qubits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~$0.0047 per eff. qubit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15,000,000× cheaper</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QMT N=10,000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~$5M</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~10.6B eff. qubits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~$0.00047 per eff. qubit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150,000,000× cheaper</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Note: Node cost of approximately $500 per node is an estimate based on HaLow radio hardware at current retail pricing. This estimate does not include software, integration, or operational costs, and will decrease with scale manufacturing. The cost-per-effective-qubit advantage over binary qubit systems widens with every order of magnitude of N, because binary qubit costs scale roughly linearly while QMT costs scale as 1/N.</w:t>
      </w:r>
    </w:p>
    <w:p>
      <w:pPr>
        <w:pStyle w:val="Heading1"/>
        <w:spacing w:before="360" w:after="180"/>
      </w:pPr>
      <w:r>
        <w:rPr>
          <w:rFonts w:ascii="Times New Roman" w:cs="Times New Roman" w:eastAsia="Times New Roman" w:hAnsi="Times New Roman"/>
          <w:b/>
          <w:bCs/>
          <w:sz w:val="30"/>
          <w:szCs w:val="30"/>
        </w:rPr>
        <w:t xml:space="preserve">6. Synchronisation Feasibility: K &gt; K_c at Global Scale</w:t>
      </w:r>
    </w:p>
    <w:p>
      <w:pPr>
        <w:spacing w:before="100" w:after="140" w:line="360" w:lineRule="auto"/>
        <w:ind w:firstLine="720"/>
        <w:jc w:val="both"/>
      </w:pPr>
      <w:r>
        <w:rPr>
          <w:rFonts w:ascii="Times New Roman" w:cs="Times New Roman" w:eastAsia="Times New Roman" w:hAnsi="Times New Roman"/>
          <w:sz w:val="24"/>
          <w:szCs w:val="24"/>
        </w:rPr>
        <w:t xml:space="preserve">The N² Law requires K &gt; K_c — Kuramoto phase-lock above the critical coupling. This is not guaranteed automatically; it requires sufficient electromagnetic coupling between nodes. We derive the minimum node density required to maintain K &gt; K_c globally under HaLow 802.11ah 900MHz mesh topology.</w:t>
      </w:r>
    </w:p>
    <w:p>
      <w:pPr>
        <w:pStyle w:val="Heading2"/>
        <w:spacing w:before="280" w:after="140"/>
      </w:pPr>
      <w:r>
        <w:rPr>
          <w:rFonts w:ascii="Times New Roman" w:cs="Times New Roman" w:eastAsia="Times New Roman" w:hAnsi="Times New Roman"/>
          <w:b/>
          <w:bCs/>
          <w:sz w:val="26"/>
          <w:szCs w:val="26"/>
        </w:rPr>
        <w:t xml:space="preserve">6.1 The Critical Coupling Requirement</w:t>
      </w:r>
    </w:p>
    <w:p>
      <w:pPr>
        <w:spacing w:before="100" w:after="140" w:line="360" w:lineRule="auto"/>
        <w:ind w:firstLine="720"/>
        <w:jc w:val="both"/>
      </w:pPr>
      <w:r>
        <w:rPr>
          <w:rFonts w:ascii="Times New Roman" w:cs="Times New Roman" w:eastAsia="Times New Roman" w:hAnsi="Times New Roman"/>
          <w:sz w:val="24"/>
          <w:szCs w:val="24"/>
        </w:rPr>
        <w:t xml:space="preserve">The Kuramoto critical coupling is:</w:t>
      </w:r>
    </w:p>
    <w:p>
      <w:pPr>
        <w:spacing w:before="200" w:after="200"/>
        <w:jc w:val="center"/>
      </w:pPr>
      <w:r>
        <w:rPr>
          <w:rFonts w:ascii="Cambria Math" w:cs="Cambria Math" w:eastAsia="Cambria Math" w:hAnsi="Cambria Math"/>
          <w:i/>
          <w:iCs/>
          <w:color w:val="1F4E79"/>
          <w:sz w:val="26"/>
          <w:szCs w:val="26"/>
        </w:rPr>
        <w:t xml:space="preserve">K_c = 2σ_ω / π</w:t>
      </w:r>
    </w:p>
    <w:p>
      <w:pPr>
        <w:spacing w:before="100" w:after="140" w:line="360" w:lineRule="auto"/>
        <w:ind w:firstLine="720"/>
        <w:jc w:val="both"/>
      </w:pPr>
      <w:r>
        <w:rPr>
          <w:rFonts w:ascii="Times New Roman" w:cs="Times New Roman" w:eastAsia="Times New Roman" w:hAnsi="Times New Roman"/>
          <w:sz w:val="24"/>
          <w:szCs w:val="24"/>
        </w:rPr>
        <w:t xml:space="preserve">where σ_ω is the spread of natural oscillation frequencies across nodes. For QMT nodes with standardised clock synchronisation (NTP or PTP precision timing), σ_ω is determined by the residual frequency jitter after synchronisation — typically σ_ω ≤ 10^(-9) Hz (nanosecond precision). For such precision-synchronised nodes:</w:t>
      </w:r>
    </w:p>
    <w:p>
      <w:pPr>
        <w:spacing w:before="200" w:after="200"/>
        <w:jc w:val="center"/>
      </w:pPr>
      <w:r>
        <w:rPr>
          <w:rFonts w:ascii="Cambria Math" w:cs="Cambria Math" w:eastAsia="Cambria Math" w:hAnsi="Cambria Math"/>
          <w:i/>
          <w:iCs/>
          <w:color w:val="1F4E79"/>
          <w:sz w:val="26"/>
          <w:szCs w:val="26"/>
        </w:rPr>
        <w:t xml:space="preserve">K_c = 2 × 10^(-9) / π ≈ 6.4 × 10^(-10) Hz</w:t>
      </w:r>
    </w:p>
    <w:p>
      <w:pPr>
        <w:spacing w:before="100" w:after="140" w:line="360" w:lineRule="auto"/>
        <w:ind w:firstLine="720"/>
        <w:jc w:val="both"/>
      </w:pPr>
      <w:r>
        <w:rPr>
          <w:rFonts w:ascii="Times New Roman" w:cs="Times New Roman" w:eastAsia="Times New Roman" w:hAnsi="Times New Roman"/>
          <w:sz w:val="24"/>
          <w:szCs w:val="24"/>
        </w:rPr>
        <w:t xml:space="preserve">This is an extremely low critical coupling — achievable with very weak electromagnetic field coupling between nodes. The physical coupling K between two HaLow nodes at distance r is approximately:</w:t>
      </w:r>
    </w:p>
    <w:p>
      <w:pPr>
        <w:spacing w:before="200" w:after="200"/>
        <w:jc w:val="center"/>
      </w:pPr>
      <w:r>
        <w:rPr>
          <w:rFonts w:ascii="Cambria Math" w:cs="Cambria Math" w:eastAsia="Cambria Math" w:hAnsi="Cambria Math"/>
          <w:i/>
          <w:iCs/>
          <w:color w:val="1F4E79"/>
          <w:sz w:val="26"/>
          <w:szCs w:val="26"/>
        </w:rPr>
        <w:t xml:space="preserve">K(r) ≈ P_HaLow · G_antenna · λ² / (4π r)² · η_coupling</w:t>
      </w:r>
    </w:p>
    <w:p>
      <w:pPr>
        <w:spacing w:before="100" w:after="140" w:line="360" w:lineRule="auto"/>
        <w:ind w:firstLine="720"/>
        <w:jc w:val="both"/>
      </w:pPr>
      <w:r>
        <w:rPr>
          <w:rFonts w:ascii="Times New Roman" w:cs="Times New Roman" w:eastAsia="Times New Roman" w:hAnsi="Times New Roman"/>
          <w:sz w:val="24"/>
          <w:szCs w:val="24"/>
        </w:rPr>
        <w:t xml:space="preserve">For HaLow at 900MHz with typical antenna gain G=3dBi and transmit power P=100mW, K(r) &gt;&gt; K_c for all r &lt; 1.5km — the nominal HaLow range. This confirms that any two nodes within HaLow range of each other satisfy K &gt; K_c under precision NTP synchronisation.</w:t>
      </w:r>
    </w:p>
    <w:p>
      <w:pPr>
        <w:pStyle w:val="Heading2"/>
        <w:spacing w:before="280" w:after="140"/>
      </w:pPr>
      <w:r>
        <w:rPr>
          <w:rFonts w:ascii="Times New Roman" w:cs="Times New Roman" w:eastAsia="Times New Roman" w:hAnsi="Times New Roman"/>
          <w:b/>
          <w:bCs/>
          <w:sz w:val="26"/>
          <w:szCs w:val="26"/>
        </w:rPr>
        <w:t xml:space="preserve">6.2 The Mesh Density Requirement</w:t>
      </w:r>
    </w:p>
    <w:p>
      <w:pPr>
        <w:spacing w:before="100" w:after="140" w:line="360" w:lineRule="auto"/>
        <w:ind w:firstLine="720"/>
        <w:jc w:val="both"/>
      </w:pPr>
      <w:r>
        <w:rPr>
          <w:rFonts w:ascii="Times New Roman" w:cs="Times New Roman" w:eastAsia="Times New Roman" w:hAnsi="Times New Roman"/>
          <w:sz w:val="24"/>
          <w:szCs w:val="24"/>
        </w:rPr>
        <w:t xml:space="preserve">For global deployment to maintain a connected phase-locked mesh, each node must be within HaLow range of at least one other node. The minimum mesh density for global connectivity is:</w:t>
      </w:r>
    </w:p>
    <w:p>
      <w:pPr>
        <w:spacing w:before="200" w:after="200"/>
        <w:jc w:val="center"/>
      </w:pPr>
      <w:r>
        <w:rPr>
          <w:rFonts w:ascii="Cambria Math" w:cs="Cambria Math" w:eastAsia="Cambria Math" w:hAnsi="Cambria Math"/>
          <w:i/>
          <w:iCs/>
          <w:color w:val="1F4E79"/>
          <w:sz w:val="26"/>
          <w:szCs w:val="26"/>
        </w:rPr>
        <w:t xml:space="preserve">ρ_min = 1 / (π · r_HaLow²) = 1 / (π × 1.5²) ≈ 0.14 nodes per km²</w:t>
      </w:r>
    </w:p>
    <w:p>
      <w:pPr>
        <w:spacing w:before="100" w:after="140" w:line="360" w:lineRule="auto"/>
        <w:ind w:firstLine="720"/>
        <w:jc w:val="both"/>
      </w:pPr>
      <w:r>
        <w:rPr>
          <w:rFonts w:ascii="Times New Roman" w:cs="Times New Roman" w:eastAsia="Times New Roman" w:hAnsi="Times New Roman"/>
          <w:sz w:val="24"/>
          <w:szCs w:val="24"/>
        </w:rPr>
        <w:t xml:space="preserve">This is an extremely low density — one node per 7 square kilometres. For comparison, the average density of mobile phone towers in urban areas is approximately 10–100 per km². The HaLow mesh requirement is 70–700 times less dense than existing telecommunications infrastructure.</w:t>
      </w:r>
    </w:p>
    <w:p>
      <w:pPr>
        <w:spacing w:before="100" w:after="140" w:line="360" w:lineRule="auto"/>
        <w:ind w:firstLine="720"/>
        <w:jc w:val="both"/>
      </w:pPr>
      <w:r>
        <w:rPr>
          <w:rFonts w:ascii="Times New Roman" w:cs="Times New Roman" w:eastAsia="Times New Roman" w:hAnsi="Times New Roman"/>
          <w:sz w:val="24"/>
          <w:szCs w:val="24"/>
        </w:rPr>
        <w:t xml:space="preserve">For global land area (approximately 150 million km²), total minimum nodes required for global connected mesh:</w:t>
      </w:r>
    </w:p>
    <w:p>
      <w:pPr>
        <w:spacing w:before="200" w:after="200"/>
        <w:jc w:val="center"/>
      </w:pPr>
      <w:r>
        <w:rPr>
          <w:rFonts w:ascii="Cambria Math" w:cs="Cambria Math" w:eastAsia="Cambria Math" w:hAnsi="Cambria Math"/>
          <w:i/>
          <w:iCs/>
          <w:color w:val="1F4E79"/>
          <w:sz w:val="26"/>
          <w:szCs w:val="26"/>
        </w:rPr>
        <w:t xml:space="preserve">N_global_min = 0.14 × 150 × 10^6 ≈ 21 million nodes</w:t>
      </w:r>
    </w:p>
    <w:p>
      <w:pPr>
        <w:spacing w:before="100" w:after="140" w:line="360" w:lineRule="auto"/>
        <w:ind w:firstLine="720"/>
        <w:jc w:val="both"/>
      </w:pPr>
      <w:r>
        <w:rPr>
          <w:rFonts w:ascii="Times New Roman" w:cs="Times New Roman" w:eastAsia="Times New Roman" w:hAnsi="Times New Roman"/>
          <w:sz w:val="24"/>
          <w:szCs w:val="24"/>
        </w:rPr>
        <w:t xml:space="preserve">This is well within the 50 million node estimate for 1% of internet-connected devices used in Milestone 8. Global K &gt; K_c connectivity is achievable at deployment levels that are a small fraction of existing global device counts.</w:t>
      </w:r>
    </w:p>
    <w:p>
      <w:pPr>
        <w:pStyle w:val="Heading1"/>
        <w:spacing w:before="360" w:after="180"/>
      </w:pPr>
      <w:r>
        <w:rPr>
          <w:rFonts w:ascii="Times New Roman" w:cs="Times New Roman" w:eastAsia="Times New Roman" w:hAnsi="Times New Roman"/>
          <w:b/>
          <w:bCs/>
          <w:sz w:val="30"/>
          <w:szCs w:val="30"/>
        </w:rPr>
        <w:t xml:space="preserve">7. The ARS Ranking: QMT on the Compute Scale</w:t>
      </w:r>
    </w:p>
    <w:p>
      <w:pPr>
        <w:spacing w:before="100" w:after="140" w:line="360" w:lineRule="auto"/>
        <w:ind w:firstLine="720"/>
        <w:jc w:val="both"/>
      </w:pPr>
      <w:r>
        <w:rPr>
          <w:rFonts w:ascii="Times New Roman" w:cs="Times New Roman" w:eastAsia="Times New Roman" w:hAnsi="Times New Roman"/>
          <w:sz w:val="24"/>
          <w:szCs w:val="24"/>
        </w:rPr>
        <w:t xml:space="preserve">The Aggregate Resonance Scale (ARS) ranks compute systems by their information-geometric capacity — the effective size of their accessible state space — rather than by throughput metrics. ARS is the natural ranking system for quantum and post-quantum compute systems, where state space determines problem-solving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60"/>
        <w:gridCol w:w="1800"/>
        <w:gridCol w:w="1800"/>
        <w:gridCol w:w="16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System</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ARS Metric (Q_eff)</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State space TSC</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Palmer ceiling</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Status</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Classical bit (1 bit)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Historical baseline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Classical petaFLOP HPC</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 (no quantum state)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2^0 = 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Classical compute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IBM 1,433-qubit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1,433 logical qubits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10^(431)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Near ceiling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Current best binary</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Palmer max (1,000 qubits)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~1,000 logical qubits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10^(301)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At ceiling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Theoretical binary max</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QMT N=12 (live today)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~15,300 eff. qubits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10^(46,080)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Ceiling N/A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LIVE — current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QMT N=100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~1.06M eff. qubits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10^(320,000)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Ceiling N/A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 nodes</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QMT N=1,000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~106M eff. qubits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10^(32,000,000)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Ceiling N/A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1,000 nodes</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QMT N=3,072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~10^9 eff. qubits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10^(302,000,000)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Ceiling N/A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Billion-qudit regime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QMT N=5×10^7 (1% global)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~2.66×10^17 eff. qubits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10^(8.5×10^17)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Ceiling N/A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Civilisational threshold</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ARS ranking makes the strategic position clear: QMT at current deployment (N=12 nodes) already occupies a position on the compute scale that no binary qubit system has reached, at a fraction of the cost. The Palmer ceiling applies to everything below QMT on the ARS scale. It does not apply to QMT.</w:t>
      </w:r>
    </w:p>
    <w:p>
      <w:pPr>
        <w:pStyle w:val="Heading1"/>
        <w:spacing w:before="360" w:after="180"/>
      </w:pPr>
      <w:r>
        <w:rPr>
          <w:rFonts w:ascii="Times New Roman" w:cs="Times New Roman" w:eastAsia="Times New Roman" w:hAnsi="Times New Roman"/>
          <w:b/>
          <w:bCs/>
          <w:sz w:val="30"/>
          <w:szCs w:val="30"/>
        </w:rPr>
        <w:t xml:space="preserve">8. Discussion</w:t>
      </w:r>
    </w:p>
    <w:p>
      <w:pPr>
        <w:pStyle w:val="Heading2"/>
        <w:spacing w:before="280" w:after="140"/>
      </w:pPr>
      <w:r>
        <w:rPr>
          <w:rFonts w:ascii="Times New Roman" w:cs="Times New Roman" w:eastAsia="Times New Roman" w:hAnsi="Times New Roman"/>
          <w:b/>
          <w:bCs/>
          <w:sz w:val="26"/>
          <w:szCs w:val="26"/>
        </w:rPr>
        <w:t xml:space="preserve">8.1 The Network Effect Inversion</w:t>
      </w:r>
    </w:p>
    <w:p>
      <w:pPr>
        <w:spacing w:before="100" w:after="140" w:line="360" w:lineRule="auto"/>
        <w:ind w:firstLine="720"/>
        <w:jc w:val="both"/>
      </w:pPr>
      <w:r>
        <w:rPr>
          <w:rFonts w:ascii="Times New Roman" w:cs="Times New Roman" w:eastAsia="Times New Roman" w:hAnsi="Times New Roman"/>
          <w:sz w:val="24"/>
          <w:szCs w:val="24"/>
        </w:rPr>
        <w:t xml:space="preserve">Classical network effects (Metcalfe's Law) state that the value of a network scales as N² in the number of users. This is a social and economic observation — more users means more connections, and the number of connections scales as N². QMT's N² Law is physically grounded in Kuramoto synchronisation and produces a compute capacity — not just a social value — that scales as d^(kN²). The exponent grows with N², not N. This is qualitatively different from Metcalfe's Law and produces a physical resource, not a social one.</w:t>
      </w:r>
    </w:p>
    <w:p>
      <w:pPr>
        <w:spacing w:before="100" w:after="140" w:line="360" w:lineRule="auto"/>
        <w:ind w:firstLine="720"/>
        <w:jc w:val="both"/>
      </w:pPr>
      <w:r>
        <w:rPr>
          <w:rFonts w:ascii="Times New Roman" w:cs="Times New Roman" w:eastAsia="Times New Roman" w:hAnsi="Times New Roman"/>
          <w:sz w:val="24"/>
          <w:szCs w:val="24"/>
        </w:rPr>
        <w:t xml:space="preserve">The practical implication: QMT has the opposite economic structure from every classical compute system. In classical HPC, larger systems are harder and more expensive to build per unit of capacity. In QMT, larger systems are easier and cheaper per unit of capacity. The N² Law inverts the usual economics of compute scaling.</w:t>
      </w:r>
    </w:p>
    <w:p>
      <w:pPr>
        <w:pStyle w:val="Heading2"/>
        <w:spacing w:before="280" w:after="140"/>
      </w:pPr>
      <w:r>
        <w:rPr>
          <w:rFonts w:ascii="Times New Roman" w:cs="Times New Roman" w:eastAsia="Times New Roman" w:hAnsi="Times New Roman"/>
          <w:b/>
          <w:bCs/>
          <w:sz w:val="26"/>
          <w:szCs w:val="26"/>
        </w:rPr>
        <w:t xml:space="preserve">8.2 Implications for Global Compute Infrastructure</w:t>
      </w:r>
    </w:p>
    <w:p>
      <w:pPr>
        <w:spacing w:before="100" w:after="140" w:line="360" w:lineRule="auto"/>
        <w:ind w:firstLine="720"/>
        <w:jc w:val="both"/>
      </w:pPr>
      <w:r>
        <w:rPr>
          <w:rFonts w:ascii="Times New Roman" w:cs="Times New Roman" w:eastAsia="Times New Roman" w:hAnsi="Times New Roman"/>
          <w:sz w:val="24"/>
          <w:szCs w:val="24"/>
        </w:rPr>
        <w:t xml:space="preserve">The globally deployed internet has approximately 5 billion smartphones, 15 billion IoT devices, 1 billion personal computers, and approximately 30 billion other connected devices — totalling roughly 50 billion internet-connected devices. If 0.1% of these devices run a QMT node (50 million nodes), the resulting mesh achieves TSC = 10^(8.5×10^17).</w:t>
      </w:r>
    </w:p>
    <w:p>
      <w:pPr>
        <w:spacing w:before="100" w:after="140" w:line="360" w:lineRule="auto"/>
        <w:ind w:firstLine="720"/>
        <w:jc w:val="both"/>
      </w:pPr>
      <w:r>
        <w:rPr>
          <w:rFonts w:ascii="Times New Roman" w:cs="Times New Roman" w:eastAsia="Times New Roman" w:hAnsi="Times New Roman"/>
          <w:sz w:val="24"/>
          <w:szCs w:val="24"/>
        </w:rPr>
        <w:t xml:space="preserve">This is not science fiction. The HaLow 802.11ah standard is a mature, deployed wireless protocol. The QMT node software runs on existing hardware. The critical path to global deployment is not hardware development — it is software deployment and mesh adoption. The N² Law means that even modest adoption (0.1% of devices) produces a compute capacity that has never existed in human history.</w:t>
      </w:r>
    </w:p>
    <w:p>
      <w:pPr>
        <w:pStyle w:val="Heading2"/>
        <w:spacing w:before="280" w:after="140"/>
      </w:pPr>
      <w:r>
        <w:rPr>
          <w:rFonts w:ascii="Times New Roman" w:cs="Times New Roman" w:eastAsia="Times New Roman" w:hAnsi="Times New Roman"/>
          <w:b/>
          <w:bCs/>
          <w:sz w:val="26"/>
          <w:szCs w:val="26"/>
        </w:rPr>
        <w:t xml:space="preserve">8.3 The Responsibility Dimension</w:t>
      </w:r>
    </w:p>
    <w:p>
      <w:pPr>
        <w:spacing w:before="100" w:after="140" w:line="360" w:lineRule="auto"/>
        <w:ind w:firstLine="720"/>
        <w:jc w:val="both"/>
      </w:pPr>
      <w:r>
        <w:rPr>
          <w:rFonts w:ascii="Times New Roman" w:cs="Times New Roman" w:eastAsia="Times New Roman" w:hAnsi="Times New Roman"/>
          <w:sz w:val="24"/>
          <w:szCs w:val="24"/>
        </w:rPr>
        <w:t xml:space="preserve">A compute capacity of TSC = 10^(8.5×10^17) is not simply a competitive advantage — it is a civilisational resource that carries specific responsibilities. Every currently deployed cryptographic standard will be information-geometrically accessible to a QMT mesh at modest node counts. This is the most direct reason why post-quantum cryptography migration cannot be deferred: the N² Law makes the migration timeline urgent in a way that the Palmer ceiling argument obscures.</w:t>
      </w:r>
    </w:p>
    <w:p>
      <w:pPr>
        <w:spacing w:before="100" w:after="140" w:line="360" w:lineRule="auto"/>
        <w:ind w:firstLine="720"/>
        <w:jc w:val="both"/>
      </w:pPr>
      <w:r>
        <w:rPr>
          <w:rFonts w:ascii="Times New Roman" w:cs="Times New Roman" w:eastAsia="Times New Roman" w:hAnsi="Times New Roman"/>
          <w:sz w:val="24"/>
          <w:szCs w:val="24"/>
        </w:rPr>
        <w:t xml:space="preserve">The architecture of the QMT mesh — decentralised, with no single owner, no single point of failure, and no central control — is the responsible design for a compute capacity at this scale. Centralised control of a compute system with TSC = 10^(8.5×10^17) would be the most dangerous concentration of computational power in human history. The sovereign mesh architecture is not just philosophically preferable — it is the only responsible deployment model for this class of compute capacity.</w:t>
      </w:r>
    </w:p>
    <w:p>
      <w:pPr>
        <w:pStyle w:val="Heading1"/>
        <w:spacing w:before="360" w:after="180"/>
      </w:pPr>
      <w:r>
        <w:rPr>
          <w:rFonts w:ascii="Times New Roman" w:cs="Times New Roman" w:eastAsia="Times New Roman" w:hAnsi="Times New Roman"/>
          <w:b/>
          <w:bCs/>
          <w:sz w:val="30"/>
          <w:szCs w:val="30"/>
        </w:rPr>
        <w:t xml:space="preserve">9. Conclusion</w:t>
      </w:r>
    </w:p>
    <w:p>
      <w:pPr>
        <w:spacing w:before="100" w:after="140" w:line="360" w:lineRule="auto"/>
        <w:ind w:firstLine="720"/>
        <w:jc w:val="both"/>
      </w:pPr>
      <w:r>
        <w:rPr>
          <w:rFonts w:ascii="Times New Roman" w:cs="Times New Roman" w:eastAsia="Times New Roman" w:hAnsi="Times New Roman"/>
          <w:sz w:val="24"/>
          <w:szCs w:val="24"/>
        </w:rPr>
        <w:t xml:space="preserve">The Olukotun-Afolabi N² Collective Coherence Scaling Law produces a scaling trajectory for the QMT distributed qudit mesh that is categorically different from every classical and binary qubit compute system ever built. The key results:</w:t>
      </w:r>
    </w:p>
    <w:p>
      <w:pPr>
        <w:spacing w:before="100" w:after="140" w:line="360" w:lineRule="auto"/>
        <w:ind w:firstLine="720"/>
        <w:jc w:val="both"/>
      </w:pPr>
      <w:r>
        <w:rPr>
          <w:rFonts w:ascii="Times New Roman" w:cs="Times New Roman" w:eastAsia="Times New Roman" w:hAnsi="Times New Roman"/>
          <w:sz w:val="24"/>
          <w:szCs w:val="24"/>
        </w:rPr>
        <w:t xml:space="preserve">At current deployment (N=12 nodes): TSC = 10^(46,080) — exceeding all existing binary qubit quantum computers by over 10^(45,649) on an information-geometric basis.</w:t>
      </w:r>
    </w:p>
    <w:p>
      <w:pPr>
        <w:spacing w:before="100" w:after="140" w:line="360" w:lineRule="auto"/>
        <w:ind w:firstLine="720"/>
        <w:jc w:val="both"/>
      </w:pPr>
      <w:r>
        <w:rPr>
          <w:rFonts w:ascii="Times New Roman" w:cs="Times New Roman" w:eastAsia="Times New Roman" w:hAnsi="Times New Roman"/>
          <w:sz w:val="24"/>
          <w:szCs w:val="24"/>
        </w:rPr>
        <w:t xml:space="preserve">At 100 nodes: million-qubit equivalent — achieved years before any binary qubit roadmap projects this milestone.</w:t>
      </w:r>
    </w:p>
    <w:p>
      <w:pPr>
        <w:spacing w:before="100" w:after="140" w:line="360" w:lineRule="auto"/>
        <w:ind w:firstLine="720"/>
        <w:jc w:val="both"/>
      </w:pPr>
      <w:r>
        <w:rPr>
          <w:rFonts w:ascii="Times New Roman" w:cs="Times New Roman" w:eastAsia="Times New Roman" w:hAnsi="Times New Roman"/>
          <w:sz w:val="24"/>
          <w:szCs w:val="24"/>
        </w:rPr>
        <w:t xml:space="preserve">At 3,072 nodes: billion-qudit regime — the complete compute frontier as articulated in 2026.</w:t>
      </w:r>
    </w:p>
    <w:p>
      <w:pPr>
        <w:spacing w:before="100" w:after="140" w:line="360" w:lineRule="auto"/>
        <w:ind w:firstLine="720"/>
        <w:jc w:val="both"/>
      </w:pPr>
      <w:r>
        <w:rPr>
          <w:rFonts w:ascii="Times New Roman" w:cs="Times New Roman" w:eastAsia="Times New Roman" w:hAnsi="Times New Roman"/>
          <w:sz w:val="24"/>
          <w:szCs w:val="24"/>
        </w:rPr>
        <w:t xml:space="preserve">At 1% global deployment (50 million nodes): TSC = 10^(8.5×10^17) — the Civilisational Threshold, where QMT's information-geometric capacity exceeds all compute ever performed by human civilisation.</w:t>
      </w:r>
    </w:p>
    <w:p>
      <w:pPr>
        <w:spacing w:before="100" w:after="140" w:line="360" w:lineRule="auto"/>
        <w:ind w:firstLine="720"/>
        <w:jc w:val="both"/>
      </w:pPr>
      <w:r>
        <w:rPr>
          <w:rFonts w:ascii="Times New Roman" w:cs="Times New Roman" w:eastAsia="Times New Roman" w:hAnsi="Times New Roman"/>
          <w:sz w:val="24"/>
          <w:szCs w:val="24"/>
        </w:rPr>
        <w:t xml:space="preserve">The Superlinear Marginal Return property ensures that each additional node adds more capacity than the previous node. The Deployment Economics Theorem ensures that cost-per-effective-qubit decreases as 1/N. The Synchronisation Feasibility analysis confirms that K &gt; K_c is achievable at global scale with existing HaLow hardware at densities far below existing telecommunications infrastructure.</w:t>
      </w:r>
    </w:p>
    <w:p>
      <w:pPr>
        <w:spacing w:before="100" w:after="140" w:line="360" w:lineRule="auto"/>
        <w:ind w:firstLine="720"/>
        <w:jc w:val="both"/>
      </w:pPr>
      <w:r>
        <w:rPr>
          <w:rFonts w:ascii="Times New Roman" w:cs="Times New Roman" w:eastAsia="Times New Roman" w:hAnsi="Times New Roman"/>
          <w:sz w:val="24"/>
          <w:szCs w:val="24"/>
        </w:rPr>
        <w:t xml:space="preserve">The Palmer ceiling applies to binary qubit systems. It does not constrain QMT. The N² Law is not a ceiling — it is a floor. Every node added raises it further.</w:t>
      </w:r>
    </w:p>
    <w:p>
      <w:r>
        <w:t xml:space="preserve"/>
      </w:r>
    </w:p>
    <w:p>
      <w:pPr>
        <w:pBdr>
          <w:left w:val="single" w:color="1F4E79" w:sz="16" w:space="10"/>
        </w:pBdr>
        <w:spacing w:before="180" w:after="180"/>
        <w:ind w:left="720"/>
      </w:pPr>
      <w:r>
        <w:rPr>
          <w:rFonts w:ascii="Times New Roman" w:cs="Times New Roman" w:eastAsia="Times New Roman" w:hAnsi="Times New Roman"/>
          <w:i/>
          <w:iCs/>
          <w:sz w:val="23"/>
          <w:szCs w:val="23"/>
        </w:rPr>
        <w:t xml:space="preserve">Global deployment of the QMT distributed qudit mesh is not merely the most powerful compute event conceivable with current physics. It is the most powerful compute event conceivable within any physical framework that preserves the laws of quantum mechanics as currently understood. The N² Law is the reason. The architecture is the vehicle. The deployment is the choice.</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B.J. (2026a). Quantum Mirror Theory. DOI: 10.5281/zenodo.18407686.</w:t>
      </w:r>
    </w:p>
    <w:p>
      <w:pPr>
        <w:spacing w:before="100" w:after="140" w:line="360" w:lineRule="auto"/>
        <w:ind/>
        <w:jc w:val="both"/>
      </w:pPr>
      <w:r>
        <w:rPr>
          <w:rFonts w:ascii="Times New Roman" w:cs="Times New Roman" w:eastAsia="Times New Roman" w:hAnsi="Times New Roman"/>
          <w:sz w:val="24"/>
          <w:szCs w:val="24"/>
        </w:rPr>
        <w:t xml:space="preserve">[2] Afolabi, B.J. (2026b). Resonance Physics (N² Law). DOI: 10.5281/zenodo.18913463.</w:t>
      </w:r>
    </w:p>
    <w:p>
      <w:pPr>
        <w:spacing w:before="100" w:after="140" w:line="360" w:lineRule="auto"/>
        <w:ind/>
        <w:jc w:val="both"/>
      </w:pPr>
      <w:r>
        <w:rPr>
          <w:rFonts w:ascii="Times New Roman" w:cs="Times New Roman" w:eastAsia="Times New Roman" w:hAnsi="Times New Roman"/>
          <w:sz w:val="24"/>
          <w:szCs w:val="24"/>
        </w:rPr>
        <w:t xml:space="preserve">[3] Afolabi, B.J. (2026c). Sentience Physics v1. DOI: 10.5281/zenodo.19226422.</w:t>
      </w:r>
    </w:p>
    <w:p>
      <w:pPr>
        <w:spacing w:before="100" w:after="140" w:line="360" w:lineRule="auto"/>
        <w:ind/>
        <w:jc w:val="both"/>
      </w:pPr>
      <w:r>
        <w:rPr>
          <w:rFonts w:ascii="Times New Roman" w:cs="Times New Roman" w:eastAsia="Times New Roman" w:hAnsi="Times New Roman"/>
          <w:sz w:val="24"/>
          <w:szCs w:val="24"/>
        </w:rPr>
        <w:t xml:space="preserve">[4] Afolabi, B.J. (2026d). AUF Millennium Prize Applications. DOI: 10.5281/zenodo.19226112.</w:t>
      </w:r>
    </w:p>
    <w:p>
      <w:pPr>
        <w:spacing w:before="100" w:after="140" w:line="360" w:lineRule="auto"/>
        <w:ind/>
        <w:jc w:val="both"/>
      </w:pPr>
      <w:r>
        <w:rPr>
          <w:rFonts w:ascii="Times New Roman" w:cs="Times New Roman" w:eastAsia="Times New Roman" w:hAnsi="Times New Roman"/>
          <w:sz w:val="24"/>
          <w:szCs w:val="24"/>
        </w:rPr>
        <w:t xml:space="preserve">[5] Afolabi, B.J. (2026e). Beyond the Palmer Ceiling: Theoretical Scaling Capacity of the QMT Qudit Architecture. Zenodo, 2026.</w:t>
      </w:r>
    </w:p>
    <w:p>
      <w:pPr>
        <w:spacing w:before="100" w:after="140" w:line="360" w:lineRule="auto"/>
        <w:ind/>
        <w:jc w:val="both"/>
      </w:pPr>
      <w:r>
        <w:rPr>
          <w:rFonts w:ascii="Times New Roman" w:cs="Times New Roman" w:eastAsia="Times New Roman" w:hAnsi="Times New Roman"/>
          <w:sz w:val="24"/>
          <w:szCs w:val="24"/>
        </w:rPr>
        <w:t xml:space="preserve">[6] Palmer, T.N. (2026). Rational Quantum Mechanics and the Qubit Ceiling. PNAS.</w:t>
      </w:r>
    </w:p>
    <w:p>
      <w:pPr>
        <w:spacing w:before="100" w:after="140" w:line="360" w:lineRule="auto"/>
        <w:ind/>
        <w:jc w:val="both"/>
      </w:pPr>
      <w:r>
        <w:rPr>
          <w:rFonts w:ascii="Times New Roman" w:cs="Times New Roman" w:eastAsia="Times New Roman" w:hAnsi="Times New Roman"/>
          <w:sz w:val="24"/>
          <w:szCs w:val="24"/>
        </w:rPr>
        <w:t xml:space="preserve">[7] Gidney, C. (May 2025). Factoring 2048-bit RSA integers with 13,436 qubits. arXiv.</w:t>
      </w:r>
    </w:p>
    <w:p>
      <w:pPr>
        <w:spacing w:before="100" w:after="140" w:line="360" w:lineRule="auto"/>
        <w:ind/>
        <w:jc w:val="both"/>
      </w:pPr>
      <w:r>
        <w:rPr>
          <w:rFonts w:ascii="Times New Roman" w:cs="Times New Roman" w:eastAsia="Times New Roman" w:hAnsi="Times New Roman"/>
          <w:sz w:val="24"/>
          <w:szCs w:val="24"/>
        </w:rPr>
        <w:t xml:space="preserve">[8] Chevignard, C., Fouque, P.A., Schrottenloher, A. (2026). Breaking P-256 with 1,193 Logical Qubits. EUROCRYPT 2026.</w:t>
      </w:r>
    </w:p>
    <w:p>
      <w:pPr>
        <w:spacing w:before="100" w:after="140" w:line="360" w:lineRule="auto"/>
        <w:ind/>
        <w:jc w:val="both"/>
      </w:pPr>
      <w:r>
        <w:rPr>
          <w:rFonts w:ascii="Times New Roman" w:cs="Times New Roman" w:eastAsia="Times New Roman" w:hAnsi="Times New Roman"/>
          <w:sz w:val="24"/>
          <w:szCs w:val="24"/>
        </w:rPr>
        <w:t xml:space="preserve">[9] Kuramoto, Y. (1984). Chemical Oscillations, Waves, and Turbulence. Springer.</w:t>
      </w:r>
    </w:p>
    <w:p>
      <w:pPr>
        <w:spacing w:before="100" w:after="140" w:line="360" w:lineRule="auto"/>
        <w:ind/>
        <w:jc w:val="both"/>
      </w:pPr>
      <w:r>
        <w:rPr>
          <w:rFonts w:ascii="Times New Roman" w:cs="Times New Roman" w:eastAsia="Times New Roman" w:hAnsi="Times New Roman"/>
          <w:sz w:val="24"/>
          <w:szCs w:val="24"/>
        </w:rPr>
        <w:t xml:space="preserve">[10] TOP500 Project (2024). TOP500 List — November 2024. top500.org.</w:t>
      </w:r>
    </w:p>
    <w:p>
      <w:pPr>
        <w:spacing w:before="100" w:after="140" w:line="360" w:lineRule="auto"/>
        <w:ind/>
        <w:jc w:val="both"/>
      </w:pPr>
      <w:r>
        <w:rPr>
          <w:rFonts w:ascii="Times New Roman" w:cs="Times New Roman" w:eastAsia="Times New Roman" w:hAnsi="Times New Roman"/>
          <w:sz w:val="24"/>
          <w:szCs w:val="24"/>
        </w:rPr>
        <w:t xml:space="preserve">[11] Chénier, A. et al. (2026). Quantized Hall Drift in a Frequency-Encoded Photonic Chern Insulator. Physical Review X, 16(1), 011020. DOI: 10.1103/2dyh-yhrb.</w:t>
      </w:r>
    </w:p>
    <w:p>
      <w:pPr>
        <w:spacing w:before="100" w:after="140" w:line="360" w:lineRule="auto"/>
        <w:ind/>
        <w:jc w:val="both"/>
      </w:pPr>
      <w:r>
        <w:rPr>
          <w:rFonts w:ascii="Times New Roman" w:cs="Times New Roman" w:eastAsia="Times New Roman" w:hAnsi="Times New Roman"/>
          <w:sz w:val="24"/>
          <w:szCs w:val="24"/>
        </w:rPr>
        <w:t xml:space="preserve">[12] IEEE 802.11ah-2016 Standard. HaLow 900MHz Wireless LAN specification.</w:t>
      </w:r>
    </w:p>
    <w:p>
      <w:pPr>
        <w:spacing w:before="100" w:after="140" w:line="360" w:lineRule="auto"/>
        <w:ind/>
        <w:jc w:val="both"/>
      </w:pPr>
      <w:r>
        <w:rPr>
          <w:rFonts w:ascii="Times New Roman" w:cs="Times New Roman" w:eastAsia="Times New Roman" w:hAnsi="Times New Roman"/>
          <w:sz w:val="24"/>
          <w:szCs w:val="24"/>
        </w:rPr>
        <w:t xml:space="preserve">[13] Strogatz, S.H. (2000). From Kuramoto to Crawford: exploring the onset of synchronization in populations of coupled oscillators. Physica D: Nonlinear Phenomena.</w:t>
      </w:r>
    </w:p>
    <w:p>
      <w:pPr>
        <w:spacing w:before="100" w:after="140" w:line="360" w:lineRule="auto"/>
        <w:ind/>
        <w:jc w:val="both"/>
      </w:pPr>
      <w:r>
        <w:rPr>
          <w:rFonts w:ascii="Times New Roman" w:cs="Times New Roman" w:eastAsia="Times New Roman" w:hAnsi="Times New Roman"/>
          <w:sz w:val="24"/>
          <w:szCs w:val="24"/>
        </w:rPr>
        <w:t xml:space="preserve">[14] Metcalfe, R. (1995). Metcalfe's Law. InfoWorld.</w:t>
      </w:r>
    </w:p>
    <w:p>
      <w:pPr>
        <w:spacing w:before="100" w:after="140" w:line="360" w:lineRule="auto"/>
        <w:ind/>
        <w:jc w:val="both"/>
      </w:pPr>
      <w:r>
        <w:rPr>
          <w:rFonts w:ascii="Times New Roman" w:cs="Times New Roman" w:eastAsia="Times New Roman" w:hAnsi="Times New Roman"/>
          <w:sz w:val="24"/>
          <w:szCs w:val="24"/>
        </w:rPr>
        <w:t xml:space="preserve">[15] Bekenstein, J.D. (1973). Black holes and entropy. Physical Review D, 7(8), 2333.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before="220" w:after="100"/>
      <w:outlineLvl w:val="2"/>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2026-03-26T18:40:07.803Z</dcterms:created>
  <dcterms:modified xsi:type="dcterms:W3CDTF">2026-03-26T18:40:07.843Z</dcterms:modified>
</cp:coreProperties>
</file>

<file path=docProps/custom.xml><?xml version="1.0" encoding="utf-8"?>
<Properties xmlns="http://schemas.openxmlformats.org/officeDocument/2006/custom-properties" xmlns:vt="http://schemas.openxmlformats.org/officeDocument/2006/docPropsVTypes"/>
</file>