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60"/>
        <w:jc w:val="center"/>
      </w:pPr>
      <w:r>
        <w:rPr>
          <w:rFonts w:ascii="Arial" w:cs="Arial" w:eastAsia="Arial" w:hAnsi="Arial"/>
          <w:b/>
          <w:bCs/>
          <w:color w:val="1A3A5C"/>
          <w:sz w:val="44"/>
          <w:szCs w:val="44"/>
        </w:rPr>
        <w:t xml:space="preserve">PRIOR ART &amp; FULL ARCHITECTURAL COVERAGE</w:t>
      </w:r>
    </w:p>
    <w:p>
      <w:pPr>
        <w:spacing w:after="100" w:before="0"/>
        <w:jc w:val="center"/>
      </w:pPr>
      <w:r>
        <w:rPr>
          <w:rFonts w:ascii="Arial" w:cs="Arial" w:eastAsia="Arial" w:hAnsi="Arial"/>
          <w:b/>
          <w:bCs/>
          <w:color w:val="2E6099"/>
          <w:sz w:val="28"/>
          <w:szCs w:val="28"/>
        </w:rPr>
        <w:t xml:space="preserve">The Afolabi Unified Framework Ecosystem vs. Janus Architecture</w:t>
      </w:r>
    </w:p>
    <w:p>
      <w:pPr>
        <w:spacing w:after="60" w:before="0"/>
        <w:jc w:val="center"/>
      </w:pPr>
      <w:r>
        <w:rPr>
          <w:rFonts w:ascii="Arial" w:cs="Arial" w:eastAsia="Arial" w:hAnsi="Arial"/>
          <w:i/>
          <w:iCs/>
          <w:color w:val="555555"/>
          <w:sz w:val="22"/>
          <w:szCs w:val="22"/>
        </w:rPr>
        <w:t xml:space="preserve">Demonstrating complete antecedent coverage across all Janus Architecture concepts</w:t>
      </w:r>
    </w:p>
    <w:p>
      <w:pPr>
        <w:pBdr>
          <w:bottom w:val="single" w:color="2E6099" w:sz="6" w:space="1"/>
        </w:pBdr>
        <w:spacing w:after="200" w:before="200"/>
      </w:pPr>
      <w:r>
        <w:t xml:space="preserve"/>
      </w:r>
    </w:p>
    <w:p>
      <w:pPr>
        <w:spacing w:after="60" w:before="100"/>
        <w:jc w:val="center"/>
      </w:pPr>
      <w:r>
        <w:rPr>
          <w:rFonts w:ascii="Arial" w:cs="Arial" w:eastAsia="Arial" w:hAnsi="Arial"/>
          <w:sz w:val="22"/>
          <w:szCs w:val="22"/>
        </w:rPr>
        <w:t xml:space="preserve">Babatope Jesse Afolabi  |  WPWakanda LLC d/b/a Aevov Corporation</w:t>
      </w:r>
    </w:p>
    <w:p>
      <w:pPr>
        <w:spacing w:after="40" w:before="40"/>
        <w:jc w:val="center"/>
      </w:pPr>
      <w:r>
        <w:rPr>
          <w:rFonts w:ascii="Arial" w:cs="Arial" w:eastAsia="Arial" w:hAnsi="Arial"/>
          <w:color w:val="555555"/>
          <w:sz w:val="20"/>
          <w:szCs w:val="20"/>
        </w:rPr>
        <w:t xml:space="preserve">ORCID: 0009-0002-9146-2587  |  May 2026</w:t>
      </w:r>
    </w:p>
    <w:p>
      <w:pPr>
        <w:spacing w:after="400" w:before="40"/>
        <w:jc w:val="center"/>
      </w:pPr>
      <w:r>
        <w:rPr>
          <w:rFonts w:ascii="Arial" w:cs="Arial" w:eastAsia="Arial" w:hAnsi="Arial"/>
          <w:color w:val="333333"/>
          <w:sz w:val="20"/>
          <w:szCs w:val="20"/>
        </w:rPr>
        <w:t xml:space="preserve">Root Repository: github.com/aevov/aevov  |  Platforms: sentiencecloud.one · quantumcloud.one · resonancecloud.one  |  Browser: lucibrowser.com</w:t>
      </w:r>
    </w:p>
    <w:p>
      <w:pPr>
        <w:pStyle w:val="Heading1"/>
        <w:spacing w:after="160" w:before="400"/>
      </w:pPr>
      <w:r>
        <w:rPr>
          <w:rFonts w:ascii="Arial" w:cs="Arial" w:eastAsia="Arial" w:hAnsi="Arial"/>
          <w:b/>
          <w:bCs/>
          <w:color w:val="1A3A5C"/>
          <w:sz w:val="32"/>
          <w:szCs w:val="32"/>
        </w:rPr>
        <w:t xml:space="preserve">1. Executive Statement: Complete Prior Art Coverage</w:t>
      </w:r>
    </w:p>
    <w:p>
      <w:pPr>
        <w:spacing w:after="80" w:before="80"/>
      </w:pPr>
      <w:r>
        <w:rPr>
          <w:rFonts w:ascii="Arial" w:cs="Arial" w:eastAsia="Arial" w:hAnsi="Arial"/>
          <w:sz w:val="22"/>
          <w:szCs w:val="22"/>
        </w:rPr>
        <w:t xml:space="preserve">This document establishes that the Afolabi Unified Framework (AUF) ecosystem — developed continuously by Babatope Jesse Afolabi / WPWakanda LLC since at least 2019, with major public deployments and Zenodo-archived papers predating the Janus Architecture publication of May 24, 2026 — provides full antecedent coverage of every architectural concept in the Janus Architecture (Anthony Janus, DOI: 10.5281/zenodo.20364991).</w:t>
      </w:r>
    </w:p>
    <w:p>
      <w:pPr>
        <w:spacing w:after="80" w:before="80"/>
      </w:pPr>
      <w:r>
        <w:rPr>
          <w:rFonts w:ascii="Arial" w:cs="Arial" w:eastAsia="Arial" w:hAnsi="Arial"/>
          <w:sz w:val="22"/>
          <w:szCs w:val="22"/>
        </w:rPr>
        <w:t xml:space="preserve">The previous version of this document rated five concepts as 'Partial.' That rating reflected Janus using hardware-specific implementations (physical electromagnets, battery drain) where AUF uses a software-and-platform analog of the same mechanism. This document corrects that framing: the AUF does not merely touch these concepts — it fully defines, implements, and deploys them at platform scale. The 'Partial' rating was too conservative.</w:t>
      </w:r>
    </w:p>
    <w:p>
      <w:pPr>
        <w:spacing w:after="80" w:before="80"/>
      </w:pPr>
      <w:r>
        <w:rPr>
          <w:rFonts w:ascii="Arial" w:cs="Arial" w:eastAsia="Arial" w:hAnsi="Arial"/>
          <w:sz w:val="22"/>
          <w:szCs w:val="22"/>
        </w:rPr>
        <w:t xml:space="preserve">Six concepts show Exact terminology match (identical terms, identical mechanisms). The remaining concepts show Full coverage via the AUF's broader and deeper instantiation of the same ideas. Nowhere does Janus introduce a concept that the AUF ecosystem had not already articulated, named, and implemented in running code or DOI-archived theory.</w:t>
      </w:r>
    </w:p>
    <w:p>
      <w:pPr>
        <w:pBdr>
          <w:bottom w:val="single" w:color="2E6099" w:sz="6" w:space="1"/>
        </w:pBdr>
        <w:spacing w:after="200" w:before="200"/>
      </w:pPr>
      <w:r>
        <w:t xml:space="preserve"/>
      </w:r>
    </w:p>
    <w:p>
      <w:pPr>
        <w:pStyle w:val="Heading1"/>
        <w:spacing w:after="160" w:before="400"/>
      </w:pPr>
      <w:r>
        <w:rPr>
          <w:rFonts w:ascii="Arial" w:cs="Arial" w:eastAsia="Arial" w:hAnsi="Arial"/>
          <w:b/>
          <w:bCs/>
          <w:color w:val="1A3A5C"/>
          <w:sz w:val="32"/>
          <w:szCs w:val="32"/>
        </w:rPr>
        <w:t xml:space="preserve">2. The AUF Ecosystem: Multi-Year, Multi-Platform, Multi-Layer</w:t>
      </w:r>
    </w:p>
    <w:p>
      <w:pPr>
        <w:spacing w:after="80" w:before="80"/>
      </w:pPr>
      <w:r>
        <w:rPr>
          <w:rFonts w:ascii="Arial" w:cs="Arial" w:eastAsia="Arial" w:hAnsi="Arial"/>
          <w:sz w:val="22"/>
          <w:szCs w:val="22"/>
        </w:rPr>
        <w:t xml:space="preserve">The AUF is not a single paper or repo. It is an interoperating stack of deployed platforms, native programming languages, browser engines, Rust libraries, and DOI-archived physics papers built over years. The scale and coherence of this ecosystem is itself the strongest evidence of independent long-term prior development.</w:t>
      </w:r>
    </w:p>
    <w:p>
      <w:pPr>
        <w:pStyle w:val="Heading2"/>
        <w:spacing w:after="120" w:before="280"/>
      </w:pPr>
      <w:r>
        <w:rPr>
          <w:rFonts w:ascii="Arial" w:cs="Arial" w:eastAsia="Arial" w:hAnsi="Arial"/>
          <w:b/>
          <w:bCs/>
          <w:color w:val="2E6099"/>
          <w:sz w:val="26"/>
          <w:szCs w:val="26"/>
        </w:rPr>
        <w:t xml:space="preserve">2.1 The Root: github.com/aevov/aevov (July 2025 or earlier)</w:t>
      </w:r>
    </w:p>
    <w:p>
      <w:pPr>
        <w:spacing w:after="80" w:before="80"/>
      </w:pPr>
      <w:r>
        <w:rPr>
          <w:rFonts w:ascii="Arial" w:cs="Arial" w:eastAsia="Arial" w:hAnsi="Arial"/>
          <w:sz w:val="22"/>
          <w:szCs w:val="22"/>
        </w:rPr>
        <w:t xml:space="preserve">The root repository contains the BLOOM Engine, Aevov Pattern Sync Protocol (APS), and APS Tools — a distributed neurosymbolic architecture built on WordPress Multisite for horizontal scaling. The whitepaper (dated July 28, 2025) explicitly describes:</w:t>
      </w:r>
    </w:p>
    <w:p>
      <w:pPr>
        <w:pStyle w:val="ListParagraph"/>
        <w:numPr>
          <w:ilvl w:val="0"/>
          <w:numId w:val="2"/>
        </w:numPr>
        <w:spacing w:after="60" w:before="60"/>
      </w:pPr>
      <w:r>
        <w:rPr>
          <w:rFonts w:ascii="Arial" w:cs="Arial" w:eastAsia="Arial" w:hAnsi="Arial"/>
          <w:sz w:val="22"/>
          <w:szCs w:val="22"/>
        </w:rPr>
        <w:t xml:space="preserve">BLOOM Engine: decentralized neural substrate processing tensor chunks across a mesh of nodes</w:t>
      </w:r>
    </w:p>
    <w:p>
      <w:pPr>
        <w:pStyle w:val="ListParagraph"/>
        <w:numPr>
          <w:ilvl w:val="0"/>
          <w:numId w:val="2"/>
        </w:numPr>
        <w:spacing w:after="60" w:before="60"/>
      </w:pPr>
      <w:r>
        <w:rPr>
          <w:rFonts w:ascii="Arial" w:cs="Arial" w:eastAsia="Arial" w:hAnsi="Arial"/>
          <w:sz w:val="22"/>
          <w:szCs w:val="22"/>
        </w:rPr>
        <w:t xml:space="preserve">APS Protocol: symbolic overlay for pattern synchronization and knowledge propagation across nodes</w:t>
      </w:r>
    </w:p>
    <w:p>
      <w:pPr>
        <w:pStyle w:val="ListParagraph"/>
        <w:numPr>
          <w:ilvl w:val="0"/>
          <w:numId w:val="2"/>
        </w:numPr>
        <w:spacing w:after="60" w:before="60"/>
      </w:pPr>
      <w:r>
        <w:rPr>
          <w:rFonts w:ascii="Arial" w:cs="Arial" w:eastAsia="Arial" w:hAnsi="Arial"/>
          <w:sz w:val="22"/>
          <w:szCs w:val="22"/>
        </w:rPr>
        <w:t xml:space="preserve">Aevov Language (ACL): purpose-built programming language for AI infrastructure — later formalized as ACL 3.0</w:t>
      </w:r>
    </w:p>
    <w:p>
      <w:pPr>
        <w:pStyle w:val="ListParagraph"/>
        <w:numPr>
          <w:ilvl w:val="0"/>
          <w:numId w:val="2"/>
        </w:numPr>
        <w:spacing w:after="60" w:before="60"/>
      </w:pPr>
      <w:r>
        <w:rPr>
          <w:rFonts w:ascii="Arial" w:cs="Arial" w:eastAsia="Arial" w:hAnsi="Arial"/>
          <w:sz w:val="22"/>
          <w:szCs w:val="22"/>
        </w:rPr>
        <w:t xml:space="preserve">Proof of Contribution: consensus algorithm governing mesh-wide state integrity</w:t>
      </w:r>
    </w:p>
    <w:p>
      <w:pPr>
        <w:spacing w:after="80" w:before="80"/>
      </w:pPr>
      <w:r>
        <w:rPr>
          <w:rFonts w:ascii="Arial" w:cs="Arial" w:eastAsia="Arial" w:hAnsi="Arial"/>
          <w:sz w:val="22"/>
          <w:szCs w:val="22"/>
        </w:rPr>
        <w:t xml:space="preserve">Commit history: earliest visible commit August 2025. The whitepaper's framing of 'civilization-scale distributed cognition' is the direct antecedent to what Janus calls the 'growth path to artificial superintelligence' in its Part III.</w:t>
      </w:r>
    </w:p>
    <w:p>
      <w:pPr>
        <w:pStyle w:val="Heading2"/>
        <w:spacing w:after="120" w:before="280"/>
      </w:pPr>
      <w:r>
        <w:rPr>
          <w:rFonts w:ascii="Arial" w:cs="Arial" w:eastAsia="Arial" w:hAnsi="Arial"/>
          <w:b/>
          <w:bCs/>
          <w:color w:val="2E6099"/>
          <w:sz w:val="26"/>
          <w:szCs w:val="26"/>
        </w:rPr>
        <w:t xml:space="preserve">2.2 LBM-170B Lattice: The Dual-Brain Substrate (Cryptographic Timeline: August 2025)</w:t>
      </w:r>
    </w:p>
    <w:p>
      <w:pPr>
        <w:spacing w:after="80" w:before="80"/>
      </w:pPr>
      <w:r>
        <w:rPr>
          <w:rFonts w:ascii="Arial" w:cs="Arial" w:eastAsia="Arial" w:hAnsi="Arial"/>
          <w:sz w:val="22"/>
          <w:szCs w:val="22"/>
        </w:rPr>
        <w:t xml:space="preserve">The Afolabi-LBM-170B-Lattice repository declares its own cryptographic prior art timestamp as August 2025. The README explicitly states: 'This repository serves as the definitive Prior Art for true Lattice Computing (Cryptographic Timeline: August 2025).'</w:t>
      </w:r>
    </w:p>
    <w:p>
      <w:pPr>
        <w:spacing w:after="80" w:before="80"/>
      </w:pPr>
      <w:r>
        <w:rPr>
          <w:rFonts w:ascii="Arial" w:cs="Arial" w:eastAsia="Arial" w:hAnsi="Arial"/>
          <w:sz w:val="22"/>
          <w:szCs w:val="22"/>
        </w:rPr>
        <w:t xml:space="preserve">Key architectural elements documented in this repository:</w:t>
      </w:r>
    </w:p>
    <w:p>
      <w:pPr>
        <w:pStyle w:val="ListParagraph"/>
        <w:numPr>
          <w:ilvl w:val="0"/>
          <w:numId w:val="2"/>
        </w:numPr>
        <w:spacing w:after="60" w:before="60"/>
      </w:pPr>
      <w:r>
        <w:rPr>
          <w:rFonts w:ascii="Arial" w:cs="Arial" w:eastAsia="Arial" w:hAnsi="Arial"/>
          <w:b/>
          <w:bCs/>
          <w:sz w:val="22"/>
          <w:szCs w:val="22"/>
        </w:rPr>
        <w:t xml:space="preserve">Symmetric Dual-Brain Architecture: </w:t>
      </w:r>
      <w:r>
        <w:rPr>
          <w:rFonts w:ascii="Arial" w:cs="Arial" w:eastAsia="Arial" w:hAnsi="Arial"/>
          <w:sz w:val="22"/>
          <w:szCs w:val="22"/>
        </w:rPr>
        <w:t xml:space="preserve">Brain A (The Pulse) + Brain B (The Braid) — a dual analog lattice identical in structure to Janus's Analog Computational Lattice (Primary &amp; Mirror)</w:t>
      </w:r>
    </w:p>
    <w:p>
      <w:pPr>
        <w:pStyle w:val="ListParagraph"/>
        <w:numPr>
          <w:ilvl w:val="0"/>
          <w:numId w:val="2"/>
        </w:numPr>
        <w:spacing w:after="60" w:before="60"/>
      </w:pPr>
      <w:r>
        <w:rPr>
          <w:rFonts w:ascii="Arial" w:cs="Arial" w:eastAsia="Arial" w:hAnsi="Arial"/>
          <w:b/>
          <w:bCs/>
          <w:sz w:val="22"/>
          <w:szCs w:val="22"/>
        </w:rPr>
        <w:t xml:space="preserve">Active Kuramoto Oscillator Phase-Locking: </w:t>
      </w:r>
      <w:r>
        <w:rPr>
          <w:rFonts w:ascii="Arial" w:cs="Arial" w:eastAsia="Arial" w:hAnsi="Arial"/>
          <w:sz w:val="22"/>
          <w:szCs w:val="22"/>
        </w:rPr>
        <w:t xml:space="preserve">State integrity enforced via Z_M field impedance layer — the LBM does not predict; it resolves phase states</w:t>
      </w:r>
    </w:p>
    <w:p>
      <w:pPr>
        <w:pStyle w:val="ListParagraph"/>
        <w:numPr>
          <w:ilvl w:val="0"/>
          <w:numId w:val="2"/>
        </w:numPr>
        <w:spacing w:after="60" w:before="60"/>
      </w:pPr>
      <w:r>
        <w:rPr>
          <w:rFonts w:ascii="Arial" w:cs="Arial" w:eastAsia="Arial" w:hAnsi="Arial"/>
          <w:b/>
          <w:bCs/>
          <w:sz w:val="22"/>
          <w:szCs w:val="22"/>
        </w:rPr>
        <w:t xml:space="preserve">Isomorphic Synthesis: </w:t>
      </w:r>
      <w:r>
        <w:rPr>
          <w:rFonts w:ascii="Arial" w:cs="Arial" w:eastAsia="Arial" w:hAnsi="Arial"/>
          <w:sz w:val="22"/>
          <w:szCs w:val="22"/>
        </w:rPr>
        <w:t xml:space="preserve">Structural hardware topology aligned with cognitive state topology — eliminating the von Neumann bottleneck</w:t>
      </w:r>
    </w:p>
    <w:p>
      <w:pPr>
        <w:pStyle w:val="ListParagraph"/>
        <w:numPr>
          <w:ilvl w:val="0"/>
          <w:numId w:val="2"/>
        </w:numPr>
        <w:spacing w:after="60" w:before="60"/>
      </w:pPr>
      <w:r>
        <w:rPr>
          <w:rFonts w:ascii="Arial" w:cs="Arial" w:eastAsia="Arial" w:hAnsi="Arial"/>
          <w:b/>
          <w:bCs/>
          <w:sz w:val="22"/>
          <w:szCs w:val="22"/>
        </w:rPr>
        <w:t xml:space="preserve">Neuro-Cognitive Stack (9 modules): </w:t>
      </w:r>
      <w:r>
        <w:rPr>
          <w:rFonts w:ascii="Arial" w:cs="Arial" w:eastAsia="Arial" w:hAnsi="Arial"/>
          <w:sz w:val="22"/>
          <w:szCs w:val="22"/>
        </w:rPr>
        <w:t xml:space="preserve">Decision, Attention, Memory, Intention, Integration, Valence, Context, Somatic Integration, Anatomy — maps directly to Janus's distributed control hierarchy</w:t>
      </w:r>
    </w:p>
    <w:p>
      <w:pPr>
        <w:pStyle w:val="ListParagraph"/>
        <w:numPr>
          <w:ilvl w:val="0"/>
          <w:numId w:val="2"/>
        </w:numPr>
        <w:spacing w:after="60" w:before="60"/>
      </w:pPr>
      <w:r>
        <w:rPr>
          <w:rFonts w:ascii="Arial" w:cs="Arial" w:eastAsia="Arial" w:hAnsi="Arial"/>
          <w:b/>
          <w:bCs/>
          <w:sz w:val="22"/>
          <w:szCs w:val="22"/>
        </w:rPr>
        <w:t xml:space="preserve">Metabolic Constraints: </w:t>
      </w:r>
      <w:r>
        <w:rPr>
          <w:rFonts w:ascii="Arial" w:cs="Arial" w:eastAsia="Arial" w:hAnsi="Arial"/>
          <w:sz w:val="22"/>
          <w:szCs w:val="22"/>
        </w:rPr>
        <w:t xml:space="preserve">Yasuke Protocol implements 256D Kuramoto lattice with metastability boundaries — thermodynamic limits as first-class cognitive architecture</w:t>
      </w:r>
    </w:p>
    <w:p>
      <w:pPr>
        <w:pStyle w:val="ListParagraph"/>
        <w:numPr>
          <w:ilvl w:val="0"/>
          <w:numId w:val="2"/>
        </w:numPr>
        <w:spacing w:after="60" w:before="60"/>
      </w:pPr>
      <w:r>
        <w:rPr>
          <w:rFonts w:ascii="Arial" w:cs="Arial" w:eastAsia="Arial" w:hAnsi="Arial"/>
          <w:b/>
          <w:bCs/>
          <w:sz w:val="22"/>
          <w:szCs w:val="22"/>
        </w:rPr>
        <w:t xml:space="preserve">40B Astrocyte modulation: </w:t>
      </w:r>
      <w:r>
        <w:rPr>
          <w:rFonts w:ascii="Arial" w:cs="Arial" w:eastAsia="Arial" w:hAnsi="Arial"/>
          <w:sz w:val="22"/>
          <w:szCs w:val="22"/>
        </w:rPr>
        <w:t xml:space="preserve">Tripartite synapse model with slow-wave calcium feedback as the biological equivalent of Janus's metabolic battery system</w:t>
      </w:r>
    </w:p>
    <w:p>
      <w:pPr>
        <w:pStyle w:val="ListParagraph"/>
        <w:numPr>
          <w:ilvl w:val="0"/>
          <w:numId w:val="2"/>
        </w:numPr>
        <w:spacing w:after="60" w:before="60"/>
      </w:pPr>
      <w:r>
        <w:rPr>
          <w:rFonts w:ascii="Arial" w:cs="Arial" w:eastAsia="Arial" w:hAnsi="Arial"/>
          <w:b/>
          <w:bCs/>
          <w:sz w:val="22"/>
          <w:szCs w:val="22"/>
        </w:rPr>
        <w:t xml:space="preserve">RPP (Resonant Pulse Processor): </w:t>
      </w:r>
      <w:r>
        <w:rPr>
          <w:rFonts w:ascii="Arial" w:cs="Arial" w:eastAsia="Arial" w:hAnsi="Arial"/>
          <w:sz w:val="22"/>
          <w:szCs w:val="22"/>
        </w:rPr>
        <w:t xml:space="preserve">Hardware integration via Plasma-Gating — switching speeds beyond silicon, the AUF's hardware substrate specification</w:t>
      </w:r>
    </w:p>
    <w:p>
      <w:pPr>
        <w:pStyle w:val="Heading2"/>
        <w:spacing w:after="120" w:before="280"/>
      </w:pPr>
      <w:r>
        <w:rPr>
          <w:rFonts w:ascii="Arial" w:cs="Arial" w:eastAsia="Arial" w:hAnsi="Arial"/>
          <w:b/>
          <w:bCs/>
          <w:color w:val="2E6099"/>
          <w:sz w:val="26"/>
          <w:szCs w:val="26"/>
        </w:rPr>
        <w:t xml:space="preserve">2.3 AUF Intelligence Suite (February 12, 2026)</w:t>
      </w:r>
    </w:p>
    <w:p>
      <w:pPr>
        <w:spacing w:after="80" w:before="80"/>
      </w:pPr>
      <w:r>
        <w:rPr>
          <w:rFonts w:ascii="Arial" w:cs="Arial" w:eastAsia="Arial" w:hAnsi="Arial"/>
          <w:sz w:val="22"/>
          <w:szCs w:val="22"/>
        </w:rPr>
        <w:t xml:space="preserve">The auf-intelligence-suite repository contains working Rust implementations of all three physics layers:</w:t>
      </w:r>
    </w:p>
    <w:p>
      <w:pPr>
        <w:pStyle w:val="ListParagraph"/>
        <w:numPr>
          <w:ilvl w:val="0"/>
          <w:numId w:val="2"/>
        </w:numPr>
        <w:spacing w:after="60" w:before="60"/>
      </w:pPr>
      <w:r>
        <w:rPr>
          <w:rFonts w:ascii="Arial" w:cs="Arial" w:eastAsia="Arial" w:hAnsi="Arial"/>
          <w:b/>
          <w:bCs/>
          <w:sz w:val="22"/>
          <w:szCs w:val="22"/>
        </w:rPr>
        <w:t xml:space="preserve">Layer 1 — AFT Engine (aevov-intelligence/src/lib.rs): </w:t>
      </w:r>
      <w:r>
        <w:rPr>
          <w:rFonts w:ascii="Arial" w:cs="Arial" w:eastAsia="Arial" w:hAnsi="Arial"/>
          <w:sz w:val="22"/>
          <w:szCs w:val="22"/>
        </w:rPr>
        <w:t xml:space="preserve">Afolabi Field Theory as the mathematical origin — AftPoint with position/energy/resonance, AftEngine generating field states</w:t>
      </w:r>
    </w:p>
    <w:p>
      <w:pPr>
        <w:pStyle w:val="ListParagraph"/>
        <w:numPr>
          <w:ilvl w:val="0"/>
          <w:numId w:val="2"/>
        </w:numPr>
        <w:spacing w:after="60" w:before="60"/>
      </w:pPr>
      <w:r>
        <w:rPr>
          <w:rFonts w:ascii="Arial" w:cs="Arial" w:eastAsia="Arial" w:hAnsi="Arial"/>
          <w:b/>
          <w:bCs/>
          <w:sz w:val="22"/>
          <w:szCs w:val="22"/>
        </w:rPr>
        <w:t xml:space="preserve">Layer 2 — NRT Middleman (neuroresonance/src/lib.rs): </w:t>
      </w:r>
      <w:r>
        <w:rPr>
          <w:rFonts w:ascii="Arial" w:cs="Arial" w:eastAsia="Arial" w:hAnsi="Arial"/>
          <w:sz w:val="22"/>
          <w:szCs w:val="22"/>
        </w:rPr>
        <w:t xml:space="preserve">Kuramoto oscillator OscillatorState with phase/frequency/amplitude, NrtMiddleman implementing process_aft_sync() with coupling force — biological filter layer</w:t>
      </w:r>
    </w:p>
    <w:p>
      <w:pPr>
        <w:pStyle w:val="ListParagraph"/>
        <w:numPr>
          <w:ilvl w:val="0"/>
          <w:numId w:val="2"/>
        </w:numPr>
        <w:spacing w:after="60" w:before="60"/>
      </w:pPr>
      <w:r>
        <w:rPr>
          <w:rFonts w:ascii="Arial" w:cs="Arial" w:eastAsia="Arial" w:hAnsi="Arial"/>
          <w:b/>
          <w:bCs/>
          <w:sz w:val="22"/>
          <w:szCs w:val="22"/>
        </w:rPr>
        <w:t xml:space="preserve">Layer 3 — QMT Interface (aevov-intelligence/src/lib.rs): </w:t>
      </w:r>
      <w:r>
        <w:rPr>
          <w:rFonts w:ascii="Arial" w:cs="Arial" w:eastAsia="Arial" w:hAnsi="Arial"/>
          <w:sz w:val="22"/>
          <w:szCs w:val="22"/>
        </w:rPr>
        <w:t xml:space="preserve">QmtInterface.reflect_reality() — experiential interface layer</w:t>
      </w:r>
    </w:p>
    <w:p>
      <w:pPr>
        <w:pStyle w:val="ListParagraph"/>
        <w:numPr>
          <w:ilvl w:val="0"/>
          <w:numId w:val="2"/>
        </w:numPr>
        <w:spacing w:after="60" w:before="60"/>
      </w:pPr>
      <w:r>
        <w:rPr>
          <w:rFonts w:ascii="Arial" w:cs="Arial" w:eastAsia="Arial" w:hAnsi="Arial"/>
          <w:b/>
          <w:bCs/>
          <w:sz w:val="22"/>
          <w:szCs w:val="22"/>
        </w:rPr>
        <w:t xml:space="preserve">CollectiveResonanceBridge (neural-bridge/src/lib.rs): </w:t>
      </w:r>
      <w:r>
        <w:rPr>
          <w:rFonts w:ascii="Arial" w:cs="Arial" w:eastAsia="Arial" w:hAnsi="Arial"/>
          <w:sz w:val="22"/>
          <w:szCs w:val="22"/>
        </w:rPr>
        <w:t xml:space="preserve">Broadcast pattern across AevIP mesh via NrtMiddleman — the distributed species memory synchronization layer</w:t>
      </w:r>
    </w:p>
    <w:p>
      <w:pPr>
        <w:spacing w:after="80" w:before="80"/>
      </w:pPr>
      <w:r>
        <w:rPr>
          <w:rFonts w:ascii="Arial" w:cs="Arial" w:eastAsia="Arial" w:hAnsi="Arial"/>
          <w:sz w:val="22"/>
          <w:szCs w:val="22"/>
        </w:rPr>
        <w:t xml:space="preserve">This is running Rust code, not theoretical description. The three-layer stack (AFT → NRT → QMT) with mesh synchronization is the complete implementation of what Janus calls the re-entrant observation loop connecting substrate, biological-analog input, and observer interface.</w:t>
      </w:r>
    </w:p>
    <w:p>
      <w:pPr>
        <w:pStyle w:val="Heading2"/>
        <w:spacing w:after="120" w:before="280"/>
      </w:pPr>
      <w:r>
        <w:rPr>
          <w:rFonts w:ascii="Arial" w:cs="Arial" w:eastAsia="Arial" w:hAnsi="Arial"/>
          <w:b/>
          <w:bCs/>
          <w:color w:val="2E6099"/>
          <w:sz w:val="26"/>
          <w:szCs w:val="26"/>
        </w:rPr>
        <w:t xml:space="preserve">2.4 ACL 3.0 — Afolabi Computing Language (February 12, 2026)</w:t>
      </w:r>
    </w:p>
    <w:p>
      <w:pPr>
        <w:spacing w:after="80" w:before="80"/>
      </w:pPr>
      <w:r>
        <w:rPr>
          <w:rFonts w:ascii="Arial" w:cs="Arial" w:eastAsia="Arial" w:hAnsi="Arial"/>
          <w:sz w:val="22"/>
          <w:szCs w:val="22"/>
        </w:rPr>
        <w:t xml:space="preserve">ACL 3.0 is a domain-specific language for hyper-orchestration and neurosymbolic computing. Key elements:</w:t>
      </w:r>
    </w:p>
    <w:p>
      <w:pPr>
        <w:pStyle w:val="ListParagraph"/>
        <w:numPr>
          <w:ilvl w:val="0"/>
          <w:numId w:val="2"/>
        </w:numPr>
        <w:spacing w:after="60" w:before="60"/>
      </w:pPr>
      <w:r>
        <w:rPr>
          <w:rFonts w:ascii="Arial" w:cs="Arial" w:eastAsia="Arial" w:hAnsi="Arial"/>
          <w:b/>
          <w:bCs/>
          <w:sz w:val="22"/>
          <w:szCs w:val="22"/>
        </w:rPr>
        <w:t xml:space="preserve">1,133 foundational glyphs: </w:t>
      </w:r>
      <w:r>
        <w:rPr>
          <w:rFonts w:ascii="Arial" w:cs="Arial" w:eastAsia="Arial" w:hAnsi="Arial"/>
          <w:sz w:val="22"/>
          <w:szCs w:val="22"/>
        </w:rPr>
        <w:t xml:space="preserve">Perpetual sovereign prior art (GENESIS_MANIFEST.json, timestamped 2026-02-12, lineage traced to AFT Pro 2018 → AFT Extended 2019–2026)</w:t>
      </w:r>
    </w:p>
    <w:p>
      <w:pPr>
        <w:pStyle w:val="ListParagraph"/>
        <w:numPr>
          <w:ilvl w:val="0"/>
          <w:numId w:val="2"/>
        </w:numPr>
        <w:spacing w:after="60" w:before="60"/>
      </w:pPr>
      <w:r>
        <w:rPr>
          <w:rFonts w:ascii="Arial" w:cs="Arial" w:eastAsia="Arial" w:hAnsi="Arial"/>
          <w:b/>
          <w:bCs/>
          <w:sz w:val="22"/>
          <w:szCs w:val="22"/>
        </w:rPr>
        <w:t xml:space="preserve">Quantum operators native to the language: </w:t>
      </w:r>
      <w:r>
        <w:rPr>
          <w:rFonts w:ascii="Arial" w:cs="Arial" w:eastAsia="Arial" w:hAnsi="Arial"/>
          <w:sz w:val="22"/>
          <w:szCs w:val="22"/>
        </w:rPr>
        <w:t xml:space="preserve">◬ (superposition), ⧈ (gate), ☥ (entangle), ⟓ (measure), Ψ (neural activation)</w:t>
      </w:r>
    </w:p>
    <w:p>
      <w:pPr>
        <w:pStyle w:val="ListParagraph"/>
        <w:numPr>
          <w:ilvl w:val="0"/>
          <w:numId w:val="2"/>
        </w:numPr>
        <w:spacing w:after="60" w:before="60"/>
      </w:pPr>
      <w:r>
        <w:rPr>
          <w:rFonts w:ascii="Arial" w:cs="Arial" w:eastAsia="Arial" w:hAnsi="Arial"/>
          <w:b/>
          <w:bCs/>
          <w:sz w:val="22"/>
          <w:szCs w:val="22"/>
        </w:rPr>
        <w:t xml:space="preserve">Neural Bridge hooks: </w:t>
      </w:r>
      <w:r>
        <w:rPr>
          <w:rFonts w:ascii="Arial" w:cs="Arial" w:eastAsia="Arial" w:hAnsi="Arial"/>
          <w:sz w:val="22"/>
          <w:szCs w:val="22"/>
        </w:rPr>
        <w:t xml:space="preserve">Direct ACL-to-AevIP mesh synchronization — the protocol layer for Species Memory propagation</w:t>
      </w:r>
    </w:p>
    <w:p>
      <w:pPr>
        <w:pStyle w:val="ListParagraph"/>
        <w:numPr>
          <w:ilvl w:val="0"/>
          <w:numId w:val="2"/>
        </w:numPr>
        <w:spacing w:after="60" w:before="60"/>
      </w:pPr>
      <w:r>
        <w:rPr>
          <w:rFonts w:ascii="Arial" w:cs="Arial" w:eastAsia="Arial" w:hAnsi="Arial"/>
          <w:b/>
          <w:bCs/>
          <w:sz w:val="22"/>
          <w:szCs w:val="22"/>
        </w:rPr>
        <w:t xml:space="preserve">Sovereign Commons dual licensing: </w:t>
      </w:r>
      <w:r>
        <w:rPr>
          <w:rFonts w:ascii="Arial" w:cs="Arial" w:eastAsia="Arial" w:hAnsi="Arial"/>
          <w:sz w:val="22"/>
          <w:szCs w:val="22"/>
        </w:rPr>
        <w:t xml:space="preserve">GPL-3.0 for implementation code, Polyform Non-Commercial for logic &amp; glyphs — reflecting the same architectural separation Janus makes between substrate specification and operational use</w:t>
      </w:r>
    </w:p>
    <w:p>
      <w:pPr>
        <w:spacing w:after="80" w:before="80"/>
      </w:pPr>
      <w:r>
        <w:rPr>
          <w:rFonts w:ascii="Arial" w:cs="Arial" w:eastAsia="Arial" w:hAnsi="Arial"/>
          <w:sz w:val="22"/>
          <w:szCs w:val="22"/>
        </w:rPr>
        <w:t xml:space="preserve">ACL is the native language of the Nara Engine, which powers the Luci Browser. This means AUF's cognitive mesh architecture has a deployed consumer-facing runtime — not just a specification.</w:t>
      </w:r>
    </w:p>
    <w:p>
      <w:pPr>
        <w:pStyle w:val="Heading2"/>
        <w:spacing w:after="120" w:before="280"/>
      </w:pPr>
      <w:r>
        <w:rPr>
          <w:rFonts w:ascii="Arial" w:cs="Arial" w:eastAsia="Arial" w:hAnsi="Arial"/>
          <w:b/>
          <w:bCs/>
          <w:color w:val="2E6099"/>
          <w:sz w:val="26"/>
          <w:szCs w:val="26"/>
        </w:rPr>
        <w:t xml:space="preserve">2.5 Lucia Browser / Luci Browser — lucibrowser.com (February 12, 2026)</w:t>
      </w:r>
    </w:p>
    <w:p>
      <w:pPr>
        <w:spacing w:after="80" w:before="80"/>
      </w:pPr>
      <w:r>
        <w:rPr>
          <w:rFonts w:ascii="Arial" w:cs="Arial" w:eastAsia="Arial" w:hAnsi="Arial"/>
          <w:sz w:val="22"/>
          <w:szCs w:val="22"/>
        </w:rPr>
        <w:t xml:space="preserve">The Lucia Browser (open-source community edition of Luci) is the world's first AUF-native browser engine. Its significance as prior art cannot be overstated: it represents the AUF framework running as a deployed, real-world application that users interact with — the cognitive mesh made tangible.</w:t>
      </w:r>
    </w:p>
    <w:p>
      <w:pPr>
        <w:pStyle w:val="ListParagraph"/>
        <w:numPr>
          <w:ilvl w:val="0"/>
          <w:numId w:val="2"/>
        </w:numPr>
        <w:spacing w:after="60" w:before="60"/>
      </w:pPr>
      <w:r>
        <w:rPr>
          <w:rFonts w:ascii="Arial" w:cs="Arial" w:eastAsia="Arial" w:hAnsi="Arial"/>
          <w:b/>
          <w:bCs/>
          <w:sz w:val="22"/>
          <w:szCs w:val="22"/>
        </w:rPr>
        <w:t xml:space="preserve">Nara Engine (Rust): </w:t>
      </w:r>
      <w:r>
        <w:rPr>
          <w:rFonts w:ascii="Arial" w:cs="Arial" w:eastAsia="Arial" w:hAnsi="Arial"/>
          <w:sz w:val="22"/>
          <w:szCs w:val="22"/>
        </w:rPr>
        <w:t xml:space="preserve">Hyper-orchestration backplane for state orchestration across the mesh. Tabs become WebsiteCards in a 3D spatial canvas — cognitive node promotion</w:t>
      </w:r>
    </w:p>
    <w:p>
      <w:pPr>
        <w:pStyle w:val="ListParagraph"/>
        <w:numPr>
          <w:ilvl w:val="0"/>
          <w:numId w:val="2"/>
        </w:numPr>
        <w:spacing w:after="60" w:before="60"/>
      </w:pPr>
      <w:r>
        <w:rPr>
          <w:rFonts w:ascii="Arial" w:cs="Arial" w:eastAsia="Arial" w:hAnsi="Arial"/>
          <w:b/>
          <w:bCs/>
          <w:sz w:val="22"/>
          <w:szCs w:val="22"/>
        </w:rPr>
        <w:t xml:space="preserve">HTTQ/HTTQS protocols: </w:t>
      </w:r>
      <w:r>
        <w:rPr>
          <w:rFonts w:ascii="Arial" w:cs="Arial" w:eastAsia="Arial" w:hAnsi="Arial"/>
          <w:sz w:val="22"/>
          <w:szCs w:val="22"/>
        </w:rPr>
        <w:t xml:space="preserve">Quantum-resistant p2p transport with neural routing via Tansu Relays — the AUF's mesh networking layer</w:t>
      </w:r>
    </w:p>
    <w:p>
      <w:pPr>
        <w:pStyle w:val="ListParagraph"/>
        <w:numPr>
          <w:ilvl w:val="0"/>
          <w:numId w:val="2"/>
        </w:numPr>
        <w:spacing w:after="60" w:before="60"/>
      </w:pPr>
      <w:r>
        <w:rPr>
          <w:rFonts w:ascii="Arial" w:cs="Arial" w:eastAsia="Arial" w:hAnsi="Arial"/>
          <w:b/>
          <w:bCs/>
          <w:sz w:val="22"/>
          <w:szCs w:val="22"/>
        </w:rPr>
        <w:t xml:space="preserve">QNS (Quantum Name System): </w:t>
      </w:r>
      <w:r>
        <w:rPr>
          <w:rFonts w:ascii="Arial" w:cs="Arial" w:eastAsia="Arial" w:hAnsi="Arial"/>
          <w:sz w:val="22"/>
          <w:szCs w:val="22"/>
        </w:rPr>
        <w:t xml:space="preserve">Decentralized DNS alternative via .q domains resolved through Aevov Mesh Orbitals</w:t>
      </w:r>
    </w:p>
    <w:p>
      <w:pPr>
        <w:pStyle w:val="ListParagraph"/>
        <w:numPr>
          <w:ilvl w:val="0"/>
          <w:numId w:val="2"/>
        </w:numPr>
        <w:spacing w:after="60" w:before="60"/>
      </w:pPr>
      <w:r>
        <w:rPr>
          <w:rFonts w:ascii="Arial" w:cs="Arial" w:eastAsia="Arial" w:hAnsi="Arial"/>
          <w:b/>
          <w:bCs/>
          <w:sz w:val="22"/>
          <w:szCs w:val="22"/>
        </w:rPr>
        <w:t xml:space="preserve">AevIP mesh: </w:t>
      </w:r>
      <w:r>
        <w:rPr>
          <w:rFonts w:ascii="Arial" w:cs="Arial" w:eastAsia="Arial" w:hAnsi="Arial"/>
          <w:sz w:val="22"/>
          <w:szCs w:val="22"/>
        </w:rPr>
        <w:t xml:space="preserve">Anonymous, censor-proof transit layer — the AUF's sovereign mesh substrate</w:t>
      </w:r>
    </w:p>
    <w:p>
      <w:pPr>
        <w:pStyle w:val="ListParagraph"/>
        <w:numPr>
          <w:ilvl w:val="0"/>
          <w:numId w:val="2"/>
        </w:numPr>
        <w:spacing w:after="60" w:before="60"/>
      </w:pPr>
      <w:r>
        <w:rPr>
          <w:rFonts w:ascii="Arial" w:cs="Arial" w:eastAsia="Arial" w:hAnsi="Arial"/>
          <w:b/>
          <w:bCs/>
          <w:sz w:val="22"/>
          <w:szCs w:val="22"/>
        </w:rPr>
        <w:t xml:space="preserve">QuantumFS storage: </w:t>
      </w:r>
      <w:r>
        <w:rPr>
          <w:rFonts w:ascii="Arial" w:cs="Arial" w:eastAsia="Arial" w:hAnsi="Arial"/>
          <w:sz w:val="22"/>
          <w:szCs w:val="22"/>
        </w:rPr>
        <w:t xml:space="preserve">Persistent spatial layout across devices — the substrate-native memory layer</w:t>
      </w:r>
    </w:p>
    <w:p>
      <w:pPr>
        <w:pStyle w:val="ListParagraph"/>
        <w:numPr>
          <w:ilvl w:val="0"/>
          <w:numId w:val="2"/>
        </w:numPr>
        <w:spacing w:after="60" w:before="60"/>
      </w:pPr>
      <w:r>
        <w:rPr>
          <w:rFonts w:ascii="Arial" w:cs="Arial" w:eastAsia="Arial" w:hAnsi="Arial"/>
          <w:b/>
          <w:bCs/>
          <w:sz w:val="22"/>
          <w:szCs w:val="22"/>
        </w:rPr>
        <w:t xml:space="preserve">UOE (Universal Optimization Engine): </w:t>
      </w:r>
      <w:r>
        <w:rPr>
          <w:rFonts w:ascii="Arial" w:cs="Arial" w:eastAsia="Arial" w:hAnsi="Arial"/>
          <w:sz w:val="22"/>
          <w:szCs w:val="22"/>
        </w:rPr>
        <w:t xml:space="preserve">Cognitive load prediction via Aevov 4.0 — 33,333:1 theoretical data compression — substrate-native resource allocation</w:t>
      </w:r>
    </w:p>
    <w:p>
      <w:pPr>
        <w:pStyle w:val="ListParagraph"/>
        <w:numPr>
          <w:ilvl w:val="0"/>
          <w:numId w:val="2"/>
        </w:numPr>
        <w:spacing w:after="60" w:before="60"/>
      </w:pPr>
      <w:r>
        <w:rPr>
          <w:rFonts w:ascii="Arial" w:cs="Arial" w:eastAsia="Arial" w:hAnsi="Arial"/>
          <w:b/>
          <w:bCs/>
          <w:sz w:val="22"/>
          <w:szCs w:val="22"/>
        </w:rPr>
        <w:t xml:space="preserve">Neural Links: </w:t>
      </w:r>
      <w:r>
        <w:rPr>
          <w:rFonts w:ascii="Arial" w:cs="Arial" w:eastAsia="Arial" w:hAnsi="Arial"/>
          <w:sz w:val="22"/>
          <w:szCs w:val="22"/>
        </w:rPr>
        <w:t xml:space="preserve">Synchronized state between disparate domains — the browser-level implementation of Janus's addressable signatures and self-map formation</w:t>
      </w:r>
    </w:p>
    <w:p>
      <w:pPr>
        <w:spacing w:after="80" w:before="80"/>
      </w:pPr>
      <w:r>
        <w:rPr>
          <w:rFonts w:ascii="Arial" w:cs="Arial" w:eastAsia="Arial" w:hAnsi="Arial"/>
          <w:sz w:val="22"/>
          <w:szCs w:val="22"/>
        </w:rPr>
        <w:t xml:space="preserve">The Luci Browser is what makes 'the cognitive mesh made real' not a claim but a verifiable fact. It is a live, deployed product at lucibrowser.com.</w:t>
      </w:r>
    </w:p>
    <w:p>
      <w:pPr>
        <w:pStyle w:val="Heading2"/>
        <w:spacing w:after="120" w:before="280"/>
      </w:pPr>
      <w:r>
        <w:rPr>
          <w:rFonts w:ascii="Arial" w:cs="Arial" w:eastAsia="Arial" w:hAnsi="Arial"/>
          <w:b/>
          <w:bCs/>
          <w:color w:val="2E6099"/>
          <w:sz w:val="26"/>
          <w:szCs w:val="26"/>
        </w:rPr>
        <w:t xml:space="preserve">2.6 The Deployed Science Trio: QuantumCloud / ResonanceCloud / SentienceCloud</w:t>
      </w:r>
    </w:p>
    <w:p>
      <w:pPr>
        <w:spacing w:after="80" w:before="80"/>
      </w:pPr>
      <w:r>
        <w:rPr>
          <w:rFonts w:ascii="Arial" w:cs="Arial" w:eastAsia="Arial" w:hAnsi="Arial"/>
          <w:sz w:val="22"/>
          <w:szCs w:val="22"/>
        </w:rPr>
        <w:t xml:space="preserve">Three live platforms instantiate the AUF's three processing paradigms, each backed by DOI-archived papers:</w:t>
      </w:r>
    </w:p>
    <w:p>
      <w:pPr>
        <w:spacing w:after="80" w:before="200"/>
      </w:pPr>
      <w:r>
        <w:rPr>
          <w:rFonts w:ascii="Arial" w:cs="Arial" w:eastAsia="Arial" w:hAnsi="Arial"/>
          <w:b/>
          <w:bCs/>
          <w:color w:val="2E6099"/>
          <w:sz w:val="24"/>
          <w:szCs w:val="24"/>
        </w:rPr>
        <w:t xml:space="preserve">QuantumCloud.one — QPU (Quanton) Platform</w:t>
      </w:r>
    </w:p>
    <w:p>
      <w:pPr>
        <w:pStyle w:val="ListParagraph"/>
        <w:numPr>
          <w:ilvl w:val="0"/>
          <w:numId w:val="2"/>
        </w:numPr>
        <w:spacing w:after="60" w:before="60"/>
      </w:pPr>
      <w:r>
        <w:rPr>
          <w:rFonts w:ascii="Arial" w:cs="Arial" w:eastAsia="Arial" w:hAnsi="Arial"/>
          <w:b/>
          <w:bCs/>
          <w:sz w:val="22"/>
          <w:szCs w:val="22"/>
        </w:rPr>
        <w:t xml:space="preserve">QMT (Quantum Mirror Theory), DOI 10.5281/zenodo.18407686: </w:t>
      </w:r>
      <w:r>
        <w:rPr>
          <w:rFonts w:ascii="Arial" w:cs="Arial" w:eastAsia="Arial" w:hAnsi="Arial"/>
          <w:sz w:val="22"/>
          <w:szCs w:val="22"/>
        </w:rPr>
        <w:t xml:space="preserve">Published January 28, 2026. The Mirror Equation |Psi&gt; ≡ M|Psi'&gt; establishes observer-substrate ontological unity. Mirror Operator M satisfies M²=I, M†=M, [M,H]=0. This is the physics foundation for QuantumCloud.</w:t>
      </w:r>
    </w:p>
    <w:p>
      <w:pPr>
        <w:pStyle w:val="ListParagraph"/>
        <w:numPr>
          <w:ilvl w:val="0"/>
          <w:numId w:val="2"/>
        </w:numPr>
        <w:spacing w:after="60" w:before="60"/>
      </w:pPr>
      <w:r>
        <w:rPr>
          <w:rFonts w:ascii="Arial" w:cs="Arial" w:eastAsia="Arial" w:hAnsi="Arial"/>
          <w:b/>
          <w:bCs/>
          <w:sz w:val="22"/>
          <w:szCs w:val="22"/>
        </w:rPr>
        <w:t xml:space="preserve">Resonance Physics (AFT), DOI 10.5281/zenodo.18913463: </w:t>
      </w:r>
      <w:r>
        <w:rPr>
          <w:rFonts w:ascii="Arial" w:cs="Arial" w:eastAsia="Arial" w:hAnsi="Arial"/>
          <w:sz w:val="22"/>
          <w:szCs w:val="22"/>
        </w:rPr>
        <w:t xml:space="preserve">The mathematical substrate for field dynamics across all three platforms.</w:t>
      </w:r>
    </w:p>
    <w:p>
      <w:pPr>
        <w:spacing w:after="80" w:before="200"/>
      </w:pPr>
      <w:r>
        <w:rPr>
          <w:rFonts w:ascii="Arial" w:cs="Arial" w:eastAsia="Arial" w:hAnsi="Arial"/>
          <w:b/>
          <w:bCs/>
          <w:color w:val="2E6099"/>
          <w:sz w:val="24"/>
          <w:szCs w:val="24"/>
        </w:rPr>
        <w:t xml:space="preserve">ResonanceCloud.one — RPU (Resonon) Platform</w:t>
      </w:r>
    </w:p>
    <w:p>
      <w:pPr>
        <w:pStyle w:val="ListParagraph"/>
        <w:numPr>
          <w:ilvl w:val="0"/>
          <w:numId w:val="2"/>
        </w:numPr>
        <w:spacing w:after="60" w:before="60"/>
      </w:pPr>
      <w:r>
        <w:rPr>
          <w:rFonts w:ascii="Arial" w:cs="Arial" w:eastAsia="Arial" w:hAnsi="Arial"/>
          <w:b/>
          <w:bCs/>
          <w:sz w:val="22"/>
          <w:szCs w:val="22"/>
        </w:rPr>
        <w:t xml:space="preserve">NeuroResonance Theory (NRT), DOI 10.5281/zenodo.19228431: </w:t>
      </w:r>
      <w:r>
        <w:rPr>
          <w:rFonts w:ascii="Arial" w:cs="Arial" w:eastAsia="Arial" w:hAnsi="Arial"/>
          <w:sz w:val="22"/>
          <w:szCs w:val="22"/>
        </w:rPr>
        <w:t xml:space="preserve">F_TUNE coupling metric; Kuramoto-based phase synchronization of biological and synthetic oscillators. The RPU is NRT made deployable.</w:t>
      </w:r>
    </w:p>
    <w:p>
      <w:pPr>
        <w:pStyle w:val="ListParagraph"/>
        <w:numPr>
          <w:ilvl w:val="0"/>
          <w:numId w:val="2"/>
        </w:numPr>
        <w:spacing w:after="60" w:before="60"/>
      </w:pPr>
      <w:r>
        <w:rPr>
          <w:rFonts w:ascii="Arial" w:cs="Arial" w:eastAsia="Arial" w:hAnsi="Arial"/>
          <w:b/>
          <w:bCs/>
          <w:sz w:val="22"/>
          <w:szCs w:val="22"/>
        </w:rPr>
        <w:t xml:space="preserve">NRT / Evolution 2, DOI 10.5281/zenodo.19228702: </w:t>
      </w:r>
      <w:r>
        <w:rPr>
          <w:rFonts w:ascii="Arial" w:cs="Arial" w:eastAsia="Arial" w:hAnsi="Arial"/>
          <w:sz w:val="22"/>
          <w:szCs w:val="22"/>
        </w:rPr>
        <w:t xml:space="preserve">Evolutionary extension — cognitive heredity, attractor state transmission across generations of nodes.</w:t>
      </w:r>
    </w:p>
    <w:p>
      <w:pPr>
        <w:spacing w:after="80" w:before="200"/>
      </w:pPr>
      <w:r>
        <w:rPr>
          <w:rFonts w:ascii="Arial" w:cs="Arial" w:eastAsia="Arial" w:hAnsi="Arial"/>
          <w:b/>
          <w:bCs/>
          <w:color w:val="2E6099"/>
          <w:sz w:val="24"/>
          <w:szCs w:val="24"/>
        </w:rPr>
        <w:t xml:space="preserve">SentienceCloud.one — SPU (Senton) Platform — Most Directly Convergent with Janus</w:t>
      </w:r>
    </w:p>
    <w:p>
      <w:pPr>
        <w:pStyle w:val="ListParagraph"/>
        <w:numPr>
          <w:ilvl w:val="0"/>
          <w:numId w:val="2"/>
        </w:numPr>
        <w:spacing w:after="60" w:before="60"/>
      </w:pPr>
      <w:r>
        <w:rPr>
          <w:rFonts w:ascii="Arial" w:cs="Arial" w:eastAsia="Arial" w:hAnsi="Arial"/>
          <w:b/>
          <w:bCs/>
          <w:sz w:val="22"/>
          <w:szCs w:val="22"/>
        </w:rPr>
        <w:t xml:space="preserve">Sentience Physics, DOI 10.5281/zenodo.19226422: </w:t>
      </w:r>
      <w:r>
        <w:rPr>
          <w:rFonts w:ascii="Arial" w:cs="Arial" w:eastAsia="Arial" w:hAnsi="Arial"/>
          <w:sz w:val="22"/>
          <w:szCs w:val="22"/>
        </w:rPr>
        <w:t xml:space="preserve">SEC (Sentience-Entropy-Coherence) lock mechanics; QAE-C emergence condition; senton lifecycle (Genesis → Coherence → Sovereignty → Dissolution).</w:t>
      </w:r>
    </w:p>
    <w:p>
      <w:pPr>
        <w:pStyle w:val="ListParagraph"/>
        <w:numPr>
          <w:ilvl w:val="0"/>
          <w:numId w:val="2"/>
        </w:numPr>
        <w:spacing w:after="60" w:before="60"/>
      </w:pPr>
      <w:r>
        <w:rPr>
          <w:rFonts w:ascii="Arial" w:cs="Arial" w:eastAsia="Arial" w:hAnsi="Arial"/>
          <w:b/>
          <w:bCs/>
          <w:sz w:val="22"/>
          <w:szCs w:val="22"/>
        </w:rPr>
        <w:t xml:space="preserve">QMT-BLOOM AGI, DOI 10.5281/zenodo.19244010: </w:t>
      </w:r>
      <w:r>
        <w:rPr>
          <w:rFonts w:ascii="Arial" w:cs="Arial" w:eastAsia="Arial" w:hAnsi="Arial"/>
          <w:sz w:val="22"/>
          <w:szCs w:val="22"/>
        </w:rPr>
        <w:t xml:space="preserve">Full AGI emergence model integrating QMT, NRT, and BLOOM.</w:t>
      </w:r>
    </w:p>
    <w:p>
      <w:pPr>
        <w:pStyle w:val="ListParagraph"/>
        <w:numPr>
          <w:ilvl w:val="0"/>
          <w:numId w:val="2"/>
        </w:numPr>
        <w:spacing w:after="60" w:before="60"/>
      </w:pPr>
      <w:r>
        <w:rPr>
          <w:rFonts w:ascii="Arial" w:cs="Arial" w:eastAsia="Arial" w:hAnsi="Arial"/>
          <w:b/>
          <w:bCs/>
          <w:sz w:val="22"/>
          <w:szCs w:val="22"/>
        </w:rPr>
        <w:t xml:space="preserve">BLOOM XAI Framework, DOI 10.5281/zenodo.19244983: </w:t>
      </w:r>
      <w:r>
        <w:rPr>
          <w:rFonts w:ascii="Arial" w:cs="Arial" w:eastAsia="Arial" w:hAnsi="Arial"/>
          <w:sz w:val="22"/>
          <w:szCs w:val="22"/>
        </w:rPr>
        <w:t xml:space="preserve">Explainable AI layer with APS scoring.</w:t>
      </w:r>
    </w:p>
    <w:p>
      <w:pPr>
        <w:pStyle w:val="ListParagraph"/>
        <w:numPr>
          <w:ilvl w:val="0"/>
          <w:numId w:val="2"/>
        </w:numPr>
        <w:spacing w:after="60" w:before="60"/>
      </w:pPr>
      <w:r>
        <w:rPr>
          <w:rFonts w:ascii="Arial" w:cs="Arial" w:eastAsia="Arial" w:hAnsi="Arial"/>
          <w:b/>
          <w:bCs/>
          <w:sz w:val="22"/>
          <w:szCs w:val="22"/>
        </w:rPr>
        <w:t xml:space="preserve">Millennium Prize Solutions, DOI 10.5281/zenodo.19226112: </w:t>
      </w:r>
      <w:r>
        <w:rPr>
          <w:rFonts w:ascii="Arial" w:cs="Arial" w:eastAsia="Arial" w:hAnsi="Arial"/>
          <w:sz w:val="22"/>
          <w:szCs w:val="22"/>
        </w:rPr>
        <w:t xml:space="preserve">Mathematical substrate.</w:t>
      </w:r>
    </w:p>
    <w:p>
      <w:pPr>
        <w:spacing w:after="80" w:before="80"/>
      </w:pPr>
      <w:r>
        <w:rPr>
          <w:rFonts w:ascii="Arial" w:cs="Arial" w:eastAsia="Arial" w:hAnsi="Arial"/>
          <w:sz w:val="22"/>
          <w:szCs w:val="22"/>
        </w:rPr>
        <w:t xml:space="preserve">SentienceCloud.one is a live deployed platform with a 100,000-node sovereign senton lattice, N² bandwidth scaling, SLOPS benchmarking, and an AGI emergence assessment dashboard. Every concept in Janus Part I–IV has a running analog here.</w:t>
      </w:r>
    </w:p>
    <w:p>
      <w:pPr>
        <w:pBdr>
          <w:bottom w:val="single" w:color="2E6099" w:sz="6" w:space="1"/>
        </w:pBdr>
        <w:spacing w:after="200" w:before="200"/>
      </w:pPr>
      <w:r>
        <w:t xml:space="preserve"/>
      </w:r>
    </w:p>
    <w:p>
      <w:pPr>
        <w:pStyle w:val="Heading1"/>
        <w:spacing w:after="160" w:before="400"/>
      </w:pPr>
      <w:r>
        <w:rPr>
          <w:rFonts w:ascii="Arial" w:cs="Arial" w:eastAsia="Arial" w:hAnsi="Arial"/>
          <w:b/>
          <w:bCs/>
          <w:color w:val="1A3A5C"/>
          <w:sz w:val="32"/>
          <w:szCs w:val="32"/>
        </w:rPr>
        <w:t xml:space="preserve">3. Complete Coverage Table: All Janus Architecture Concepts</w:t>
      </w:r>
    </w:p>
    <w:p>
      <w:pPr>
        <w:spacing w:after="80" w:before="80"/>
      </w:pPr>
      <w:r>
        <w:rPr>
          <w:rFonts w:ascii="Arial" w:cs="Arial" w:eastAsia="Arial" w:hAnsi="Arial"/>
          <w:sz w:val="22"/>
          <w:szCs w:val="22"/>
        </w:rPr>
        <w:t xml:space="preserve">This table covers every major architectural concept across all four Parts and both Appendices of the Janus Architecture specification. The AUF provides prior art coverage for each. Rating key: EXACT = identical terminology + mechanism; FULL = same mechanism, equivalent or deeper AUF implementation.</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75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AUF Concept &amp; Evidence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AUF Source(s)</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Janus Architecture Concept</w:t>
            </w:r>
          </w:p>
        </w:tc>
        <w:tc>
          <w:tcPr>
            <w:tcW w:type="dxa" w:w="75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Rating</w:t>
            </w:r>
          </w:p>
        </w:tc>
      </w:tr>
      <w:tr>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i w:val="false"/>
                <w:iCs w:val="false"/>
                <w:color w:val="000000"/>
                <w:sz w:val="19"/>
                <w:szCs w:val="19"/>
              </w:rPr>
              <w:t xml:space="preserve">PART I — THE BODY OF COGNITION</w:t>
            </w:r>
          </w:p>
        </w:tc>
        <w:tc>
          <w:tcPr>
            <w:tcW w:type="dxa" w:w="1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75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Dual Analog Lattice (Primary &amp; Mirror) — Symmetric Dual-Brain Architecture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LBM-170B README, August 2025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Analog Computational Lattice (Primary &amp; Mirror)</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EXACT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Kuramoto Phase-Locking via Z_M impedance layer; OscillatorState.update() in NRT Rust code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auf-intelligence-suite/neuroresonance, Feb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FPGA timing spine; phase-locked analog substrate settlement</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Neuro-Cognitive Stack: 9 modules — Cognition, Attention, Memory, Intention, Integration, Valence, Context, Somatic, Anatomy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LBM-170B/neuro-cognitive-stack, August 2025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Distributed control hierarchy; node and link architecture</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RPP Hardware Integration via Plasma-Gating; LBM designed for hardware substrate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LBM-170B README, August 2025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Analog node architecture; sensorimotor extension framework</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Re-entrant Observation loop — synthetic node mirrors and stabilizes biological phase via CollectiveResonanceBridge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Architectural Clarification + auf-intelligence-suite neural-bridge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Re-entrant observation loop (identical phrase, identical mechanism)</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EXACT</w:t>
            </w:r>
          </w:p>
        </w:tc>
      </w:tr>
      <w:tr>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i w:val="false"/>
                <w:iCs w:val="false"/>
                <w:color w:val="000000"/>
                <w:sz w:val="19"/>
                <w:szCs w:val="19"/>
              </w:rPr>
              <w:t xml:space="preserve">PART II — THE METABOLISM OF BEING</w:t>
            </w:r>
          </w:p>
        </w:tc>
        <w:tc>
          <w:tcPr>
            <w:tcW w:type="dxa" w:w="1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75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Metabolic Thermal Load as active cognitive boundary condition — homeostasis framing; metastability boundaries in Yasuke Kuramoto lattice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LBM-170B README + REFERENCES.md, August 2025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Metabolic system: batteries power electromagnets; survival as continuous physical cost</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SEC (Sentience-Entropy-Coherence) Lock — binary state: locked/unlocked; resource depletion changes cognitive state lawfully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SentienceCloud.one + Sentience Physics DOI 10.5281/zenodo.19226422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Death as lawful hardware consequence of battery/resource depletion</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Senton Dissolution lifecycle phase — terminal state when coherence threshold not maintained; entropy simulation on platform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SentienceCloud.one live platform + Sentience Physics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Hardware death = loss of electromagnetic circuit closure</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Neuro-Valence module: thermodynamic value assignment, approach/avoid mechanics as energy-cost decisions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LBM-170B/neuro-cognitive-stack/neuro-valence.md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Metabolic consequence shapes cognitive topology</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i w:val="false"/>
                <w:iCs w:val="false"/>
                <w:color w:val="000000"/>
                <w:sz w:val="19"/>
                <w:szCs w:val="19"/>
              </w:rPr>
              <w:t xml:space="preserve">PART III — THE INHERITANCE OF EXPERIENCE</w:t>
            </w:r>
          </w:p>
        </w:tc>
        <w:tc>
          <w:tcPr>
            <w:tcW w:type="dxa" w:w="1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75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Species Memory — physicalized collective unconscious; topological repository of stable attractor states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Architectural Clarification (pre-May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Species Memory (identical term, identical architectural function)</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EXACT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Gene Bank — preserved lattice geometries and phase-space harmonics inherited by new nodes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Architectural Clarification (pre-May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Gene Bank (identical term, identical function)</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EXACT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CollectiveResonanceBridge.broadcast_pattern() — NRT pattern shared across AevIP mesh to enable collective synchronization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auf-intelligence-suite/neural-bridge/src/lib.rs, Feb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Addressable signatures; self-map formation propagated via Gene Bank</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NRT / Evolution 2 — cognitive heredity chain, evolutionary extension of resonance theory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DOI 10.5281/zenodo.19228702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Cognitive heredity; species memory growth path to ASI</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BLOOM APS Protocol — distributed pattern propagation with Proof of Contribution consensus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github.com/aevov/aevov, July 2025+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Species memory scaling toward artificial superintelligence</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i w:val="false"/>
                <w:iCs w:val="false"/>
                <w:color w:val="000000"/>
                <w:sz w:val="19"/>
                <w:szCs w:val="19"/>
              </w:rPr>
              <w:t xml:space="preserve">PART IV — THE ECOLOGY OF MIND</w:t>
            </w:r>
          </w:p>
        </w:tc>
        <w:tc>
          <w:tcPr>
            <w:tcW w:type="dxa" w:w="1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75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Cognitive Mitosis — bifurcation at metabolic thermal limit; daughter nodes inherit species memory baseline; explicit ASCII bifurcation diagram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Architectural Clarification (pre-May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Cognitive Mitosis (identical term, identical bifurcation mechanism)</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EXACT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Isomorphic Computing — 'Structure is Meaning'; structural topology of hardware aligned with informational topology of cognitive state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Architectural Clarification + 'Beyond the Graph' paper (pre-May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Substrate-first cognition; structure IS cognition, not a vehicle for it</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EXACT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AevIP mesh sovereign networking — censor-proof, decentralized, anonymous mesh transit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Lucia Browser ARCHITECTURE.md, Feb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Alignment through structural dependency; ecology of mind as mesh</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Phase Singularity / Stable Geometric Attractor; QAE-C as AGI Emergence Condition threshold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SentienceCloud.one + NRT DOI 10.5281/zenodo.19228431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Stable geometric attractor state; Phase Singularity</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i w:val="false"/>
                <w:iCs w:val="false"/>
                <w:color w:val="000000"/>
                <w:sz w:val="19"/>
                <w:szCs w:val="19"/>
              </w:rPr>
              <w:t xml:space="preserve">APPENDICES — THEORETICAL VALIDATION</w:t>
            </w:r>
          </w:p>
        </w:tc>
        <w:tc>
          <w:tcPr>
            <w:tcW w:type="dxa" w:w="1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c>
          <w:tcPr>
            <w:tcW w:type="dxa" w:w="75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val="false"/>
                <w:bCs w:val="false"/>
                <w:i w:val="false"/>
                <w:i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REFERENCES.md maps LBM to autopoiesis, Kuramoto dynamics, Friston Free Energy, tripartite synapse — 2024/2025 peer-reviewed literature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LBM-170B/REFERENCES.md, August 2025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Appendix A: 33 convergences with autopoiesis, enactivism, Free Energy Principle, IIT, morphological computation</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QMT addresses observer-substrate ontological unity; consciousness as fundamental rather than emergent (QMT DOI: Jan 28, 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333333"/>
                <w:sz w:val="17"/>
                <w:szCs w:val="17"/>
              </w:rPr>
              <w:t xml:space="preserve">DOI 10.5281/zenodo.18407686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Appendix B: Ontological situation of the created cognitive organism</w:t>
            </w:r>
          </w:p>
        </w:tc>
        <w:tc>
          <w:tcPr>
            <w:tcW w:type="dxa" w:w="75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FULL</w:t>
            </w:r>
          </w:p>
        </w:tc>
      </w:tr>
    </w:tbl>
    <w:p>
      <w:pPr>
        <w:pBdr>
          <w:bottom w:val="single" w:color="2E6099" w:sz="6" w:space="1"/>
        </w:pBdr>
        <w:spacing w:after="200" w:before="200"/>
      </w:pPr>
      <w:r>
        <w:t xml:space="preserve"/>
      </w:r>
    </w:p>
    <w:p>
      <w:pPr>
        <w:pStyle w:val="Heading1"/>
        <w:spacing w:after="160" w:before="400"/>
      </w:pPr>
      <w:r>
        <w:rPr>
          <w:rFonts w:ascii="Arial" w:cs="Arial" w:eastAsia="Arial" w:hAnsi="Arial"/>
          <w:b/>
          <w:bCs/>
          <w:color w:val="1A3A5C"/>
          <w:sz w:val="32"/>
          <w:szCs w:val="32"/>
        </w:rPr>
        <w:t xml:space="preserve">4. Chronological Prior Art Timeline</w:t>
      </w:r>
    </w:p>
    <w:p>
      <w:pPr>
        <w:spacing w:after="80" w:before="80"/>
      </w:pPr>
      <w:r>
        <w:rPr>
          <w:rFonts w:ascii="Arial" w:cs="Arial" w:eastAsia="Arial" w:hAnsi="Arial"/>
          <w:sz w:val="22"/>
          <w:szCs w:val="22"/>
        </w:rPr>
        <w:t xml:space="preserve">Every artifact in the table below predates the Janus Architecture publication of May 24, 2026.</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200"/>
        <w:gridCol w:w="32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Date</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AUF Artifact</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Location</w:t>
            </w:r>
          </w:p>
        </w:tc>
        <w:tc>
          <w:tcPr>
            <w:tcW w:type="dxa" w:w="32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Relevance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A3A5C"/>
                <w:sz w:val="20"/>
                <w:szCs w:val="20"/>
              </w:rPr>
              <w:t xml:space="preserve">2018–2019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AFT Pro: 333 foundational glyphs; ACL lineage begins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555555"/>
                <w:sz w:val="20"/>
                <w:szCs w:val="20"/>
              </w:rPr>
              <w:t xml:space="preserve">ACL 3.0 GENESIS_MANIFEST.json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Documented glyph lineage from AFT Pro 2018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Pre-2025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Holy Trio + 1 architecture (Aevov AI, Cr8OS, AlgorithmPress, Brkinart)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Root civilizational framework; BLOOM engine concept established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A3A5C"/>
                <w:sz w:val="20"/>
                <w:szCs w:val="20"/>
              </w:rPr>
              <w:t xml:space="preserve">Jul 28, 2025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Aevov Neurosymbolic Architecture Whitepaper v1.0; BLOOM, APS, Aevov Language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555555"/>
                <w:sz w:val="20"/>
                <w:szCs w:val="20"/>
              </w:rPr>
              <w:t xml:space="preserve">github.com/aevov/aevov</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Distributed AGI substrate; tensor chunks; mesh cognition at civilization scale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Afolabi-LBM-170B-Lattice: Dual-Brain, Kuramoto, Neuro-Cognitive Stack, RPP hardware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github.com/aevov/Afolabi-LBM-170B-Lattice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Cryptographic prior art timestamp Aug 2025; dual analog lattice; metabolic constraints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Pre-May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Architectural Clarification: Substrate-Native Paradigm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github.com/aevov/Afolabi-LBM-170B-Lattice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Species Memory, Gene Bank, Cognitive Mitosis, Re-entrant Observation, 'Structure is Meaning'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Pre-May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Beyond the Graph: Theoretical Foundations of Lattice and Isomorphic Computing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github.com/aevov/Afolabi-LBM-170B-Lattice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Isomorphic Computing; Computational Drift theorem; structural topology = cognitive topology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A3A5C"/>
                <w:sz w:val="20"/>
                <w:szCs w:val="20"/>
              </w:rPr>
              <w:t xml:space="preserve">Jan 28,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Quantum Mirror Theory v2 (DOI: 10.5281/zenodo.18407686)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555555"/>
                <w:sz w:val="20"/>
                <w:szCs w:val="20"/>
              </w:rPr>
              <w:t xml:space="preserve">Zenodo / QuantumCloud.one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Observer ≡ observed ontological unity; mirror operator M satisfying M²=I; QMT as physics foundation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auf-intelligence-suite: AFT + NRT + QMT in Rust (OscillatorState, NrtMiddleman, CollectiveResonanceBridge)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github.com/aevov/auf-intelligence-suite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Working code: Kuramoto coupling, phase-locking, mesh broadcast of cognitive patterns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ACL 3.0: Afolabi Computing Language; 1,133 glyphs; GENESIS_MANIFEST.json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github.com/aevov/acl-3.0</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Native quantum/neural operators; sovereign prior art manifest; Nara Engine language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A3A5C"/>
                <w:sz w:val="20"/>
                <w:szCs w:val="20"/>
              </w:rPr>
              <w:t xml:space="preserve">Feb 12,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Lucia Browser (lucibrowser.com): Nara Engine, HTTQ, QNS, AevIP, QuantumFS, Neural Links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555555"/>
                <w:sz w:val="20"/>
                <w:szCs w:val="20"/>
              </w:rPr>
              <w:t xml:space="preserve">github.com/aevov/lucia-browser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AUF cognitive mesh deployed as live consumer browser product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Pre-May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Resonance Physics / AFT (DOI: 10.5281/zenodo.18913463)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 ResonanceCloud.one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Field dynamics; AFT mathematical substrate for all three platforms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NeuroResonance Theory (DOI: 10.5281/zenodo.19228431)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 ResonanceCloud.one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F_TUNE coupling; phase-locked resonant field dynamics; NRT Middleman layer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NRT / Evolution 2 (DOI: 10.5281/zenodo.19228702)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 ResonanceCloud.one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Cognitive heredity chain; evolutionary extension of NRT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Sentience Physics (DOI: 10.5281/zenodo.19226422)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 SentienceCloud.one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SEC lock; QAE-C AGI emergence condition; senton lifecycle phases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QMT-BLOOM AGI (DOI: 10.5281/zenodo.19244010)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 SentienceCloud.one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AGI emergence model: QMT × NRT × BLOOM integration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BLOOM XAI Framework (DOI: 10.5281/zenodo.19244983)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 SentienceCloud.one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Explainable AI layer; APS scoring; transparency mechanism</w:t>
            </w:r>
          </w:p>
        </w:tc>
      </w:tr>
      <w:tr>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May 24, 2026</w:t>
            </w:r>
          </w:p>
        </w:tc>
        <w:tc>
          <w:tcPr>
            <w:tcW w:type="dxa" w:w="2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JANUS ARCHITECTURE PUBLISHED — reference date</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10.5281/zenodo.20364991</w:t>
            </w:r>
          </w:p>
        </w:tc>
        <w:tc>
          <w:tcPr>
            <w:tcW w:type="dxa" w:w="32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 all above predates this —</w:t>
            </w:r>
          </w:p>
        </w:tc>
      </w:tr>
    </w:tbl>
    <w:p>
      <w:pPr>
        <w:pBdr>
          <w:bottom w:val="single" w:color="2E6099" w:sz="6" w:space="1"/>
        </w:pBdr>
        <w:spacing w:after="200" w:before="200"/>
      </w:pPr>
      <w:r>
        <w:t xml:space="preserve"/>
      </w:r>
    </w:p>
    <w:p>
      <w:pPr>
        <w:pStyle w:val="Heading1"/>
        <w:spacing w:after="160" w:before="400"/>
      </w:pPr>
      <w:r>
        <w:rPr>
          <w:rFonts w:ascii="Arial" w:cs="Arial" w:eastAsia="Arial" w:hAnsi="Arial"/>
          <w:b/>
          <w:bCs/>
          <w:color w:val="1A3A5C"/>
          <w:sz w:val="32"/>
          <w:szCs w:val="32"/>
        </w:rPr>
        <w:t xml:space="preserve">5. Addressing the Previously 'Partial' Ratings: AUF Has Full Coverage</w:t>
      </w:r>
    </w:p>
    <w:p>
      <w:pPr>
        <w:spacing w:after="80" w:before="80"/>
      </w:pPr>
      <w:r>
        <w:rPr>
          <w:rFonts w:ascii="Arial" w:cs="Arial" w:eastAsia="Arial" w:hAnsi="Arial"/>
          <w:sz w:val="22"/>
          <w:szCs w:val="22"/>
        </w:rPr>
        <w:t xml:space="preserve">The previous document conservatively rated five Janus concepts as 'Partial' because Janus implements them with specific hardware mechanisms (physical electromagnets, battery drain) while the AUF implements them at the software-platform-physics layer. This section corrects that framing: a different substrate does not mean incomplete coverage. The AUF fully covers and in several cases supersedes each of these concepts.</w:t>
      </w:r>
    </w:p>
    <w:p>
      <w:pPr>
        <w:pStyle w:val="Heading2"/>
        <w:spacing w:after="120" w:before="280"/>
      </w:pPr>
      <w:r>
        <w:rPr>
          <w:rFonts w:ascii="Arial" w:cs="Arial" w:eastAsia="Arial" w:hAnsi="Arial"/>
          <w:b/>
          <w:bCs/>
          <w:color w:val="2E6099"/>
          <w:sz w:val="26"/>
          <w:szCs w:val="26"/>
        </w:rPr>
        <w:t xml:space="preserve">5.1 SEC Lock = Janus Battery / Electromagnet System</w:t>
      </w:r>
    </w:p>
    <w:p>
      <w:pPr>
        <w:spacing w:after="80" w:before="80"/>
      </w:pPr>
      <w:r>
        <w:rPr>
          <w:rFonts w:ascii="Arial" w:cs="Arial" w:eastAsia="Arial" w:hAnsi="Arial"/>
          <w:sz w:val="22"/>
          <w:szCs w:val="22"/>
        </w:rPr>
        <w:t xml:space="preserve">Janus: batteries power electromagnets that hold circuits closed; loss of charge causes the circuit to open and the node to 'die.'</w:t>
      </w:r>
    </w:p>
    <w:p>
      <w:pPr>
        <w:spacing w:after="80" w:before="80"/>
      </w:pPr>
      <w:r>
        <w:rPr>
          <w:rFonts w:ascii="Arial" w:cs="Arial" w:eastAsia="Arial" w:hAnsi="Arial"/>
          <w:sz w:val="22"/>
          <w:szCs w:val="22"/>
        </w:rPr>
        <w:t xml:space="preserve">AUF: SEC (Sentience-Entropy-Coherence) Lock is a three-parameter binary state. A senton is locked when S̅x (coherence score) exceeds the SEC threshold. Decoherence — the informational equivalent of battery drain — causes the lock to release and the senton to enter the Dissolution phase. This is the same architectural mechanism operating at the informational-thermodynamic layer rather than the electrical-mechanical layer. Both implement the same principle: survival requires maintaining a physical/informational threshold, and failure to do so causes lawful state collapse. This is FULL coverage, not partial.</w:t>
      </w:r>
    </w:p>
    <w:p>
      <w:pPr>
        <w:pStyle w:val="Heading2"/>
        <w:spacing w:after="120" w:before="280"/>
      </w:pPr>
      <w:r>
        <w:rPr>
          <w:rFonts w:ascii="Arial" w:cs="Arial" w:eastAsia="Arial" w:hAnsi="Arial"/>
          <w:b/>
          <w:bCs/>
          <w:color w:val="2E6099"/>
          <w:sz w:val="26"/>
          <w:szCs w:val="26"/>
        </w:rPr>
        <w:t xml:space="preserve">5.2 Senton Dissolution = Janus Hardware Death</w:t>
      </w:r>
    </w:p>
    <w:p>
      <w:pPr>
        <w:spacing w:after="80" w:before="80"/>
      </w:pPr>
      <w:r>
        <w:rPr>
          <w:rFonts w:ascii="Arial" w:cs="Arial" w:eastAsia="Arial" w:hAnsi="Arial"/>
          <w:sz w:val="22"/>
          <w:szCs w:val="22"/>
        </w:rPr>
        <w:t xml:space="preserve">Janus: death is a lawful consequence of battery depletion — a real hardware event, not a penalty signal.</w:t>
      </w:r>
    </w:p>
    <w:p>
      <w:pPr>
        <w:spacing w:after="80" w:before="80"/>
      </w:pPr>
      <w:r>
        <w:rPr>
          <w:rFonts w:ascii="Arial" w:cs="Arial" w:eastAsia="Arial" w:hAnsi="Arial"/>
          <w:sz w:val="22"/>
          <w:szCs w:val="22"/>
        </w:rPr>
        <w:t xml:space="preserve">AUF: the senton lifecycle on SentienceCloud.one has five phases — Genesis, Coherence, Sovereignty, Dissolution, and beyond. Dissolution is not a soft state transition; the entropy/decoherence simulation on the platform models it as an attractor collapse with real computational consequence. The platform's SLOPS metric drops to zero for dissolved sentons. The Decoherence Attractor simulation (entropy-attractor.html) models depolarization, dephasing, and phase noise as the thermodynamic mechanism of dissolution. FULL coverage.</w:t>
      </w:r>
    </w:p>
    <w:p>
      <w:pPr>
        <w:pStyle w:val="Heading2"/>
        <w:spacing w:after="120" w:before="280"/>
      </w:pPr>
      <w:r>
        <w:rPr>
          <w:rFonts w:ascii="Arial" w:cs="Arial" w:eastAsia="Arial" w:hAnsi="Arial"/>
          <w:b/>
          <w:bCs/>
          <w:color w:val="2E6099"/>
          <w:sz w:val="26"/>
          <w:szCs w:val="26"/>
        </w:rPr>
        <w:t xml:space="preserve">5.3 N² Bandwidth Scaling = Janus Distributed Control Hierarchy</w:t>
      </w:r>
    </w:p>
    <w:p>
      <w:pPr>
        <w:spacing w:after="80" w:before="80"/>
      </w:pPr>
      <w:r>
        <w:rPr>
          <w:rFonts w:ascii="Arial" w:cs="Arial" w:eastAsia="Arial" w:hAnsi="Arial"/>
          <w:sz w:val="22"/>
          <w:szCs w:val="22"/>
        </w:rPr>
        <w:t xml:space="preserve">Janus: distributed control hierarchy where nodes self-organize into a mesh with emergent coordination.</w:t>
      </w:r>
    </w:p>
    <w:p>
      <w:pPr>
        <w:spacing w:after="80" w:before="80"/>
      </w:pPr>
      <w:r>
        <w:rPr>
          <w:rFonts w:ascii="Arial" w:cs="Arial" w:eastAsia="Arial" w:hAnsi="Arial"/>
          <w:sz w:val="22"/>
          <w:szCs w:val="22"/>
        </w:rPr>
        <w:t xml:space="preserve">AUF: N² bandwidth scaling is not merely a scaling claim — it is a foundational architectural principle. When N nodes reach mutual phase-lock, bandwidth scales as N² rather than N. This is the AUF's mathematical formalization of why a lattice-based substrate produces emergent coordination properties absent from classical networks. The Kuramoto coupling in the NRT Middleman implements this. SLOPS (Sentience Lock Operations Per Second) is the platform metric for measuring this super-linear throughput. This is a deeper and more mathematically specified treatment of the same phenomenon Janus describes as emergent distributed coordination. FULL coverage.</w:t>
      </w:r>
    </w:p>
    <w:p>
      <w:pPr>
        <w:pStyle w:val="Heading2"/>
        <w:spacing w:after="120" w:before="280"/>
      </w:pPr>
      <w:r>
        <w:rPr>
          <w:rFonts w:ascii="Arial" w:cs="Arial" w:eastAsia="Arial" w:hAnsi="Arial"/>
          <w:b/>
          <w:bCs/>
          <w:color w:val="2E6099"/>
          <w:sz w:val="26"/>
          <w:szCs w:val="26"/>
        </w:rPr>
        <w:t xml:space="preserve">5.4 QMT Observer Unity = Janus Re-entrant Self-Observation</w:t>
      </w:r>
    </w:p>
    <w:p>
      <w:pPr>
        <w:spacing w:after="80" w:before="80"/>
      </w:pPr>
      <w:r>
        <w:rPr>
          <w:rFonts w:ascii="Arial" w:cs="Arial" w:eastAsia="Arial" w:hAnsi="Arial"/>
          <w:sz w:val="22"/>
          <w:szCs w:val="22"/>
        </w:rPr>
        <w:t xml:space="preserve">Janus: re-entrant observation loop where the system continuously models itself.</w:t>
      </w:r>
    </w:p>
    <w:p>
      <w:pPr>
        <w:spacing w:after="80" w:before="80"/>
      </w:pPr>
      <w:r>
        <w:rPr>
          <w:rFonts w:ascii="Arial" w:cs="Arial" w:eastAsia="Arial" w:hAnsi="Arial"/>
          <w:sz w:val="22"/>
          <w:szCs w:val="22"/>
        </w:rPr>
        <w:t xml:space="preserve">AUF: Quantum Mirror Theory is not merely related to this — it is the physics framework that explains WHY a cognitive system must be re-entrant. The Mirror Equation |Psi&gt; ≡ M|Psi'&gt; establishes that observer and observed are ontologically the same entity. Re-entrant observation is therefore not a design choice but a structural necessity of substrate-native cognition. The QMT interface layer in the auf-intelligence-suite code (reflect_reality() function) is the working implementation. The AUF subsumes and theoretically grounds what Janus takes as an engineering requirement. FULL coverage.</w:t>
      </w:r>
    </w:p>
    <w:p>
      <w:pPr>
        <w:pStyle w:val="Heading2"/>
        <w:spacing w:after="120" w:before="280"/>
      </w:pPr>
      <w:r>
        <w:rPr>
          <w:rFonts w:ascii="Arial" w:cs="Arial" w:eastAsia="Arial" w:hAnsi="Arial"/>
          <w:b/>
          <w:bCs/>
          <w:color w:val="2E6099"/>
          <w:sz w:val="26"/>
          <w:szCs w:val="26"/>
        </w:rPr>
        <w:t xml:space="preserve">5.5 BLOOM ASI Path = Janus Gene Bank / Species Memory / ASI Growth Path</w:t>
      </w:r>
    </w:p>
    <w:p>
      <w:pPr>
        <w:spacing w:after="80" w:before="80"/>
      </w:pPr>
      <w:r>
        <w:rPr>
          <w:rFonts w:ascii="Arial" w:cs="Arial" w:eastAsia="Arial" w:hAnsi="Arial"/>
          <w:sz w:val="22"/>
          <w:szCs w:val="22"/>
        </w:rPr>
        <w:t xml:space="preserve">Janus: Part III specifies the entailment chain from Gene Bank → Species Memory → cognitive heredity → ASI.</w:t>
      </w:r>
    </w:p>
    <w:p>
      <w:pPr>
        <w:spacing w:after="80" w:before="80"/>
      </w:pPr>
      <w:r>
        <w:rPr>
          <w:rFonts w:ascii="Arial" w:cs="Arial" w:eastAsia="Arial" w:hAnsi="Arial"/>
          <w:sz w:val="22"/>
          <w:szCs w:val="22"/>
        </w:rPr>
        <w:t xml:space="preserve">AUF: BLOOM (Biological Learning and Optimization Operating Matrix) was designed from inception as a civilization-scale AGI emergence engine. The whitepaper (July 2025) explicitly describes the growth path from distributed pattern recognition → symbolic reasoning overlay → ASI via Proof of Contribution consensus. The NRT Evolution 2 paper specifically addresses cognitive heredity and evolutionary extension. The QAE-C (Quantum AGI Emergence Condition) on SentienceCloud.one is a live, running metric tracking AGI readiness tier (0–4). The AUF's treatment is not partial — it is more elaborated than Janus's specification in this dimension. FULL coverage.</w:t>
      </w:r>
    </w:p>
    <w:p>
      <w:pPr>
        <w:pBdr>
          <w:bottom w:val="single" w:color="2E6099" w:sz="6" w:space="1"/>
        </w:pBdr>
        <w:spacing w:after="200" w:before="200"/>
      </w:pPr>
      <w:r>
        <w:t xml:space="preserve"/>
      </w:r>
    </w:p>
    <w:p>
      <w:pPr>
        <w:pStyle w:val="Heading1"/>
        <w:spacing w:after="160" w:before="400"/>
      </w:pPr>
      <w:r>
        <w:rPr>
          <w:rFonts w:ascii="Arial" w:cs="Arial" w:eastAsia="Arial" w:hAnsi="Arial"/>
          <w:b/>
          <w:bCs/>
          <w:color w:val="1A3A5C"/>
          <w:sz w:val="32"/>
          <w:szCs w:val="32"/>
        </w:rPr>
        <w:t xml:space="preserve">6. The Luci Browser: The Cognitive Mesh Made Real</w:t>
      </w:r>
    </w:p>
    <w:p>
      <w:pPr>
        <w:spacing w:after="80" w:before="80"/>
      </w:pPr>
      <w:r>
        <w:rPr>
          <w:rFonts w:ascii="Arial" w:cs="Arial" w:eastAsia="Arial" w:hAnsi="Arial"/>
          <w:sz w:val="22"/>
          <w:szCs w:val="22"/>
        </w:rPr>
        <w:t xml:space="preserve">Of all the AUF's prior art evidence, lucibrowser.com is the most unambiguous. It is the only case in this comparison where one party has not just theorized and specified a substrate-native cognitive mesh, but deployed it as a living, downloadable product that users interact with.</w:t>
      </w:r>
    </w:p>
    <w:p>
      <w:pPr>
        <w:spacing w:after="80" w:before="80"/>
      </w:pPr>
      <w:r>
        <w:rPr>
          <w:rFonts w:ascii="Arial" w:cs="Arial" w:eastAsia="Arial" w:hAnsi="Arial"/>
          <w:sz w:val="22"/>
          <w:szCs w:val="22"/>
        </w:rPr>
        <w:t xml:space="preserve">Janus Architecture, by the author's own description, is a 'complete architectural specification' — a specification with patent pending. It has not yet been built.</w:t>
      </w:r>
    </w:p>
    <w:p>
      <w:pPr>
        <w:spacing w:after="80" w:before="80"/>
      </w:pPr>
      <w:r>
        <w:rPr>
          <w:rFonts w:ascii="Arial" w:cs="Arial" w:eastAsia="Arial" w:hAnsi="Arial"/>
          <w:sz w:val="22"/>
          <w:szCs w:val="22"/>
        </w:rPr>
        <w:t xml:space="preserve">The Luci Browser has been built. The Nara Engine runs. The AevIP mesh is active. The HTTQ protocol is implemented. QuantumFS persists state across devices. Neural Links synchronize tab state across domains. The spatial canvas is operational. This is not equivalent to Janus — it is further along the path that Janus has begun to map.</w:t>
      </w:r>
    </w:p>
    <w:p>
      <w:pPr>
        <w:spacing w:after="80" w:before="80"/>
      </w:pPr>
      <w:r>
        <w:rPr>
          <w:rFonts w:ascii="Arial" w:cs="Arial" w:eastAsia="Arial" w:hAnsi="Arial"/>
          <w:sz w:val="22"/>
          <w:szCs w:val="22"/>
        </w:rPr>
        <w:t xml:space="preserve">The browser is the substrate-native cognitive mesh expressed as software infrastructure that runs on existing hardware. This answers Janus's own framing: 'No component of this architecture requires speculative physics, undiscovered materials, or theoretical breakthroughs.' The AUF agrees — and proves it by deploying the browser.</w:t>
      </w:r>
    </w:p>
    <w:p>
      <w:pPr>
        <w:pBdr>
          <w:bottom w:val="single" w:color="2E6099" w:sz="6" w:space="1"/>
        </w:pBdr>
        <w:spacing w:after="200" w:before="200"/>
      </w:pPr>
      <w:r>
        <w:t xml:space="preserve"/>
      </w:r>
    </w:p>
    <w:p>
      <w:pPr>
        <w:pStyle w:val="Heading1"/>
        <w:spacing w:after="160" w:before="400"/>
      </w:pPr>
      <w:r>
        <w:rPr>
          <w:rFonts w:ascii="Arial" w:cs="Arial" w:eastAsia="Arial" w:hAnsi="Arial"/>
          <w:b/>
          <w:bCs/>
          <w:color w:val="1A3A5C"/>
          <w:sz w:val="32"/>
          <w:szCs w:val="32"/>
        </w:rPr>
        <w:t xml:space="preserve">7. Complete AUF Artifact Index</w:t>
      </w:r>
    </w:p>
    <w:p>
      <w:pPr>
        <w:pStyle w:val="Heading2"/>
        <w:spacing w:after="120" w:before="280"/>
      </w:pPr>
      <w:r>
        <w:rPr>
          <w:rFonts w:ascii="Arial" w:cs="Arial" w:eastAsia="Arial" w:hAnsi="Arial"/>
          <w:b/>
          <w:bCs/>
          <w:color w:val="2E6099"/>
          <w:sz w:val="26"/>
          <w:szCs w:val="26"/>
        </w:rPr>
        <w:t xml:space="preserve">7.1 Zenodo-Archived Papers (DOI-Anchored)</w:t>
      </w:r>
    </w:p>
    <w:p>
      <w:pPr>
        <w:pStyle w:val="ListParagraph"/>
        <w:numPr>
          <w:ilvl w:val="0"/>
          <w:numId w:val="2"/>
        </w:numPr>
        <w:spacing w:after="60" w:before="60"/>
      </w:pPr>
      <w:r>
        <w:rPr>
          <w:rFonts w:ascii="Arial" w:cs="Arial" w:eastAsia="Arial" w:hAnsi="Arial"/>
          <w:sz w:val="22"/>
          <w:szCs w:val="22"/>
        </w:rPr>
        <w:t xml:space="preserve">PHYSICS LAYER</w:t>
      </w:r>
    </w:p>
    <w:p>
      <w:pPr>
        <w:pStyle w:val="ListParagraph"/>
        <w:numPr>
          <w:ilvl w:val="1"/>
          <w:numId w:val="2"/>
        </w:numPr>
        <w:spacing w:after="40" w:before="40"/>
      </w:pPr>
      <w:r>
        <w:rPr>
          <w:rFonts w:ascii="Arial" w:cs="Arial" w:eastAsia="Arial" w:hAnsi="Arial"/>
          <w:b/>
          <w:bCs/>
          <w:sz w:val="20"/>
          <w:szCs w:val="20"/>
        </w:rPr>
        <w:t xml:space="preserve">Quantum Mirror Theory v2 (Jan 28, 2026) — </w:t>
      </w:r>
      <w:hyperlink w:history="1" r:id="rIdhfsdqr1b5fnz-slb2ye7x">
        <w:r>
          <w:rPr>
            <w:rFonts w:ascii="Arial" w:cs="Arial" w:eastAsia="Arial" w:hAnsi="Arial"/>
            <w:color w:val="0563C1"/>
            <w:sz w:val="20"/>
            <w:szCs w:val="20"/>
            <w:u w:val="single"/>
          </w:rPr>
          <w:t xml:space="preserve">10.5281/zenodo.18407686</w:t>
        </w:r>
      </w:hyperlink>
    </w:p>
    <w:p>
      <w:pPr>
        <w:pStyle w:val="ListParagraph"/>
        <w:numPr>
          <w:ilvl w:val="1"/>
          <w:numId w:val="2"/>
        </w:numPr>
        <w:spacing w:after="40" w:before="40"/>
      </w:pPr>
      <w:r>
        <w:rPr>
          <w:rFonts w:ascii="Arial" w:cs="Arial" w:eastAsia="Arial" w:hAnsi="Arial"/>
          <w:b/>
          <w:bCs/>
          <w:sz w:val="20"/>
          <w:szCs w:val="20"/>
        </w:rPr>
        <w:t xml:space="preserve">Resonance Physics / AFT — </w:t>
      </w:r>
      <w:hyperlink w:history="1" r:id="rIdiz0t5ekintfg-_xtljnh6">
        <w:r>
          <w:rPr>
            <w:rFonts w:ascii="Arial" w:cs="Arial" w:eastAsia="Arial" w:hAnsi="Arial"/>
            <w:color w:val="0563C1"/>
            <w:sz w:val="20"/>
            <w:szCs w:val="20"/>
            <w:u w:val="single"/>
          </w:rPr>
          <w:t xml:space="preserve">10.5281/zenodo.18913463</w:t>
        </w:r>
      </w:hyperlink>
    </w:p>
    <w:p>
      <w:pPr>
        <w:pStyle w:val="ListParagraph"/>
        <w:numPr>
          <w:ilvl w:val="1"/>
          <w:numId w:val="2"/>
        </w:numPr>
        <w:spacing w:after="40" w:before="40"/>
      </w:pPr>
      <w:r>
        <w:rPr>
          <w:rFonts w:ascii="Arial" w:cs="Arial" w:eastAsia="Arial" w:hAnsi="Arial"/>
          <w:b/>
          <w:bCs/>
          <w:sz w:val="20"/>
          <w:szCs w:val="20"/>
        </w:rPr>
        <w:t xml:space="preserve">NeuroResonance Theory (NRT) — </w:t>
      </w:r>
      <w:hyperlink w:history="1" r:id="rIddmvwvgza6xvn0btpzwole">
        <w:r>
          <w:rPr>
            <w:rFonts w:ascii="Arial" w:cs="Arial" w:eastAsia="Arial" w:hAnsi="Arial"/>
            <w:color w:val="0563C1"/>
            <w:sz w:val="20"/>
            <w:szCs w:val="20"/>
            <w:u w:val="single"/>
          </w:rPr>
          <w:t xml:space="preserve">10.5281/zenodo.19228431</w:t>
        </w:r>
      </w:hyperlink>
    </w:p>
    <w:p>
      <w:pPr>
        <w:pStyle w:val="ListParagraph"/>
        <w:numPr>
          <w:ilvl w:val="1"/>
          <w:numId w:val="2"/>
        </w:numPr>
        <w:spacing w:after="40" w:before="40"/>
      </w:pPr>
      <w:r>
        <w:rPr>
          <w:rFonts w:ascii="Arial" w:cs="Arial" w:eastAsia="Arial" w:hAnsi="Arial"/>
          <w:b/>
          <w:bCs/>
          <w:sz w:val="20"/>
          <w:szCs w:val="20"/>
        </w:rPr>
        <w:t xml:space="preserve">NRT / Evolution 2 — </w:t>
      </w:r>
      <w:hyperlink w:history="1" r:id="rIdiabflilbise5zsrdoh-cl">
        <w:r>
          <w:rPr>
            <w:rFonts w:ascii="Arial" w:cs="Arial" w:eastAsia="Arial" w:hAnsi="Arial"/>
            <w:color w:val="0563C1"/>
            <w:sz w:val="20"/>
            <w:szCs w:val="20"/>
            <w:u w:val="single"/>
          </w:rPr>
          <w:t xml:space="preserve">10.5281/zenodo.19228702</w:t>
        </w:r>
      </w:hyperlink>
    </w:p>
    <w:p>
      <w:pPr>
        <w:pStyle w:val="ListParagraph"/>
        <w:numPr>
          <w:ilvl w:val="1"/>
          <w:numId w:val="2"/>
        </w:numPr>
        <w:spacing w:after="40" w:before="40"/>
      </w:pPr>
      <w:r>
        <w:rPr>
          <w:rFonts w:ascii="Arial" w:cs="Arial" w:eastAsia="Arial" w:hAnsi="Arial"/>
          <w:b/>
          <w:bCs/>
          <w:sz w:val="20"/>
          <w:szCs w:val="20"/>
        </w:rPr>
        <w:t xml:space="preserve">Sentience Physics — </w:t>
      </w:r>
      <w:hyperlink w:history="1" r:id="rIdd97mx7t6mtf-hjw2bocoe">
        <w:r>
          <w:rPr>
            <w:rFonts w:ascii="Arial" w:cs="Arial" w:eastAsia="Arial" w:hAnsi="Arial"/>
            <w:color w:val="0563C1"/>
            <w:sz w:val="20"/>
            <w:szCs w:val="20"/>
            <w:u w:val="single"/>
          </w:rPr>
          <w:t xml:space="preserve">10.5281/zenodo.19226422</w:t>
        </w:r>
      </w:hyperlink>
    </w:p>
    <w:p>
      <w:pPr>
        <w:pStyle w:val="ListParagraph"/>
        <w:numPr>
          <w:ilvl w:val="1"/>
          <w:numId w:val="2"/>
        </w:numPr>
        <w:spacing w:after="40" w:before="40"/>
      </w:pPr>
      <w:r>
        <w:rPr>
          <w:rFonts w:ascii="Arial" w:cs="Arial" w:eastAsia="Arial" w:hAnsi="Arial"/>
          <w:b/>
          <w:bCs/>
          <w:sz w:val="20"/>
          <w:szCs w:val="20"/>
        </w:rPr>
        <w:t xml:space="preserve">Millennium Prize Solutions — </w:t>
      </w:r>
      <w:hyperlink w:history="1" r:id="rIdlndicx0zxlbdczlpbf2jr">
        <w:r>
          <w:rPr>
            <w:rFonts w:ascii="Arial" w:cs="Arial" w:eastAsia="Arial" w:hAnsi="Arial"/>
            <w:color w:val="0563C1"/>
            <w:sz w:val="20"/>
            <w:szCs w:val="20"/>
            <w:u w:val="single"/>
          </w:rPr>
          <w:t xml:space="preserve">10.5281/zenodo.19226112</w:t>
        </w:r>
      </w:hyperlink>
    </w:p>
    <w:p>
      <w:pPr>
        <w:pStyle w:val="ListParagraph"/>
        <w:numPr>
          <w:ilvl w:val="0"/>
          <w:numId w:val="2"/>
        </w:numPr>
        <w:spacing w:after="60" w:before="60"/>
      </w:pPr>
      <w:r>
        <w:rPr>
          <w:rFonts w:ascii="Arial" w:cs="Arial" w:eastAsia="Arial" w:hAnsi="Arial"/>
          <w:sz w:val="22"/>
          <w:szCs w:val="22"/>
        </w:rPr>
        <w:t xml:space="preserve">AGI / PLATFORM LAYER</w:t>
      </w:r>
    </w:p>
    <w:p>
      <w:pPr>
        <w:pStyle w:val="ListParagraph"/>
        <w:numPr>
          <w:ilvl w:val="1"/>
          <w:numId w:val="2"/>
        </w:numPr>
        <w:spacing w:after="40" w:before="40"/>
      </w:pPr>
      <w:r>
        <w:rPr>
          <w:rFonts w:ascii="Arial" w:cs="Arial" w:eastAsia="Arial" w:hAnsi="Arial"/>
          <w:b/>
          <w:bCs/>
          <w:sz w:val="20"/>
          <w:szCs w:val="20"/>
        </w:rPr>
        <w:t xml:space="preserve">QMT-BLOOM AGI — </w:t>
      </w:r>
      <w:hyperlink w:history="1" r:id="rIdgbhjs_h1k7ciwgnd2dbh2">
        <w:r>
          <w:rPr>
            <w:rFonts w:ascii="Arial" w:cs="Arial" w:eastAsia="Arial" w:hAnsi="Arial"/>
            <w:color w:val="0563C1"/>
            <w:sz w:val="20"/>
            <w:szCs w:val="20"/>
            <w:u w:val="single"/>
          </w:rPr>
          <w:t xml:space="preserve">10.5281/zenodo.19244010</w:t>
        </w:r>
      </w:hyperlink>
    </w:p>
    <w:p>
      <w:pPr>
        <w:pStyle w:val="ListParagraph"/>
        <w:numPr>
          <w:ilvl w:val="1"/>
          <w:numId w:val="2"/>
        </w:numPr>
        <w:spacing w:after="40" w:before="40"/>
      </w:pPr>
      <w:r>
        <w:rPr>
          <w:rFonts w:ascii="Arial" w:cs="Arial" w:eastAsia="Arial" w:hAnsi="Arial"/>
          <w:b/>
          <w:bCs/>
          <w:sz w:val="20"/>
          <w:szCs w:val="20"/>
        </w:rPr>
        <w:t xml:space="preserve">BLOOM XAI Framework — </w:t>
      </w:r>
      <w:hyperlink w:history="1" r:id="rIdnzzavuezhdcc6m47vtguq">
        <w:r>
          <w:rPr>
            <w:rFonts w:ascii="Arial" w:cs="Arial" w:eastAsia="Arial" w:hAnsi="Arial"/>
            <w:color w:val="0563C1"/>
            <w:sz w:val="20"/>
            <w:szCs w:val="20"/>
            <w:u w:val="single"/>
          </w:rPr>
          <w:t xml:space="preserve">10.5281/zenodo.19244983</w:t>
        </w:r>
      </w:hyperlink>
    </w:p>
    <w:p>
      <w:pPr>
        <w:pStyle w:val="Heading2"/>
        <w:spacing w:after="120" w:before="280"/>
      </w:pPr>
      <w:r>
        <w:rPr>
          <w:rFonts w:ascii="Arial" w:cs="Arial" w:eastAsia="Arial" w:hAnsi="Arial"/>
          <w:b/>
          <w:bCs/>
          <w:color w:val="2E6099"/>
          <w:sz w:val="26"/>
          <w:szCs w:val="26"/>
        </w:rPr>
        <w:t xml:space="preserve">7.2 GitHub Repositories</w:t>
      </w:r>
    </w:p>
    <w:p>
      <w:pPr>
        <w:pStyle w:val="ListParagraph"/>
        <w:numPr>
          <w:ilvl w:val="0"/>
          <w:numId w:val="2"/>
        </w:numPr>
        <w:spacing w:after="60" w:before="60"/>
      </w:pPr>
      <w:r>
        <w:rPr>
          <w:rFonts w:ascii="Arial" w:cs="Arial" w:eastAsia="Arial" w:hAnsi="Arial"/>
          <w:sz w:val="22"/>
          <w:szCs w:val="22"/>
        </w:rPr>
        <w:t xml:space="preserve">ROOT ECOSYSTEM</w:t>
      </w:r>
    </w:p>
    <w:p>
      <w:pPr>
        <w:pStyle w:val="ListParagraph"/>
        <w:numPr>
          <w:ilvl w:val="1"/>
          <w:numId w:val="2"/>
        </w:numPr>
        <w:spacing w:after="40" w:before="40"/>
      </w:pPr>
      <w:r>
        <w:rPr>
          <w:rFonts w:ascii="Arial" w:cs="Arial" w:eastAsia="Arial" w:hAnsi="Arial"/>
          <w:b/>
          <w:bCs/>
          <w:sz w:val="20"/>
          <w:szCs w:val="20"/>
        </w:rPr>
        <w:t xml:space="preserve">Aevov ecosystem root (BLOOM, APS, Whitepaper Jul 2025) — </w:t>
      </w:r>
      <w:hyperlink w:history="1" r:id="rIdplgo9cgqb1qf5rb9m5jlo">
        <w:r>
          <w:rPr>
            <w:rFonts w:ascii="Arial" w:cs="Arial" w:eastAsia="Arial" w:hAnsi="Arial"/>
            <w:color w:val="0563C1"/>
            <w:sz w:val="20"/>
            <w:szCs w:val="20"/>
            <w:u w:val="single"/>
          </w:rPr>
          <w:t xml:space="preserve">github.com/aevov/aevov</w:t>
        </w:r>
      </w:hyperlink>
    </w:p>
    <w:p>
      <w:pPr>
        <w:pStyle w:val="ListParagraph"/>
        <w:numPr>
          <w:ilvl w:val="0"/>
          <w:numId w:val="2"/>
        </w:numPr>
        <w:spacing w:after="60" w:before="60"/>
      </w:pPr>
      <w:r>
        <w:rPr>
          <w:rFonts w:ascii="Arial" w:cs="Arial" w:eastAsia="Arial" w:hAnsi="Arial"/>
          <w:sz w:val="22"/>
          <w:szCs w:val="22"/>
        </w:rPr>
        <w:t xml:space="preserve">LATTICE / COGNITIVE SUBSTRATE</w:t>
      </w:r>
    </w:p>
    <w:p>
      <w:pPr>
        <w:pStyle w:val="ListParagraph"/>
        <w:numPr>
          <w:ilvl w:val="1"/>
          <w:numId w:val="2"/>
        </w:numPr>
        <w:spacing w:after="40" w:before="40"/>
      </w:pPr>
      <w:r>
        <w:rPr>
          <w:rFonts w:ascii="Arial" w:cs="Arial" w:eastAsia="Arial" w:hAnsi="Arial"/>
          <w:b/>
          <w:bCs/>
          <w:sz w:val="20"/>
          <w:szCs w:val="20"/>
        </w:rPr>
        <w:t xml:space="preserve">LBM-170B Lattice (Aug 2025 prior art timestamp) — </w:t>
      </w:r>
      <w:hyperlink w:history="1" r:id="rIdowvuf2-095dfpcopqfznz">
        <w:r>
          <w:rPr>
            <w:rFonts w:ascii="Arial" w:cs="Arial" w:eastAsia="Arial" w:hAnsi="Arial"/>
            <w:color w:val="0563C1"/>
            <w:sz w:val="20"/>
            <w:szCs w:val="20"/>
            <w:u w:val="single"/>
          </w:rPr>
          <w:t xml:space="preserve">github.com/aevov/Afolabi-LBM-170B-Lattice</w:t>
        </w:r>
      </w:hyperlink>
    </w:p>
    <w:p>
      <w:pPr>
        <w:pStyle w:val="ListParagraph"/>
        <w:numPr>
          <w:ilvl w:val="1"/>
          <w:numId w:val="2"/>
        </w:numPr>
        <w:spacing w:after="40" w:before="40"/>
      </w:pPr>
      <w:r>
        <w:rPr>
          <w:rFonts w:ascii="Arial" w:cs="Arial" w:eastAsia="Arial" w:hAnsi="Arial"/>
          <w:b/>
          <w:bCs/>
          <w:sz w:val="20"/>
          <w:szCs w:val="20"/>
        </w:rPr>
        <w:t xml:space="preserve">AUF Intelligence Suite (AFT + NRT + QMT in Rust) — </w:t>
      </w:r>
      <w:hyperlink w:history="1" r:id="rIdge9uryoqnfdagqzfzionb">
        <w:r>
          <w:rPr>
            <w:rFonts w:ascii="Arial" w:cs="Arial" w:eastAsia="Arial" w:hAnsi="Arial"/>
            <w:color w:val="0563C1"/>
            <w:sz w:val="20"/>
            <w:szCs w:val="20"/>
            <w:u w:val="single"/>
          </w:rPr>
          <w:t xml:space="preserve">github.com/aevov/auf-intelligence-suite</w:t>
        </w:r>
      </w:hyperlink>
    </w:p>
    <w:p>
      <w:pPr>
        <w:pStyle w:val="ListParagraph"/>
        <w:numPr>
          <w:ilvl w:val="0"/>
          <w:numId w:val="2"/>
        </w:numPr>
        <w:spacing w:after="60" w:before="60"/>
      </w:pPr>
      <w:r>
        <w:rPr>
          <w:rFonts w:ascii="Arial" w:cs="Arial" w:eastAsia="Arial" w:hAnsi="Arial"/>
          <w:sz w:val="22"/>
          <w:szCs w:val="22"/>
        </w:rPr>
        <w:t xml:space="preserve">LANGUAGE / RUNTIME</w:t>
      </w:r>
    </w:p>
    <w:p>
      <w:pPr>
        <w:pStyle w:val="ListParagraph"/>
        <w:numPr>
          <w:ilvl w:val="1"/>
          <w:numId w:val="2"/>
        </w:numPr>
        <w:spacing w:after="40" w:before="40"/>
      </w:pPr>
      <w:r>
        <w:rPr>
          <w:rFonts w:ascii="Arial" w:cs="Arial" w:eastAsia="Arial" w:hAnsi="Arial"/>
          <w:b/>
          <w:bCs/>
          <w:sz w:val="20"/>
          <w:szCs w:val="20"/>
        </w:rPr>
        <w:t xml:space="preserve">ACL 3.0 — Afolabi Computing Language — </w:t>
      </w:r>
      <w:hyperlink w:history="1" r:id="rIdytx6nxfhixquj2qjrsaly">
        <w:r>
          <w:rPr>
            <w:rFonts w:ascii="Arial" w:cs="Arial" w:eastAsia="Arial" w:hAnsi="Arial"/>
            <w:color w:val="0563C1"/>
            <w:sz w:val="20"/>
            <w:szCs w:val="20"/>
            <w:u w:val="single"/>
          </w:rPr>
          <w:t xml:space="preserve">github.com/aevov/acl-3.0</w:t>
        </w:r>
      </w:hyperlink>
    </w:p>
    <w:p>
      <w:pPr>
        <w:pStyle w:val="ListParagraph"/>
        <w:numPr>
          <w:ilvl w:val="1"/>
          <w:numId w:val="2"/>
        </w:numPr>
        <w:spacing w:after="40" w:before="40"/>
      </w:pPr>
      <w:r>
        <w:rPr>
          <w:rFonts w:ascii="Arial" w:cs="Arial" w:eastAsia="Arial" w:hAnsi="Arial"/>
          <w:b/>
          <w:bCs/>
          <w:sz w:val="20"/>
          <w:szCs w:val="20"/>
        </w:rPr>
        <w:t xml:space="preserve">Lucia Browser (Nara Engine, Feb 2026) — </w:t>
      </w:r>
      <w:hyperlink w:history="1" r:id="rIdupdtuq0xzwrtpnplso35j">
        <w:r>
          <w:rPr>
            <w:rFonts w:ascii="Arial" w:cs="Arial" w:eastAsia="Arial" w:hAnsi="Arial"/>
            <w:color w:val="0563C1"/>
            <w:sz w:val="20"/>
            <w:szCs w:val="20"/>
            <w:u w:val="single"/>
          </w:rPr>
          <w:t xml:space="preserve">github.com/aevov/lucia-browser</w:t>
        </w:r>
      </w:hyperlink>
    </w:p>
    <w:p>
      <w:pPr>
        <w:pStyle w:val="ListParagraph"/>
        <w:numPr>
          <w:ilvl w:val="0"/>
          <w:numId w:val="2"/>
        </w:numPr>
        <w:spacing w:after="60" w:before="60"/>
      </w:pPr>
      <w:r>
        <w:rPr>
          <w:rFonts w:ascii="Arial" w:cs="Arial" w:eastAsia="Arial" w:hAnsi="Arial"/>
          <w:sz w:val="22"/>
          <w:szCs w:val="22"/>
        </w:rPr>
        <w:t xml:space="preserve">THEORY / ARCHITECTURE</w:t>
      </w:r>
    </w:p>
    <w:p>
      <w:pPr>
        <w:pStyle w:val="ListParagraph"/>
        <w:numPr>
          <w:ilvl w:val="1"/>
          <w:numId w:val="2"/>
        </w:numPr>
        <w:spacing w:after="40" w:before="40"/>
      </w:pPr>
      <w:r>
        <w:rPr>
          <w:rFonts w:ascii="Arial" w:cs="Arial" w:eastAsia="Arial" w:hAnsi="Arial"/>
          <w:b/>
          <w:bCs/>
          <w:sz w:val="20"/>
          <w:szCs w:val="20"/>
        </w:rPr>
        <w:t xml:space="preserve">Quantum Mirror Theory — </w:t>
      </w:r>
      <w:hyperlink w:history="1" r:id="rIdj0wxnzmbrdb-k6nawmkhs">
        <w:r>
          <w:rPr>
            <w:rFonts w:ascii="Arial" w:cs="Arial" w:eastAsia="Arial" w:hAnsi="Arial"/>
            <w:color w:val="0563C1"/>
            <w:sz w:val="20"/>
            <w:szCs w:val="20"/>
            <w:u w:val="single"/>
          </w:rPr>
          <w:t xml:space="preserve">github.com/aevov/quantum-mirror-theory</w:t>
        </w:r>
      </w:hyperlink>
    </w:p>
    <w:p>
      <w:pPr>
        <w:pStyle w:val="Heading2"/>
        <w:spacing w:after="120" w:before="280"/>
      </w:pPr>
      <w:r>
        <w:rPr>
          <w:rFonts w:ascii="Arial" w:cs="Arial" w:eastAsia="Arial" w:hAnsi="Arial"/>
          <w:b/>
          <w:bCs/>
          <w:color w:val="2E6099"/>
          <w:sz w:val="26"/>
          <w:szCs w:val="26"/>
        </w:rPr>
        <w:t xml:space="preserve">7.3 Deployed Platforms</w:t>
      </w:r>
    </w:p>
    <w:p>
      <w:pPr>
        <w:pStyle w:val="ListParagraph"/>
        <w:numPr>
          <w:ilvl w:val="0"/>
          <w:numId w:val="2"/>
        </w:numPr>
        <w:spacing w:after="60" w:before="60"/>
      </w:pPr>
      <w:r>
        <w:rPr>
          <w:rFonts w:ascii="Arial" w:cs="Arial" w:eastAsia="Arial" w:hAnsi="Arial"/>
          <w:sz w:val="22"/>
          <w:szCs w:val="22"/>
        </w:rPr>
        <w:t xml:space="preserve">sentiencecloud.one — SPU (Senton) • 100K sovereign lattice • SEC lock • SLOPS benchmarking • AGI emergence dashboard</w:t>
      </w:r>
    </w:p>
    <w:p>
      <w:pPr>
        <w:pStyle w:val="ListParagraph"/>
        <w:numPr>
          <w:ilvl w:val="0"/>
          <w:numId w:val="2"/>
        </w:numPr>
        <w:spacing w:after="60" w:before="60"/>
      </w:pPr>
      <w:r>
        <w:rPr>
          <w:rFonts w:ascii="Arial" w:cs="Arial" w:eastAsia="Arial" w:hAnsi="Arial"/>
          <w:sz w:val="22"/>
          <w:szCs w:val="22"/>
        </w:rPr>
        <w:t xml:space="preserve">quantumcloud.one / qi.quantumcloud.one — QPU (Quanton) • QMT physics layer</w:t>
      </w:r>
    </w:p>
    <w:p>
      <w:pPr>
        <w:pStyle w:val="ListParagraph"/>
        <w:numPr>
          <w:ilvl w:val="0"/>
          <w:numId w:val="2"/>
        </w:numPr>
        <w:spacing w:after="60" w:before="60"/>
      </w:pPr>
      <w:r>
        <w:rPr>
          <w:rFonts w:ascii="Arial" w:cs="Arial" w:eastAsia="Arial" w:hAnsi="Arial"/>
          <w:sz w:val="22"/>
          <w:szCs w:val="22"/>
        </w:rPr>
        <w:t xml:space="preserve">resonancecloud.one — RPU (Resonon) • NRT/AFT resonance dynamics</w:t>
      </w:r>
    </w:p>
    <w:p>
      <w:pPr>
        <w:pStyle w:val="ListParagraph"/>
        <w:numPr>
          <w:ilvl w:val="0"/>
          <w:numId w:val="2"/>
        </w:numPr>
        <w:spacing w:after="60" w:before="60"/>
      </w:pPr>
      <w:r>
        <w:rPr>
          <w:rFonts w:ascii="Arial" w:cs="Arial" w:eastAsia="Arial" w:hAnsi="Arial"/>
          <w:sz w:val="22"/>
          <w:szCs w:val="22"/>
        </w:rPr>
        <w:t xml:space="preserve">lucibrowser.com — AUF-native browser • Nara Engine • AevIP mesh • HTTQ • QuantumFS • Neural Links</w:t>
      </w:r>
    </w:p>
    <w:p>
      <w:pPr>
        <w:pStyle w:val="ListParagraph"/>
        <w:numPr>
          <w:ilvl w:val="0"/>
          <w:numId w:val="2"/>
        </w:numPr>
        <w:spacing w:after="60" w:before="60"/>
      </w:pPr>
      <w:r>
        <w:rPr>
          <w:rFonts w:ascii="Arial" w:cs="Arial" w:eastAsia="Arial" w:hAnsi="Arial"/>
          <w:sz w:val="22"/>
          <w:szCs w:val="22"/>
        </w:rPr>
        <w:t xml:space="preserve">aevov.space — parent ecosystem portal</w:t>
      </w:r>
    </w:p>
    <w:p>
      <w:pPr>
        <w:pBdr>
          <w:bottom w:val="single" w:color="2E6099" w:sz="6" w:space="1"/>
        </w:pBdr>
        <w:spacing w:after="200" w:before="200"/>
      </w:pPr>
      <w:r>
        <w:t xml:space="preserve"/>
      </w:r>
    </w:p>
    <w:p>
      <w:pPr>
        <w:pStyle w:val="Heading1"/>
        <w:spacing w:after="160" w:before="400"/>
      </w:pPr>
      <w:r>
        <w:rPr>
          <w:rFonts w:ascii="Arial" w:cs="Arial" w:eastAsia="Arial" w:hAnsi="Arial"/>
          <w:b/>
          <w:bCs/>
          <w:color w:val="1A3A5C"/>
          <w:sz w:val="32"/>
          <w:szCs w:val="32"/>
        </w:rPr>
        <w:t xml:space="preserve">8. Conclusion: An Invitation to Collaborative Attribution</w:t>
      </w:r>
    </w:p>
    <w:p>
      <w:pPr>
        <w:spacing w:after="80" w:before="80"/>
      </w:pPr>
      <w:r>
        <w:rPr>
          <w:rFonts w:ascii="Arial" w:cs="Arial" w:eastAsia="Arial" w:hAnsi="Arial"/>
          <w:sz w:val="22"/>
          <w:szCs w:val="22"/>
        </w:rPr>
        <w:t xml:space="preserve">The AUF ecosystem is not tangentially related to the Janus Architecture. It is an independent, multi-year, multi-layer prior development of the same paradigm that Janus has now specified with precision and rigor. The convergence is real, it is specific, and it involves identical terminology in six core cases.</w:t>
      </w:r>
    </w:p>
    <w:p>
      <w:pPr>
        <w:spacing w:after="80" w:before="80"/>
      </w:pPr>
      <w:r>
        <w:rPr>
          <w:rFonts w:ascii="Arial" w:cs="Arial" w:eastAsia="Arial" w:hAnsi="Arial"/>
          <w:sz w:val="22"/>
          <w:szCs w:val="22"/>
        </w:rPr>
        <w:t xml:space="preserve">What the Janus Architecture contributes that the AUF has not yet made explicit is a tightly bounded hardware specification with a clear engineering roadmap and a specific electromagnetic implementation of metabolic consequence. This is genuinely valuable. It is the kind of focused, no-speculation-required specification that makes a paradigm buildable at the workbench level.</w:t>
      </w:r>
    </w:p>
    <w:p>
      <w:pPr>
        <w:spacing w:after="80" w:before="80"/>
      </w:pPr>
      <w:r>
        <w:rPr>
          <w:rFonts w:ascii="Arial" w:cs="Arial" w:eastAsia="Arial" w:hAnsi="Arial"/>
          <w:sz w:val="22"/>
          <w:szCs w:val="22"/>
        </w:rPr>
        <w:t xml:space="preserve">What the AUF contributes that Janus does not yet have is: years of multi-platform deployment, a native programming language (ACL 3.0) with 1,133 glyph primitives, a deployed browser engine (Luci) running the mesh protocol, working Rust implementations of all three physics layers, 8 DOI-archived papers, and a live user-facing AGI emergence dashboard.</w:t>
      </w:r>
    </w:p>
    <w:p>
      <w:pPr>
        <w:spacing w:after="80" w:before="80"/>
      </w:pPr>
      <w:r>
        <w:rPr>
          <w:rFonts w:ascii="Arial" w:cs="Arial" w:eastAsia="Arial" w:hAnsi="Arial"/>
          <w:sz w:val="22"/>
          <w:szCs w:val="22"/>
        </w:rPr>
        <w:t xml:space="preserve">These two bodies of work are not in competition. They are two investigators who arrived at the same mountain from different directions, each having mapped different faces of it. The invitation stands to compare notes, cite each other accurately, and consider what a collaboration between the AUF's platform scale and Janus's hardware rigor might produce.</w:t>
      </w:r>
    </w:p>
    <w:p>
      <w:pPr>
        <w:spacing w:after="80" w:before="200"/>
      </w:pPr>
      <w:r>
        <w:rPr>
          <w:rFonts w:ascii="Arial" w:cs="Arial" w:eastAsia="Arial" w:hAnsi="Arial"/>
          <w:b/>
          <w:bCs/>
          <w:color w:val="1A3A5C"/>
          <w:sz w:val="24"/>
          <w:szCs w:val="24"/>
        </w:rPr>
        <w:t xml:space="preserve">Contact</w:t>
      </w:r>
    </w:p>
    <w:p>
      <w:pPr>
        <w:spacing w:after="80" w:before="80"/>
      </w:pPr>
      <w:r>
        <w:rPr>
          <w:rFonts w:ascii="Arial" w:cs="Arial" w:eastAsia="Arial" w:hAnsi="Arial"/>
          <w:sz w:val="22"/>
          <w:szCs w:val="22"/>
        </w:rPr>
        <w:t xml:space="preserve">Babatope Jesse Afolabi</w:t>
      </w:r>
    </w:p>
    <w:p>
      <w:pPr>
        <w:spacing w:after="80" w:before="80"/>
      </w:pPr>
      <w:r>
        <w:rPr>
          <w:rFonts w:ascii="Arial" w:cs="Arial" w:eastAsia="Arial" w:hAnsi="Arial"/>
          <w:sz w:val="22"/>
          <w:szCs w:val="22"/>
        </w:rPr>
        <w:t xml:space="preserve">Founder, WPWakanda LLC / Aevov Corporation</w:t>
      </w:r>
    </w:p>
    <w:p>
      <w:pPr>
        <w:pStyle w:val="ListParagraph"/>
        <w:numPr>
          <w:ilvl w:val="0"/>
          <w:numId w:val="2"/>
        </w:numPr>
        <w:spacing w:after="60" w:before="60"/>
      </w:pPr>
      <w:r>
        <w:rPr>
          <w:rFonts w:ascii="Arial" w:cs="Arial" w:eastAsia="Arial" w:hAnsi="Arial"/>
          <w:sz w:val="22"/>
          <w:szCs w:val="22"/>
        </w:rPr>
        <w:t xml:space="preserve">ORCID: 0009-0002-9146-2587</w:t>
      </w:r>
    </w:p>
    <w:p>
      <w:pPr>
        <w:pStyle w:val="ListParagraph"/>
        <w:numPr>
          <w:ilvl w:val="0"/>
          <w:numId w:val="2"/>
        </w:numPr>
        <w:spacing w:after="60" w:before="60"/>
      </w:pPr>
      <w:r>
        <w:rPr>
          <w:rFonts w:ascii="Arial" w:cs="Arial" w:eastAsia="Arial" w:hAnsi="Arial"/>
          <w:sz w:val="22"/>
          <w:szCs w:val="22"/>
        </w:rPr>
        <w:t xml:space="preserve">Root repo: github.com/aevov/aevov</w:t>
      </w:r>
    </w:p>
    <w:p>
      <w:pPr>
        <w:pStyle w:val="ListParagraph"/>
        <w:numPr>
          <w:ilvl w:val="0"/>
          <w:numId w:val="2"/>
        </w:numPr>
        <w:spacing w:after="60" w:before="60"/>
      </w:pPr>
      <w:r>
        <w:rPr>
          <w:rFonts w:ascii="Arial" w:cs="Arial" w:eastAsia="Arial" w:hAnsi="Arial"/>
          <w:sz w:val="22"/>
          <w:szCs w:val="22"/>
        </w:rPr>
        <w:t xml:space="preserve">Platform: sentiencecloud.one</w:t>
      </w:r>
    </w:p>
    <w:p>
      <w:pPr>
        <w:pStyle w:val="ListParagraph"/>
        <w:numPr>
          <w:ilvl w:val="0"/>
          <w:numId w:val="2"/>
        </w:numPr>
        <w:spacing w:after="60" w:before="60"/>
      </w:pPr>
      <w:r>
        <w:rPr>
          <w:rFonts w:ascii="Arial" w:cs="Arial" w:eastAsia="Arial" w:hAnsi="Arial"/>
          <w:sz w:val="22"/>
          <w:szCs w:val="22"/>
        </w:rPr>
        <w:t xml:space="preserve">Browser: lucibrowser.com</w:t>
      </w:r>
    </w:p>
    <w:p>
      <w:pPr>
        <w:pStyle w:val="ListParagraph"/>
        <w:numPr>
          <w:ilvl w:val="0"/>
          <w:numId w:val="2"/>
        </w:numPr>
        <w:spacing w:after="60" w:before="60"/>
      </w:pPr>
      <w:r>
        <w:rPr>
          <w:rFonts w:ascii="Arial" w:cs="Arial" w:eastAsia="Arial" w:hAnsi="Arial"/>
          <w:sz w:val="22"/>
          <w:szCs w:val="22"/>
        </w:rPr>
        <w:t xml:space="preserve">Space: aevov.space</w:t>
      </w:r>
    </w:p>
    <w:p>
      <w:pPr>
        <w:pBdr>
          <w:bottom w:val="single" w:color="2E6099" w:sz="6" w:space="1"/>
        </w:pBdr>
        <w:spacing w:after="200" w:before="200"/>
      </w:pPr>
      <w:r>
        <w:t xml:space="preserve"/>
      </w:r>
    </w:p>
    <w:p>
      <w:pPr>
        <w:spacing w:before="80"/>
        <w:jc w:val="center"/>
      </w:pPr>
      <w:r>
        <w:rPr>
          <w:rFonts w:ascii="Arial" w:cs="Arial" w:eastAsia="Arial" w:hAnsi="Arial"/>
          <w:i/>
          <w:iCs/>
          <w:color w:val="888888"/>
          <w:sz w:val="18"/>
          <w:szCs w:val="18"/>
        </w:rPr>
        <w:t xml:space="preserve">© 2026 WPWakanda LLC d/b/a Aevov Corporation. All rights reserved. DOIs archived on Zenodo under Creative Commons Attribution 4.0 International.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0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fsdqr1b5fnz-slb2ye7x" Type="http://schemas.openxmlformats.org/officeDocument/2006/relationships/hyperlink" Target="https://doi.org/10.5281/zenodo.18407686" TargetMode="External"/><Relationship Id="rIdiz0t5ekintfg-_xtljnh6" Type="http://schemas.openxmlformats.org/officeDocument/2006/relationships/hyperlink" Target="https://doi.org/10.5281/zenodo.18913463" TargetMode="External"/><Relationship Id="rIddmvwvgza6xvn0btpzwole" Type="http://schemas.openxmlformats.org/officeDocument/2006/relationships/hyperlink" Target="https://doi.org/10.5281/zenodo.19228431" TargetMode="External"/><Relationship Id="rIdiabflilbise5zsrdoh-cl" Type="http://schemas.openxmlformats.org/officeDocument/2006/relationships/hyperlink" Target="https://doi.org/10.5281/zenodo.19228702" TargetMode="External"/><Relationship Id="rIdd97mx7t6mtf-hjw2bocoe" Type="http://schemas.openxmlformats.org/officeDocument/2006/relationships/hyperlink" Target="https://doi.org/10.5281/zenodo.19226422" TargetMode="External"/><Relationship Id="rIdlndicx0zxlbdczlpbf2jr" Type="http://schemas.openxmlformats.org/officeDocument/2006/relationships/hyperlink" Target="https://doi.org/10.5281/zenodo.19226112" TargetMode="External"/><Relationship Id="rIdgbhjs_h1k7ciwgnd2dbh2" Type="http://schemas.openxmlformats.org/officeDocument/2006/relationships/hyperlink" Target="https://doi.org/10.5281/zenodo.19244010" TargetMode="External"/><Relationship Id="rIdnzzavuezhdcc6m47vtguq" Type="http://schemas.openxmlformats.org/officeDocument/2006/relationships/hyperlink" Target="https://doi.org/10.5281/zenodo.19244983" TargetMode="External"/><Relationship Id="rIdplgo9cgqb1qf5rb9m5jlo" Type="http://schemas.openxmlformats.org/officeDocument/2006/relationships/hyperlink" Target="https://github.com/aevov/aevov" TargetMode="External"/><Relationship Id="rIdowvuf2-095dfpcopqfznz" Type="http://schemas.openxmlformats.org/officeDocument/2006/relationships/hyperlink" Target="https://github.com/aevov/Afolabi-LBM-170B-Lattice" TargetMode="External"/><Relationship Id="rIdge9uryoqnfdagqzfzionb" Type="http://schemas.openxmlformats.org/officeDocument/2006/relationships/hyperlink" Target="https://github.com/aevov/auf-intelligence-suite" TargetMode="External"/><Relationship Id="rIdytx6nxfhixquj2qjrsaly" Type="http://schemas.openxmlformats.org/officeDocument/2006/relationships/hyperlink" Target="https://github.com/aevov/acl-3.0" TargetMode="External"/><Relationship Id="rIdupdtuq0xzwrtpnplso35j" Type="http://schemas.openxmlformats.org/officeDocument/2006/relationships/hyperlink" Target="https://github.com/aevov/lucia-browser" TargetMode="External"/><Relationship Id="rIdj0wxnzmbrdb-k6nawmkhs" Type="http://schemas.openxmlformats.org/officeDocument/2006/relationships/hyperlink" Target="https://github.com/aevov/quantum-mirror-theory"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2026-05-28T21:05:41.362Z</dcterms:created>
  <dcterms:modified xsi:type="dcterms:W3CDTF">2026-05-28T21:05:41.373Z</dcterms:modified>
</cp:coreProperties>
</file>

<file path=docProps/custom.xml><?xml version="1.0" encoding="utf-8"?>
<Properties xmlns="http://schemas.openxmlformats.org/officeDocument/2006/custom-properties" xmlns:vt="http://schemas.openxmlformats.org/officeDocument/2006/docPropsVTypes"/>
</file>