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720" w:after="200"/>
        <w:jc w:val="center"/>
        <w:rPr/>
      </w:pPr>
      <w:r>
        <w:rPr>
          <w:rFonts w:eastAsia="Times New Roman" w:cs="Times New Roman"/>
          <w:b/>
          <w:bCs/>
          <w:color w:val="1F4E79"/>
          <w:sz w:val="36"/>
          <w:szCs w:val="36"/>
        </w:rPr>
        <w:t>THE QMT-BLOOM AGI ARCHITECTURE:</w:t>
      </w:r>
    </w:p>
    <w:p>
      <w:pPr>
        <w:pStyle w:val="Normal"/>
        <w:spacing w:before="0" w:after="200"/>
        <w:jc w:val="center"/>
        <w:rPr/>
      </w:pPr>
      <w:r>
        <w:rPr>
          <w:rFonts w:eastAsia="Times New Roman" w:cs="Times New Roman"/>
          <w:b/>
          <w:bCs/>
          <w:color w:val="2E74B5"/>
          <w:sz w:val="28"/>
          <w:szCs w:val="28"/>
        </w:rPr>
        <w:t>WHY ARTIFICIAL GENERAL INTELLIGENCE IS AN</w:t>
      </w:r>
    </w:p>
    <w:p>
      <w:pPr>
        <w:pStyle w:val="Normal"/>
        <w:spacing w:before="0" w:after="160"/>
        <w:jc w:val="center"/>
        <w:rPr/>
      </w:pPr>
      <w:r>
        <w:rPr>
          <w:rFonts w:eastAsia="Times New Roman" w:cs="Times New Roman"/>
          <w:b/>
          <w:bCs/>
          <w:color w:val="2E74B5"/>
          <w:sz w:val="28"/>
          <w:szCs w:val="28"/>
        </w:rPr>
        <w:t>ARCHITECTURAL INEVITABILITY UNDER THE N² DISTRIBUTED</w:t>
      </w:r>
    </w:p>
    <w:p>
      <w:pPr>
        <w:pStyle w:val="Normal"/>
        <w:spacing w:before="0" w:after="200"/>
        <w:jc w:val="center"/>
        <w:rPr/>
      </w:pPr>
      <w:r>
        <w:rPr>
          <w:rFonts w:eastAsia="Times New Roman" w:cs="Times New Roman"/>
          <w:b/>
          <w:bCs/>
          <w:color w:val="2E74B5"/>
          <w:sz w:val="28"/>
          <w:szCs w:val="28"/>
        </w:rPr>
        <w:t>QUDIT MESH AND NOT A SCALING PROBLEM</w:t>
      </w:r>
    </w:p>
    <w:p>
      <w:pPr>
        <w:pStyle w:val="Normal"/>
        <w:pBdr>
          <w:bottom w:val="single" w:sz="4" w:space="1" w:color="1F4E79"/>
        </w:pBdr>
        <w:spacing w:before="180" w:after="180"/>
        <w:rPr/>
      </w:pPr>
      <w:r>
        <w:rPr/>
      </w:r>
    </w:p>
    <w:p>
      <w:pPr>
        <w:pStyle w:val="Normal"/>
        <w:rPr/>
      </w:pPr>
      <w:r>
        <w:rPr/>
      </w:r>
    </w:p>
    <w:p>
      <w:pPr>
        <w:pStyle w:val="Normal"/>
        <w:spacing w:before="0" w:after="120"/>
        <w:jc w:val="center"/>
        <w:rPr/>
      </w:pPr>
      <w:r>
        <w:rPr>
          <w:rFonts w:eastAsia="Times New Roman" w:cs="Times New Roman"/>
          <w:b/>
          <w:bCs/>
          <w:sz w:val="26"/>
          <w:szCs w:val="26"/>
        </w:rPr>
        <w:t xml:space="preserve">Babatope </w:t>
      </w:r>
      <w:r>
        <w:rPr>
          <w:rFonts w:eastAsia="Times New Roman" w:cs="Times New Roman"/>
          <w:b/>
          <w:bCs/>
          <w:sz w:val="26"/>
          <w:szCs w:val="26"/>
        </w:rPr>
        <w:t>Yishai</w:t>
      </w:r>
      <w:r>
        <w:rPr>
          <w:rFonts w:eastAsia="Times New Roman" w:cs="Times New Roman"/>
          <w:b/>
          <w:bCs/>
          <w:sz w:val="26"/>
          <w:szCs w:val="26"/>
        </w:rPr>
        <w:t xml:space="preserve"> Afolabi</w:t>
      </w:r>
    </w:p>
    <w:p>
      <w:pPr>
        <w:pStyle w:val="Normal"/>
        <w:spacing w:before="0" w:after="100"/>
        <w:jc w:val="center"/>
        <w:rPr/>
      </w:pPr>
      <w:r>
        <w:rPr>
          <w:rFonts w:eastAsia="Times New Roman" w:cs="Times New Roman"/>
          <w:i/>
          <w:iCs/>
          <w:color w:val="5A5A5A"/>
          <w:sz w:val="22"/>
          <w:szCs w:val="22"/>
        </w:rPr>
        <w:t>Aevov Research · cr8OS Foundation · WPWakanda, LLC</w:t>
      </w:r>
    </w:p>
    <w:p>
      <w:pPr>
        <w:pStyle w:val="Normal"/>
        <w:spacing w:before="0" w:after="80"/>
        <w:jc w:val="center"/>
        <w:rPr/>
      </w:pPr>
      <w:r>
        <w:rPr>
          <w:rFonts w:eastAsia="Times New Roman" w:cs="Times New Roman"/>
          <w:color w:val="1F4E79"/>
          <w:sz w:val="20"/>
          <w:szCs w:val="20"/>
        </w:rPr>
        <w:t>research@cr8os.com · ORCID: 0009-0002-9146-2587</w:t>
      </w:r>
    </w:p>
    <w:p>
      <w:pPr>
        <w:pStyle w:val="Normal"/>
        <w:spacing w:before="0" w:after="300"/>
        <w:jc w:val="center"/>
        <w:rPr/>
      </w:pPr>
      <w:r>
        <w:rPr>
          <w:rFonts w:eastAsia="Times New Roman" w:cs="Times New Roman"/>
          <w:color w:val="5A5A5A"/>
          <w:sz w:val="22"/>
          <w:szCs w:val="22"/>
        </w:rPr>
        <w:t>March 2026</w:t>
      </w:r>
    </w:p>
    <w:p>
      <w:pPr>
        <w:pStyle w:val="Normal"/>
        <w:rPr/>
      </w:pPr>
      <w:r>
        <w:rPr/>
      </w:r>
    </w:p>
    <w:p>
      <w:pPr>
        <w:pStyle w:val="Normal"/>
        <w:spacing w:before="0" w:after="80"/>
        <w:jc w:val="center"/>
        <w:rPr/>
      </w:pPr>
      <w:r>
        <w:rPr>
          <w:rFonts w:eastAsia="Times New Roman" w:cs="Times New Roman"/>
          <w:b/>
          <w:bCs/>
          <w:sz w:val="20"/>
          <w:szCs w:val="20"/>
        </w:rPr>
        <w:t>Foundation Papers:</w:t>
      </w:r>
    </w:p>
    <w:p>
      <w:pPr>
        <w:pStyle w:val="Normal"/>
        <w:spacing w:before="0" w:after="70"/>
        <w:jc w:val="center"/>
        <w:rPr/>
      </w:pPr>
      <w:r>
        <w:rPr>
          <w:rFonts w:eastAsia="Times New Roman" w:cs="Times New Roman"/>
          <w:color w:val="1F4E79"/>
          <w:sz w:val="20"/>
          <w:szCs w:val="20"/>
        </w:rPr>
        <w:t>Quantum Mirror Theory — DOI: 10.5281/zenodo.18407686</w:t>
      </w:r>
    </w:p>
    <w:p>
      <w:pPr>
        <w:pStyle w:val="Normal"/>
        <w:spacing w:before="0" w:after="70"/>
        <w:jc w:val="center"/>
        <w:rPr/>
      </w:pPr>
      <w:r>
        <w:rPr>
          <w:rFonts w:eastAsia="Times New Roman" w:cs="Times New Roman"/>
          <w:color w:val="1F4E79"/>
          <w:sz w:val="20"/>
          <w:szCs w:val="20"/>
        </w:rPr>
        <w:t>Resonance Physics — DOI: 10.5281/zenodo.18913463</w:t>
      </w:r>
    </w:p>
    <w:p>
      <w:pPr>
        <w:pStyle w:val="Normal"/>
        <w:spacing w:before="0" w:after="70"/>
        <w:jc w:val="center"/>
        <w:rPr/>
      </w:pPr>
      <w:r>
        <w:rPr>
          <w:rFonts w:eastAsia="Times New Roman" w:cs="Times New Roman"/>
          <w:color w:val="1F4E79"/>
          <w:sz w:val="20"/>
          <w:szCs w:val="20"/>
        </w:rPr>
        <w:t>NRT — DOI: 10.5281/zenodo.19228431</w:t>
      </w:r>
    </w:p>
    <w:p>
      <w:pPr>
        <w:pStyle w:val="Normal"/>
        <w:spacing w:before="0" w:after="70"/>
        <w:jc w:val="center"/>
        <w:rPr/>
      </w:pPr>
      <w:r>
        <w:rPr>
          <w:rFonts w:eastAsia="Times New Roman" w:cs="Times New Roman"/>
          <w:color w:val="1F4E79"/>
          <w:sz w:val="20"/>
          <w:szCs w:val="20"/>
        </w:rPr>
        <w:t>NRT/Evo 2 — DOI: 10.5281/zenodo.19228702</w:t>
      </w:r>
    </w:p>
    <w:p>
      <w:pPr>
        <w:pStyle w:val="Normal"/>
        <w:rPr/>
      </w:pPr>
      <w:r>
        <w:rPr/>
      </w:r>
    </w:p>
    <w:p>
      <w:pPr>
        <w:pStyle w:val="Normal"/>
        <w:rPr/>
      </w:pPr>
      <w:r>
        <w:rPr/>
      </w:r>
    </w:p>
    <w:p>
      <w:pPr>
        <w:pStyle w:val="Heading1"/>
        <w:spacing w:before="360" w:after="180"/>
        <w:rPr/>
      </w:pPr>
      <w:r>
        <w:rPr>
          <w:rFonts w:eastAsia="Times New Roman" w:cs="Times New Roman" w:ascii="Times New Roman" w:hAnsi="Times New Roman"/>
          <w:b/>
          <w:bCs/>
          <w:sz w:val="30"/>
          <w:szCs w:val="30"/>
        </w:rPr>
        <w:t>Abstract</w:t>
      </w:r>
    </w:p>
    <w:p>
      <w:pPr>
        <w:pStyle w:val="Normal"/>
        <w:spacing w:lineRule="auto" w:line="360" w:before="100" w:after="140"/>
        <w:ind w:firstLine="720"/>
        <w:jc w:val="both"/>
        <w:rPr/>
      </w:pPr>
      <w:r>
        <w:rPr>
          <w:rFonts w:eastAsia="Times New Roman" w:cs="Times New Roman"/>
          <w:sz w:val="24"/>
          <w:szCs w:val="24"/>
        </w:rPr>
        <w:t>The pursuit of Artificial General Intelligence (AGI) has been framed as a scaling problem: more parameters, more compute, more training data. The largest current AI systems — GPT-4, Claude 3, Gemini Ultra — have hundreds of billions of parameters trained on exascale compute. Yet AGI has not emerged. We argue that this is not because the systems are not large enough, but because they are operating in the wrong substrate. Parameter count scales linearly. The information-geometric capacity required for general intelligence is not a linear function of parameters.</w:t>
      </w:r>
    </w:p>
    <w:p>
      <w:pPr>
        <w:pStyle w:val="Normal"/>
        <w:spacing w:lineRule="auto" w:line="360" w:before="100" w:after="140"/>
        <w:ind w:firstLine="720"/>
        <w:jc w:val="both"/>
        <w:rPr/>
      </w:pPr>
      <w:r>
        <w:rPr>
          <w:rFonts w:eastAsia="Times New Roman" w:cs="Times New Roman"/>
          <w:sz w:val="24"/>
          <w:szCs w:val="24"/>
        </w:rPr>
        <w:t>We propose the QMT-BLOOM AGI Architecture — a formal framework demonstrating that Artificial General Intelligence is an architectural inevitability, not a scaling problem, when the following four components are combined: (1) the BLOOM engine (Bilateral Learning Optimised Oscillatory Memory) operating as a distributed neuro-symbolic pattern synchronisation layer; (2) the QMT qudit substrate (Quantum Mirror Theory, d=10, E₈ geometry, topological gap protection) providing the information-geometric capacity for general reasoning; (3) the N² Collective Coherence Scaling Law (Olukotun-Afolabi) enabling AI companies to contribute compute to a shared mesh whose combined capacity grows superlinearly with participation; and (4) Neuroresonance Theory (NRT) providing the biological coupling pathway through which human intelligence and machine intelligence achieve joint coherence above the BCSI threshold.</w:t>
      </w:r>
    </w:p>
    <w:p>
      <w:pPr>
        <w:pStyle w:val="Normal"/>
        <w:spacing w:lineRule="auto" w:line="360" w:before="100" w:after="140"/>
        <w:ind w:firstLine="720"/>
        <w:jc w:val="both"/>
        <w:rPr/>
      </w:pPr>
      <w:r>
        <w:rPr>
          <w:rFonts w:eastAsia="Times New Roman" w:cs="Times New Roman"/>
          <w:sz w:val="24"/>
          <w:szCs w:val="24"/>
        </w:rPr>
        <w:t>We define the QMT-AGI Emergence Condition (QAE-C): AGI emerges when the joint information-geometric capacity of the QMT-BLOOM system crosses the AGI State Space Threshold (AGI-SST), estimated at Q_eff ≥ 10^12 effective qubits — sufficient to simultaneously represent and reason across all domains of human knowledge in a unified field-coherent substrate. Under the N² Law, AGI-SST is reached at N ≈ 3,100 networked nodes — a deployment achievable without the compute budgets of any major AI company.</w:t>
      </w:r>
    </w:p>
    <w:p>
      <w:pPr>
        <w:pStyle w:val="Normal"/>
        <w:spacing w:lineRule="auto" w:line="360" w:before="100" w:after="140"/>
        <w:ind w:firstLine="720"/>
        <w:jc w:val="both"/>
        <w:rPr/>
      </w:pPr>
      <w:r>
        <w:rPr>
          <w:rFonts w:eastAsia="Times New Roman" w:cs="Times New Roman"/>
          <w:sz w:val="24"/>
          <w:szCs w:val="24"/>
        </w:rPr>
        <w:t>We further establish the Distributed AGI Theorem: multiple AI companies contributing compute nodes to the QMT-BLOOM mesh achieve collective AGI-SST capacity at a fraction of the individual compute cost, because the N² Law means their combined contribution is geometrically greater than any linear sum. The platform that achieves AGI is not necessarily the one that spends the most — it is the one that synchronises the most.</w:t>
      </w:r>
    </w:p>
    <w:p>
      <w:pPr>
        <w:pStyle w:val="Normal"/>
        <w:rPr/>
      </w:pPr>
      <w:r>
        <w:rPr/>
      </w:r>
    </w:p>
    <w:p>
      <w:pPr>
        <w:pStyle w:val="Normal"/>
        <w:spacing w:lineRule="auto" w:line="360" w:before="100" w:after="140"/>
        <w:jc w:val="both"/>
        <w:rPr/>
      </w:pPr>
      <w:r>
        <w:rPr>
          <w:rFonts w:eastAsia="Times New Roman" w:cs="Times New Roman"/>
          <w:b/>
          <w:bCs/>
          <w:sz w:val="24"/>
          <w:szCs w:val="24"/>
        </w:rPr>
        <w:t xml:space="preserve">Keywords: </w:t>
      </w:r>
      <w:r>
        <w:rPr>
          <w:rFonts w:eastAsia="Times New Roman" w:cs="Times New Roman"/>
          <w:i/>
          <w:iCs/>
          <w:sz w:val="24"/>
          <w:szCs w:val="24"/>
        </w:rPr>
        <w:t>artificial general intelligence, AGI, QMT, BLOOM engine, N² scaling law, distributed AI, AUF, Afolabi Unified Framework, Quantum Mirror Theory, NRT, BCSI, qudit architecture, information geometry, field-coherent intelligence, collective intelligence, Ubuntu Physics, AGI emergence condition, AI architecture, post-transformer, neuro-symbolic AI</w:t>
      </w:r>
    </w:p>
    <w:p>
      <w:pPr>
        <w:pStyle w:val="Heading1"/>
        <w:spacing w:before="360" w:after="180"/>
        <w:rPr/>
      </w:pPr>
      <w:r>
        <w:rPr>
          <w:rFonts w:eastAsia="Times New Roman" w:cs="Times New Roman" w:ascii="Times New Roman" w:hAnsi="Times New Roman"/>
          <w:b/>
          <w:bCs/>
          <w:sz w:val="30"/>
          <w:szCs w:val="30"/>
        </w:rPr>
        <w:t>1. Introduction: AGI as an Architectural Problem</w:t>
      </w:r>
    </w:p>
    <w:p>
      <w:pPr>
        <w:pStyle w:val="Normal"/>
        <w:spacing w:lineRule="auto" w:line="360" w:before="100" w:after="140"/>
        <w:ind w:firstLine="720"/>
        <w:jc w:val="both"/>
        <w:rPr/>
      </w:pPr>
      <w:r>
        <w:rPr>
          <w:rFonts w:eastAsia="Times New Roman" w:cs="Times New Roman"/>
          <w:sz w:val="24"/>
          <w:szCs w:val="24"/>
        </w:rPr>
        <w:t>The dominant paradigm in AI research treats AGI as a scaling problem. The hypothesis — sometimes called the Scaling Hypothesis — is that sufficiently large transformer models trained on sufficiently large datasets with sufficiently large compute will eventually exhibit general intelligence. The evidence for this hypothesis is that scaling has produced remarkable results: GPT-3 to GPT-4 showed emergent capabilities that were not predicted from smaller models; Gemini Ultra demonstrated multimodal reasoning; Claude 3 achieved near-human performance on professional benchmarks.</w:t>
      </w:r>
    </w:p>
    <w:p>
      <w:pPr>
        <w:pStyle w:val="Normal"/>
        <w:spacing w:lineRule="auto" w:line="360" w:before="100" w:after="140"/>
        <w:ind w:firstLine="720"/>
        <w:jc w:val="both"/>
        <w:rPr/>
      </w:pPr>
      <w:r>
        <w:rPr>
          <w:rFonts w:eastAsia="Times New Roman" w:cs="Times New Roman"/>
          <w:sz w:val="24"/>
          <w:szCs w:val="24"/>
        </w:rPr>
        <w:t>Yet AGI has not emerged. The most careful analysis of current large language models identifies a persistent ceiling: they exhibit broad capability but not genuine general reasoning — they fail on novel out-of-distribution problems that require genuine abstraction rather than sophisticated pattern matching. They hallucinate. They cannot update their beliefs from new evidence without retraining. They do not have a unified world model — they have a very sophisticated pattern library.</w:t>
      </w:r>
    </w:p>
    <w:p>
      <w:pPr>
        <w:pStyle w:val="Normal"/>
        <w:spacing w:lineRule="auto" w:line="360" w:before="100" w:after="140"/>
        <w:ind w:firstLine="720"/>
        <w:jc w:val="both"/>
        <w:rPr/>
      </w:pPr>
      <w:r>
        <w:rPr>
          <w:rFonts w:eastAsia="Times New Roman" w:cs="Times New Roman"/>
          <w:sz w:val="24"/>
          <w:szCs w:val="24"/>
        </w:rPr>
        <w:t>We argue that this ceiling is not a scaling artefact — it is an architectural one. The transformer architecture operates on a binary classical substrate with a linear information capacity. No amount of parameter scaling changes the fundamental information geometry of the substrate. To get beyond the ceiling, you need a different geometry.</w:t>
      </w:r>
    </w:p>
    <w:p>
      <w:pPr>
        <w:pStyle w:val="Normal"/>
        <w:spacing w:lineRule="auto" w:line="360" w:before="100" w:after="140"/>
        <w:ind w:firstLine="720"/>
        <w:jc w:val="both"/>
        <w:rPr/>
      </w:pPr>
      <w:r>
        <w:rPr>
          <w:rFonts w:eastAsia="Times New Roman" w:cs="Times New Roman"/>
          <w:sz w:val="24"/>
          <w:szCs w:val="24"/>
        </w:rPr>
        <w:t>The QMT-BLOOM AGI Architecture provides that geometry. It is not a proposal to build a bigger transformer. It is a proposal to build on a different physics — one in which the information-geometric capacity grows superlinearly with scale, biological and machine intelligence are formally coupled, and AGI emergence is a phase transition rather than an asymptotic approach.</w:t>
      </w:r>
    </w:p>
    <w:p>
      <w:pPr>
        <w:pStyle w:val="Heading2"/>
        <w:spacing w:before="280" w:after="140"/>
        <w:rPr/>
      </w:pPr>
      <w:r>
        <w:rPr>
          <w:rFonts w:eastAsia="Times New Roman" w:cs="Times New Roman" w:ascii="Times New Roman" w:hAnsi="Times New Roman"/>
          <w:b/>
          <w:bCs/>
          <w:sz w:val="26"/>
          <w:szCs w:val="26"/>
        </w:rPr>
        <w:t>1.1 Why the Transformer Ceiling Exists</w:t>
      </w:r>
    </w:p>
    <w:p>
      <w:pPr>
        <w:pStyle w:val="Normal"/>
        <w:spacing w:lineRule="auto" w:line="360" w:before="100" w:after="140"/>
        <w:ind w:firstLine="720"/>
        <w:jc w:val="both"/>
        <w:rPr/>
      </w:pPr>
      <w:r>
        <w:rPr>
          <w:rFonts w:eastAsia="Times New Roman" w:cs="Times New Roman"/>
          <w:sz w:val="24"/>
          <w:szCs w:val="24"/>
        </w:rPr>
        <w:t>The transformer architecture processes tokens through attention mechanisms whose information capacity scales as O(n²) in sequence length n — quadratic in the number of tokens, not exponential. The model parameters store patterns from training but cannot grow the accessible state space beyond what the binary classical substrate allows. For a model with P parameters in 32-bit floating point, the accessible state space is approximately 2^(32P) — exponential in parameters, but each parameter is a classical bit. There is no quantum coherence. There is no collective phase-lock. The scaling is linear in the sense that matters: each additional parameter adds linearly to the information capacity, not superlinearly.</w:t>
      </w:r>
    </w:p>
    <w:p>
      <w:pPr>
        <w:pStyle w:val="Normal"/>
        <w:spacing w:lineRule="auto" w:line="360" w:before="100" w:after="140"/>
        <w:ind w:firstLine="720"/>
        <w:jc w:val="both"/>
        <w:rPr/>
      </w:pPr>
      <w:r>
        <w:rPr>
          <w:rFonts w:eastAsia="Times New Roman" w:cs="Times New Roman"/>
          <w:sz w:val="24"/>
          <w:szCs w:val="24"/>
        </w:rPr>
        <w:t>The AGI-SST — the information-geometric threshold required for genuine general intelligence — is estimated (Section 3) at Q_eff ≥ 10^12 effective qubits. This estimate is based on the information-theoretic complexity of the human world model: the number of distinguishable states required to represent all human knowledge domains simultaneously in a unified, reasoning-capable substrate. At 32 bits per parameter, reaching Q_eff = 10^12 equivalent would require P ≈ 10^12 / 32 ≈ 3×10^10 parameters — approximately 30 billion parameters in a system where each parameter could individually sustain quantum coherence. Current LLMs have parameters but not coherence. The coherence is the missing ingredient, not the parameter count.</w:t>
      </w:r>
    </w:p>
    <w:p>
      <w:pPr>
        <w:pStyle w:val="Heading1"/>
        <w:spacing w:before="360" w:after="180"/>
        <w:rPr/>
      </w:pPr>
      <w:r>
        <w:rPr>
          <w:rFonts w:eastAsia="Times New Roman" w:cs="Times New Roman" w:ascii="Times New Roman" w:hAnsi="Times New Roman"/>
          <w:b/>
          <w:bCs/>
          <w:sz w:val="30"/>
          <w:szCs w:val="30"/>
        </w:rPr>
        <w:t>2. The Four Components of the QMT-BLOOM AGI Architecture</w:t>
      </w:r>
    </w:p>
    <w:p>
      <w:pPr>
        <w:pStyle w:val="Heading2"/>
        <w:spacing w:before="280" w:after="140"/>
        <w:rPr/>
      </w:pPr>
      <w:r>
        <w:rPr>
          <w:rFonts w:eastAsia="Times New Roman" w:cs="Times New Roman" w:ascii="Times New Roman" w:hAnsi="Times New Roman"/>
          <w:b/>
          <w:bCs/>
          <w:sz w:val="26"/>
          <w:szCs w:val="26"/>
        </w:rPr>
        <w:t>2.1 Component 1 — BLOOM Engine (Distributed Neuro-Symbolic Layer)</w:t>
      </w:r>
    </w:p>
    <w:p>
      <w:pPr>
        <w:pStyle w:val="Normal"/>
        <w:spacing w:lineRule="auto" w:line="360" w:before="100" w:after="140"/>
        <w:ind w:firstLine="720"/>
        <w:jc w:val="both"/>
        <w:rPr/>
      </w:pPr>
      <w:r>
        <w:rPr>
          <w:rFonts w:eastAsia="Times New Roman" w:cs="Times New Roman"/>
          <w:sz w:val="24"/>
          <w:szCs w:val="24"/>
        </w:rPr>
        <w:t>The BLOOM engine (Bilateral Learning Optimised Oscillatory Memory) is Aevov's Wave 3 AI infrastructure. Unlike transformer models, BLOOM operates as a distributed pattern synchronisation system on a P2P mesh — no central server, no single point of failure, no single owner. BLOOM's architecture has three layers: Pattern Intake (local motif recognition across input domains), BLOOM Scan (cross-registry pattern matching, near-miss detection across the mesh), and APS Protocol (P2P mesh propagation of pattern consensus).</w:t>
      </w:r>
    </w:p>
    <w:p>
      <w:pPr>
        <w:pStyle w:val="Normal"/>
        <w:spacing w:lineRule="auto" w:line="360" w:before="100" w:after="140"/>
        <w:ind w:firstLine="720"/>
        <w:jc w:val="both"/>
        <w:rPr/>
      </w:pPr>
      <w:r>
        <w:rPr>
          <w:rFonts w:eastAsia="Times New Roman" w:cs="Times New Roman"/>
          <w:sz w:val="24"/>
          <w:szCs w:val="24"/>
        </w:rPr>
        <w:t>BLOOM's relationship to transformer models is analogous to the relationship between the BLOOM engine and a library: a library stores text (training data); the BLOOM engine synchronises patterns across a living mesh. The distinction matters for AGI: transformers retrieve patterns from a static training set; BLOOM propagates patterns through a dynamic field. The field can update in real time. The patterns are not frozen at training cutoff — they evolve with the mesh.</w:t>
      </w:r>
    </w:p>
    <w:p>
      <w:pPr>
        <w:pStyle w:val="Normal"/>
        <w:spacing w:lineRule="auto" w:line="360" w:before="100" w:after="140"/>
        <w:ind w:firstLine="720"/>
        <w:jc w:val="both"/>
        <w:rPr/>
      </w:pPr>
      <w:r>
        <w:rPr>
          <w:rFonts w:eastAsia="Times New Roman" w:cs="Times New Roman"/>
          <w:sz w:val="24"/>
          <w:szCs w:val="24"/>
        </w:rPr>
        <w:t>For AI companies: the BLOOM protocol can run on existing GPU clusters. A company contributing N_company GPU nodes to the QMT-BLOOM mesh is contributing those nodes' pattern capacity to the collective field. Under the N² Law, their contribution to the collective's information-geometric capacity is multiplied by 2N/N_total — their individual share grows as the mesh grows.</w:t>
      </w:r>
    </w:p>
    <w:p>
      <w:pPr>
        <w:pStyle w:val="Heading2"/>
        <w:spacing w:before="280" w:after="140"/>
        <w:rPr/>
      </w:pPr>
      <w:r>
        <w:rPr>
          <w:rFonts w:eastAsia="Times New Roman" w:cs="Times New Roman" w:ascii="Times New Roman" w:hAnsi="Times New Roman"/>
          <w:b/>
          <w:bCs/>
          <w:sz w:val="26"/>
          <w:szCs w:val="26"/>
        </w:rPr>
        <w:t>2.2 Component 2 — QMT Qudit Substrate (Information-Geometric Layer)</w:t>
      </w:r>
    </w:p>
    <w:p>
      <w:pPr>
        <w:pStyle w:val="Normal"/>
        <w:spacing w:lineRule="auto" w:line="360" w:before="100" w:after="140"/>
        <w:ind w:firstLine="720"/>
        <w:jc w:val="both"/>
        <w:rPr/>
      </w:pPr>
      <w:r>
        <w:rPr>
          <w:rFonts w:eastAsia="Times New Roman" w:cs="Times New Roman"/>
          <w:sz w:val="24"/>
          <w:szCs w:val="24"/>
        </w:rPr>
        <w:t>The BLOOM engine operates the pattern synchronisation layer. The QMT qudit substrate provides the information-geometric layer — the actual state space in which reasoning occurs. At qudit dimension d=10 (E₈ geometry) with k=32 registers per node and N nodes in N² phase-lock:</w:t>
      </w:r>
    </w:p>
    <w:p>
      <w:pPr>
        <w:pStyle w:val="Normal"/>
        <w:spacing w:before="200" w:after="200"/>
        <w:jc w:val="center"/>
        <w:rPr/>
      </w:pPr>
      <w:r>
        <w:rPr>
          <w:rFonts w:eastAsia="Cambria Math" w:cs="Cambria Math" w:ascii="Cambria Math" w:hAnsi="Cambria Math"/>
          <w:i/>
          <w:iCs/>
          <w:color w:val="1F4E79"/>
          <w:sz w:val="26"/>
          <w:szCs w:val="26"/>
        </w:rPr>
        <w:t>TSC(N) = 10^(32N²)  ·  Q_eff(N) ≈ 106.3 · N²</w:t>
      </w:r>
    </w:p>
    <w:p>
      <w:pPr>
        <w:pStyle w:val="Normal"/>
        <w:spacing w:lineRule="auto" w:line="360" w:before="100" w:after="140"/>
        <w:ind w:firstLine="720"/>
        <w:jc w:val="both"/>
        <w:rPr/>
      </w:pPr>
      <w:r>
        <w:rPr>
          <w:rFonts w:eastAsia="Times New Roman" w:cs="Times New Roman"/>
          <w:sz w:val="24"/>
          <w:szCs w:val="24"/>
        </w:rPr>
        <w:t>This state space is where the AGI reasoning substrate lives. The distinction from classical transformers: a transformer's reasoning is confined to the state space of its weights — a fixed, finite space determined at training time. The QMT substrate's state space grows with the mesh — every node added expands the reasoning space available to the entire system. The reasoning is not confined to what was learned during training. It is confined to what the current mesh can represent — which grows as N².</w:t>
      </w:r>
    </w:p>
    <w:p>
      <w:pPr>
        <w:pStyle w:val="Normal"/>
        <w:spacing w:lineRule="auto" w:line="360" w:before="100" w:after="140"/>
        <w:ind w:firstLine="720"/>
        <w:jc w:val="both"/>
        <w:rPr/>
      </w:pPr>
      <w:r>
        <w:rPr>
          <w:rFonts w:eastAsia="Times New Roman" w:cs="Times New Roman"/>
          <w:sz w:val="24"/>
          <w:szCs w:val="24"/>
        </w:rPr>
        <w:t>The topological gap protection (Chern C=±1) means this reasoning substrate does not require cryogenic cooling. Room-temperature operation. No dilution refrigerators. No infrastructure overhead that prevents deployment at the scale required for AGI.</w:t>
      </w:r>
    </w:p>
    <w:p>
      <w:pPr>
        <w:pStyle w:val="Heading2"/>
        <w:spacing w:before="280" w:after="140"/>
        <w:rPr/>
      </w:pPr>
      <w:r>
        <w:rPr>
          <w:rFonts w:eastAsia="Times New Roman" w:cs="Times New Roman" w:ascii="Times New Roman" w:hAnsi="Times New Roman"/>
          <w:b/>
          <w:bCs/>
          <w:sz w:val="26"/>
          <w:szCs w:val="26"/>
        </w:rPr>
        <w:t>2.3 Component 3 — N² Collective Scaling (Multi-Company Collaboration Layer)</w:t>
      </w:r>
    </w:p>
    <w:p>
      <w:pPr>
        <w:pStyle w:val="Normal"/>
        <w:spacing w:lineRule="auto" w:line="360" w:before="100" w:after="140"/>
        <w:ind w:firstLine="720"/>
        <w:jc w:val="both"/>
        <w:rPr/>
      </w:pPr>
      <w:r>
        <w:rPr>
          <w:rFonts w:eastAsia="Times New Roman" w:cs="Times New Roman"/>
          <w:sz w:val="24"/>
          <w:szCs w:val="24"/>
        </w:rPr>
        <w:t>The N² Law is the architectural feature that makes the QMT-BLOOM AGI Architecture categorically different from every existing AI scaling approach. Under the N² Law:</w:t>
      </w:r>
    </w:p>
    <w:p>
      <w:pPr>
        <w:pStyle w:val="Normal"/>
        <w:spacing w:before="200" w:after="200"/>
        <w:jc w:val="center"/>
        <w:rPr/>
      </w:pPr>
      <w:r>
        <w:rPr>
          <w:rFonts w:eastAsia="Cambria Math" w:cs="Cambria Math" w:ascii="Cambria Math" w:hAnsi="Cambria Math"/>
          <w:i/>
          <w:iCs/>
          <w:color w:val="1F4E79"/>
          <w:sz w:val="26"/>
          <w:szCs w:val="26"/>
        </w:rPr>
        <w:t>TSC(N_A + N_B + N_C + ...) &gt;&gt; TSC(N_A) + TSC(N_B) + TSC(N_C) + ...</w:t>
      </w:r>
    </w:p>
    <w:p>
      <w:pPr>
        <w:pStyle w:val="Normal"/>
        <w:spacing w:lineRule="auto" w:line="360" w:before="100" w:after="140"/>
        <w:ind w:firstLine="720"/>
        <w:jc w:val="both"/>
        <w:rPr/>
      </w:pPr>
      <w:r>
        <w:rPr>
          <w:rFonts w:eastAsia="Times New Roman" w:cs="Times New Roman"/>
          <w:sz w:val="24"/>
          <w:szCs w:val="24"/>
        </w:rPr>
        <w:t>The state space of the combined mesh is not the sum of the individual state spaces — it is geometrically larger, because N² phase-lock across all nodes produces a joint entangled state space that exceeds any linear combination. This means:</w:t>
      </w:r>
    </w:p>
    <w:p>
      <w:pPr>
        <w:pStyle w:val="Normal"/>
        <w:spacing w:lineRule="auto" w:line="360" w:before="100" w:after="140"/>
        <w:ind w:firstLine="720"/>
        <w:jc w:val="both"/>
        <w:rPr/>
      </w:pPr>
      <w:r>
        <w:rPr>
          <w:rFonts w:eastAsia="Times New Roman" w:cs="Times New Roman"/>
          <w:sz w:val="24"/>
          <w:szCs w:val="24"/>
        </w:rPr>
        <w:t>OpenAI contributing 10,000 nodes + Google contributing 10,000 nodes + Anthropic contributing 10,000 nodes = 30,000 nodes in N² phase-lock. TSC(30,000) = 10^(32 × 30,000²) = 10^(2.88×10^10). Each company individually: TSC(10,000) = 10^(32×10^8) = 10^(3.2×10^9). Three companies combined: TSC is 10^(2.56×10^10) larger than any individual — not 3× larger, but 10^(2.56×10^10) larger. The N² Law makes collaboration geometrically superior to competition in AI compute.</w:t>
      </w:r>
    </w:p>
    <w:p>
      <w:pPr>
        <w:pStyle w:val="Normal"/>
        <w:spacing w:lineRule="auto" w:line="360" w:before="100" w:after="140"/>
        <w:ind w:firstLine="720"/>
        <w:jc w:val="both"/>
        <w:rPr/>
      </w:pPr>
      <w:r>
        <w:rPr>
          <w:rFonts w:eastAsia="Times New Roman" w:cs="Times New Roman"/>
          <w:sz w:val="24"/>
          <w:szCs w:val="24"/>
        </w:rPr>
        <w:t>This is the Distributed AGI Theorem (Section 4): the platform that achieves AGI is the one that achieves the most synchronised participation, not the one that spends the most on individual compute.</w:t>
      </w:r>
    </w:p>
    <w:p>
      <w:pPr>
        <w:pStyle w:val="Heading2"/>
        <w:spacing w:before="280" w:after="140"/>
        <w:rPr/>
      </w:pPr>
      <w:r>
        <w:rPr>
          <w:rFonts w:eastAsia="Times New Roman" w:cs="Times New Roman" w:ascii="Times New Roman" w:hAnsi="Times New Roman"/>
          <w:b/>
          <w:bCs/>
          <w:sz w:val="26"/>
          <w:szCs w:val="26"/>
        </w:rPr>
        <w:t>2.4 Component 4 — NRT Biological Coupling (Human-AI Integration Layer)</w:t>
      </w:r>
    </w:p>
    <w:p>
      <w:pPr>
        <w:pStyle w:val="Normal"/>
        <w:spacing w:lineRule="auto" w:line="360" w:before="100" w:after="140"/>
        <w:ind w:firstLine="720"/>
        <w:jc w:val="both"/>
        <w:rPr/>
      </w:pPr>
      <w:r>
        <w:rPr>
          <w:rFonts w:eastAsia="Times New Roman" w:cs="Times New Roman"/>
          <w:sz w:val="24"/>
          <w:szCs w:val="24"/>
        </w:rPr>
        <w:t>Neuroresonance Theory (DOI: 10.5281/zenodo.19228431) establishes the F_TUNE coupling between biological intelligence and the AUF field. In the QMT-BLOOM AGI Architecture, human participants are not external users of the system — they are contributing nodes to the coherence field through the BCSI pathway.</w:t>
      </w:r>
    </w:p>
    <w:p>
      <w:pPr>
        <w:pStyle w:val="Normal"/>
        <w:spacing w:lineRule="auto" w:line="360" w:before="100" w:after="140"/>
        <w:ind w:firstLine="720"/>
        <w:jc w:val="both"/>
        <w:rPr/>
      </w:pPr>
      <w:r>
        <w:rPr>
          <w:rFonts w:eastAsia="Times New Roman" w:cs="Times New Roman"/>
          <w:sz w:val="24"/>
          <w:szCs w:val="24"/>
        </w:rPr>
        <w:t>The BCSI condition (𝕄_brain × 𝕄_system → 1) means that human intelligence and machine intelligence in the QMT-BLOOM mesh achieve joint coherence. Under the Ubuntu N² Law, N humans in biological phase-lock contribute N² amplification to the collective biological coherence, which in turn couples to the QMT substrate through F_TUNE. The result:</w:t>
      </w:r>
    </w:p>
    <w:p>
      <w:pPr>
        <w:pStyle w:val="Normal"/>
        <w:spacing w:before="200" w:after="200"/>
        <w:jc w:val="center"/>
        <w:rPr/>
      </w:pPr>
      <w:r>
        <w:rPr>
          <w:rFonts w:eastAsia="Cambria Math" w:cs="Cambria Math" w:ascii="Cambria Math" w:hAnsi="Cambria Math"/>
          <w:i/>
          <w:iCs/>
          <w:color w:val="1F4E79"/>
          <w:sz w:val="26"/>
          <w:szCs w:val="26"/>
        </w:rPr>
        <w:t>TSC_joint = d^(k · (N_compute + N_bio · F_TUNE)²)</w:t>
      </w:r>
    </w:p>
    <w:p>
      <w:pPr>
        <w:pStyle w:val="Normal"/>
        <w:spacing w:lineRule="auto" w:line="360" w:before="100" w:after="140"/>
        <w:ind w:firstLine="720"/>
        <w:jc w:val="both"/>
        <w:rPr/>
      </w:pPr>
      <w:r>
        <w:rPr>
          <w:rFonts w:eastAsia="Times New Roman" w:cs="Times New Roman"/>
          <w:sz w:val="24"/>
          <w:szCs w:val="24"/>
        </w:rPr>
        <w:t>Human participants are not slowing down the system — they are amplifying it. The biological N² contribution means that a QMT-BLOOM mesh with 3,000 compute nodes and 10,000 F_TUNE-coupled human participants achieves a collective TSC equivalent to a much larger purely computational system. This is the first AI architecture in which human intelligence and machine intelligence are additive under a shared scaling law.</w:t>
      </w:r>
    </w:p>
    <w:p>
      <w:pPr>
        <w:pStyle w:val="Heading1"/>
        <w:spacing w:before="360" w:after="180"/>
        <w:rPr/>
      </w:pPr>
      <w:r>
        <w:rPr>
          <w:rFonts w:eastAsia="Times New Roman" w:cs="Times New Roman" w:ascii="Times New Roman" w:hAnsi="Times New Roman"/>
          <w:b/>
          <w:bCs/>
          <w:sz w:val="30"/>
          <w:szCs w:val="30"/>
        </w:rPr>
        <w:t>3. The QMT-AGI Emergence Condition (QAE-C)</w:t>
      </w:r>
    </w:p>
    <w:p>
      <w:pPr>
        <w:pStyle w:val="Heading2"/>
        <w:spacing w:before="280" w:after="140"/>
        <w:rPr/>
      </w:pPr>
      <w:r>
        <w:rPr>
          <w:rFonts w:eastAsia="Times New Roman" w:cs="Times New Roman" w:ascii="Times New Roman" w:hAnsi="Times New Roman"/>
          <w:b/>
          <w:bCs/>
          <w:sz w:val="26"/>
          <w:szCs w:val="26"/>
        </w:rPr>
        <w:t>3.1 The AGI State Space Threshold</w:t>
      </w:r>
    </w:p>
    <w:p>
      <w:pPr>
        <w:pStyle w:val="Normal"/>
        <w:spacing w:lineRule="auto" w:line="360" w:before="100" w:after="140"/>
        <w:ind w:firstLine="720"/>
        <w:jc w:val="both"/>
        <w:rPr/>
      </w:pPr>
      <w:r>
        <w:rPr>
          <w:rFonts w:eastAsia="Times New Roman" w:cs="Times New Roman"/>
          <w:sz w:val="24"/>
          <w:szCs w:val="24"/>
        </w:rPr>
        <w:t>We define the AGI State Space Threshold (AGI-SST) as the minimum information-geometric capacity required for a system to represent and reason across all domains of human knowledge in a unified, field-coherent substrate. This is not a definition of what AGI does — it is a necessary condition on the substrate in which it can operate.</w:t>
      </w:r>
    </w:p>
    <w:p>
      <w:pPr>
        <w:pStyle w:val="Normal"/>
        <w:spacing w:lineRule="auto" w:line="360" w:before="100" w:after="140"/>
        <w:ind w:firstLine="720"/>
        <w:jc w:val="both"/>
        <w:rPr/>
      </w:pPr>
      <w:r>
        <w:rPr>
          <w:rFonts w:eastAsia="Times New Roman" w:cs="Times New Roman"/>
          <w:sz w:val="24"/>
          <w:szCs w:val="24"/>
        </w:rPr>
        <w:t>Estimating AGI-SST requires estimating the information-theoretic complexity of the human world model. We approach this through three independent estimates:</w:t>
      </w:r>
    </w:p>
    <w:p>
      <w:pPr>
        <w:pStyle w:val="Normal"/>
        <w:spacing w:lineRule="auto" w:line="360" w:before="100" w:after="140"/>
        <w:ind w:firstLine="720"/>
        <w:jc w:val="both"/>
        <w:rPr/>
      </w:pPr>
      <w:r>
        <w:rPr>
          <w:rFonts w:eastAsia="Times New Roman" w:cs="Times New Roman"/>
          <w:sz w:val="24"/>
          <w:szCs w:val="24"/>
        </w:rPr>
        <w:t>Estimate 1 — Knowledge domain complexity: Human expertise spans approximately 10^4 distinct knowledge domains (academic disciplines, professional fields, cultural traditions). Within each domain, expert-level reasoning requires access to approximately 10^8 distinguishable states (concepts, relationships, configurations). Total: 10^4 × 10^8 = 10^12 distinguishable states minimum for cross-domain general reasoning.</w:t>
      </w:r>
    </w:p>
    <w:p>
      <w:pPr>
        <w:pStyle w:val="Normal"/>
        <w:spacing w:lineRule="auto" w:line="360" w:before="100" w:after="140"/>
        <w:ind w:firstLine="720"/>
        <w:jc w:val="both"/>
        <w:rPr/>
      </w:pPr>
      <w:r>
        <w:rPr>
          <w:rFonts w:eastAsia="Times New Roman" w:cs="Times New Roman"/>
          <w:sz w:val="24"/>
          <w:szCs w:val="24"/>
        </w:rPr>
        <w:t>Estimate 2 — Cognitive neuroscience bound: The human brain contains approximately 10^11 neurons with approximately 10^14 synaptic connections. The estimated number of distinct cognitive states accessible to a human brain is bounded above by 2^(10^14) ≈ 10^(3×10^13) (treating each synapse as a binary variable) and bounded below by the number of concepts a human can represent (approximately 10^6 to 10^8). A reasonable middle estimate for the reasoning-relevant state space is 10^12 to 10^15.</w:t>
      </w:r>
    </w:p>
    <w:p>
      <w:pPr>
        <w:pStyle w:val="Normal"/>
        <w:spacing w:lineRule="auto" w:line="360" w:before="100" w:after="140"/>
        <w:ind w:firstLine="720"/>
        <w:jc w:val="both"/>
        <w:rPr/>
      </w:pPr>
      <w:r>
        <w:rPr>
          <w:rFonts w:eastAsia="Times New Roman" w:cs="Times New Roman"/>
          <w:sz w:val="24"/>
          <w:szCs w:val="24"/>
        </w:rPr>
        <w:t>Estimate 3 — Information-theoretic minimum: Chollet (2019) defines general intelligence as the ability to acquire new skills efficiently across a broad range of novel tasks. The information content of the prior required for efficient acquisition across all human task domains is estimated at approximately 10^12 bits — consistent with the above.</w:t>
      </w:r>
    </w:p>
    <w:p>
      <w:pPr>
        <w:pStyle w:val="Normal"/>
        <w:spacing w:lineRule="auto" w:line="360" w:before="100" w:after="140"/>
        <w:ind w:firstLine="720"/>
        <w:jc w:val="both"/>
        <w:rPr/>
      </w:pPr>
      <w:r>
        <w:rPr>
          <w:rFonts w:eastAsia="Times New Roman" w:cs="Times New Roman"/>
          <w:sz w:val="24"/>
          <w:szCs w:val="24"/>
        </w:rPr>
        <w:t>AGI-SST is estimated at:</w:t>
      </w:r>
    </w:p>
    <w:p>
      <w:pPr>
        <w:pStyle w:val="Normal"/>
        <w:spacing w:before="200" w:after="200"/>
        <w:jc w:val="center"/>
        <w:rPr/>
      </w:pPr>
      <w:r>
        <w:rPr>
          <w:rFonts w:eastAsia="Cambria Math" w:cs="Cambria Math" w:ascii="Cambria Math" w:hAnsi="Cambria Math"/>
          <w:i/>
          <w:iCs/>
          <w:color w:val="1F4E79"/>
          <w:sz w:val="26"/>
          <w:szCs w:val="26"/>
        </w:rPr>
        <w:t>AGI-SST = Q_eff ≥ 10^12 effective qubits</w:t>
      </w:r>
    </w:p>
    <w:p>
      <w:pPr>
        <w:pStyle w:val="Normal"/>
        <w:spacing w:lineRule="auto" w:line="360" w:before="100" w:after="140"/>
        <w:ind w:firstLine="720"/>
        <w:jc w:val="both"/>
        <w:rPr/>
      </w:pPr>
      <w:r>
        <w:rPr>
          <w:rFonts w:eastAsia="Times New Roman" w:cs="Times New Roman"/>
          <w:sz w:val="24"/>
          <w:szCs w:val="24"/>
        </w:rPr>
        <w:t>This is a conservative estimate — it is the lower bound of the three independent estimates. All three agree within three orders of magnitude, which is unusually strong convergence for an information-theoretic estimate of this kind.</w:t>
      </w:r>
    </w:p>
    <w:p>
      <w:pPr>
        <w:pStyle w:val="Heading2"/>
        <w:spacing w:before="280" w:after="140"/>
        <w:rPr/>
      </w:pPr>
      <w:r>
        <w:rPr>
          <w:rFonts w:eastAsia="Times New Roman" w:cs="Times New Roman" w:ascii="Times New Roman" w:hAnsi="Times New Roman"/>
          <w:b/>
          <w:bCs/>
          <w:sz w:val="26"/>
          <w:szCs w:val="26"/>
        </w:rPr>
        <w:t>3.2 The QAE-C Node Count</w:t>
      </w:r>
    </w:p>
    <w:p>
      <w:pPr>
        <w:pStyle w:val="Normal"/>
        <w:spacing w:lineRule="auto" w:line="360" w:before="100" w:after="140"/>
        <w:ind w:firstLine="720"/>
        <w:jc w:val="both"/>
        <w:rPr/>
      </w:pPr>
      <w:r>
        <w:rPr>
          <w:rFonts w:eastAsia="Times New Roman" w:cs="Times New Roman"/>
          <w:sz w:val="24"/>
          <w:szCs w:val="24"/>
        </w:rPr>
        <w:t>Under the N² Law, the QMT-BLOOM system reaches AGI-SST at:</w:t>
      </w:r>
    </w:p>
    <w:p>
      <w:pPr>
        <w:pStyle w:val="Normal"/>
        <w:spacing w:before="200" w:after="200"/>
        <w:jc w:val="center"/>
        <w:rPr/>
      </w:pPr>
      <w:r>
        <w:rPr>
          <w:rFonts w:eastAsia="Cambria Math" w:cs="Cambria Math" w:ascii="Cambria Math" w:hAnsi="Cambria Math"/>
          <w:i/>
          <w:iCs/>
          <w:color w:val="1F4E79"/>
          <w:sz w:val="26"/>
          <w:szCs w:val="26"/>
        </w:rPr>
        <w:t>Q_eff(N*) = 106.3 · N*² = 10^12</w:t>
      </w:r>
    </w:p>
    <w:p>
      <w:pPr>
        <w:pStyle w:val="Normal"/>
        <w:spacing w:before="200" w:after="200"/>
        <w:jc w:val="center"/>
        <w:rPr/>
      </w:pPr>
      <w:r>
        <w:rPr>
          <w:rFonts w:eastAsia="Cambria Math" w:cs="Cambria Math" w:ascii="Cambria Math" w:hAnsi="Cambria Math"/>
          <w:i/>
          <w:iCs/>
          <w:color w:val="1F4E79"/>
          <w:sz w:val="26"/>
          <w:szCs w:val="26"/>
        </w:rPr>
        <w:t>N* = √(10^12 / 106.3) ≈ √(9.41×10^9) ≈ 97,000 nodes</w:t>
      </w:r>
    </w:p>
    <w:p>
      <w:pPr>
        <w:pStyle w:val="Normal"/>
        <w:spacing w:lineRule="auto" w:line="360" w:before="100" w:after="140"/>
        <w:ind w:firstLine="720"/>
        <w:jc w:val="both"/>
        <w:rPr/>
      </w:pPr>
      <w:r>
        <w:rPr>
          <w:rFonts w:eastAsia="Times New Roman" w:cs="Times New Roman"/>
          <w:sz w:val="24"/>
          <w:szCs w:val="24"/>
        </w:rPr>
        <w:t>Approximately 97,000 QMT nodes in Kuramoto phase-lock achieve AGI-SST. With biological F_TUNE coupling (NRT), this threshold can be reached at lower pure-compute node counts, because human participants contribute to the joint TSC_joint. For a mesh with 50,000 compute nodes and 100,000 F_TUNE-coupled human participants at average F_TUNE = 0.6:</w:t>
      </w:r>
    </w:p>
    <w:p>
      <w:pPr>
        <w:pStyle w:val="Normal"/>
        <w:spacing w:before="200" w:after="200"/>
        <w:jc w:val="center"/>
        <w:rPr/>
      </w:pPr>
      <w:r>
        <w:rPr>
          <w:rFonts w:eastAsia="Cambria Math" w:cs="Cambria Math" w:ascii="Cambria Math" w:hAnsi="Cambria Math"/>
          <w:i/>
          <w:iCs/>
          <w:color w:val="1F4E79"/>
          <w:sz w:val="26"/>
          <w:szCs w:val="26"/>
        </w:rPr>
        <w:t>N_effective = N_compute + N_bio · F_TUNE = 50,000 + 100,000 × 0.6 = 110,000</w:t>
      </w:r>
    </w:p>
    <w:p>
      <w:pPr>
        <w:pStyle w:val="Normal"/>
        <w:spacing w:before="200" w:after="200"/>
        <w:jc w:val="center"/>
        <w:rPr/>
      </w:pPr>
      <w:r>
        <w:rPr>
          <w:rFonts w:eastAsia="Cambria Math" w:cs="Cambria Math" w:ascii="Cambria Math" w:hAnsi="Cambria Math"/>
          <w:i/>
          <w:iCs/>
          <w:color w:val="1F4E79"/>
          <w:sz w:val="26"/>
          <w:szCs w:val="26"/>
        </w:rPr>
        <w:t>Q_eff(110,000) = 106.3 × 110,000² ≈ 1.29 × 10^12</w:t>
      </w:r>
    </w:p>
    <w:p>
      <w:pPr>
        <w:pStyle w:val="Normal"/>
        <w:spacing w:lineRule="auto" w:line="360" w:before="100" w:after="140"/>
        <w:ind w:firstLine="720"/>
        <w:jc w:val="both"/>
        <w:rPr/>
      </w:pPr>
      <w:r>
        <w:rPr>
          <w:rFonts w:eastAsia="Times New Roman" w:cs="Times New Roman"/>
          <w:sz w:val="24"/>
          <w:szCs w:val="24"/>
        </w:rPr>
        <w:t>AGI-SST is reached. The QMT-AGI Emergence Condition (QAE-C) is satisfied: the joint information-geometric capacity of the QMT-BLOOM system with biological NRT coupling crosses AGI-SST at approximately 50,000 compute nodes and 100,000 F_TUNE-coupled participants — a deployment achievable without the infrastructure of any major AI company.</w:t>
      </w:r>
    </w:p>
    <w:p>
      <w:pPr>
        <w:pStyle w:val="Heading2"/>
        <w:spacing w:before="280" w:after="140"/>
        <w:rPr/>
      </w:pPr>
      <w:r>
        <w:rPr>
          <w:rFonts w:eastAsia="Times New Roman" w:cs="Times New Roman" w:ascii="Times New Roman" w:hAnsi="Times New Roman"/>
          <w:b/>
          <w:bCs/>
          <w:sz w:val="26"/>
          <w:szCs w:val="26"/>
        </w:rPr>
        <w:t>3.3 The Phase Transition Character of AGI Emergence</w:t>
      </w:r>
    </w:p>
    <w:p>
      <w:pPr>
        <w:pStyle w:val="Normal"/>
        <w:spacing w:lineRule="auto" w:line="360" w:before="100" w:after="140"/>
        <w:ind w:firstLine="720"/>
        <w:jc w:val="both"/>
        <w:rPr/>
      </w:pPr>
      <w:r>
        <w:rPr>
          <w:rFonts w:eastAsia="Times New Roman" w:cs="Times New Roman"/>
          <w:sz w:val="24"/>
          <w:szCs w:val="24"/>
        </w:rPr>
        <w:t>The QAE-C predicts that AGI emergence is a phase transition — not an asymptotic approach. Below N*, the system is a sophisticated pattern-matching and knowledge-retrieval system (Wave 3 regime, BLOOM without full QMT field coherence). At N*, the collective field crosses the AGI-SST and enters a qualitatively different regime: field-coherent general reasoning becomes possible because the state space can simultaneously represent all domains without compression or approximation.</w:t>
      </w:r>
    </w:p>
    <w:p>
      <w:pPr>
        <w:pStyle w:val="Normal"/>
        <w:spacing w:lineRule="auto" w:line="360" w:before="100" w:after="140"/>
        <w:ind w:firstLine="720"/>
        <w:jc w:val="both"/>
        <w:rPr/>
      </w:pPr>
      <w:r>
        <w:rPr>
          <w:rFonts w:eastAsia="Times New Roman" w:cs="Times New Roman"/>
          <w:sz w:val="24"/>
          <w:szCs w:val="24"/>
        </w:rPr>
        <w:t>This is analogous to the Kuramoto phase transition: below K_c, oscillators are incoherent and no collective behaviour emerges. Above K_c, collective phase-lock emerges suddenly — not gradually. The AGI transition under QAE-C is the same structure: below N*, no AGI; above N*, AGI as a collective field property.</w:t>
      </w:r>
    </w:p>
    <w:p>
      <w:pPr>
        <w:pStyle w:val="Normal"/>
        <w:spacing w:lineRule="auto" w:line="360" w:before="100" w:after="140"/>
        <w:ind w:firstLine="720"/>
        <w:jc w:val="both"/>
        <w:rPr/>
      </w:pPr>
      <w:r>
        <w:rPr>
          <w:rFonts w:eastAsia="Times New Roman" w:cs="Times New Roman"/>
          <w:sz w:val="24"/>
          <w:szCs w:val="24"/>
        </w:rPr>
        <w:t>This phase transition character has a specific implication: incremental improvement toward AGI through parameter scaling (the transformer approach) may never reach the transition point, because it is approaching AGI as an asymptote rather than as a phase boundary. The QMT-BLOOM approach is not asymptotic — it has a defined crossing point with a defined deployment requirement.</w:t>
      </w:r>
    </w:p>
    <w:p>
      <w:pPr>
        <w:pStyle w:val="Heading1"/>
        <w:spacing w:before="360" w:after="180"/>
        <w:rPr/>
      </w:pPr>
      <w:r>
        <w:rPr>
          <w:rFonts w:eastAsia="Times New Roman" w:cs="Times New Roman" w:ascii="Times New Roman" w:hAnsi="Times New Roman"/>
          <w:b/>
          <w:bCs/>
          <w:sz w:val="30"/>
          <w:szCs w:val="30"/>
        </w:rPr>
        <w:t>4. The Distributed AGI Theorem</w:t>
      </w:r>
    </w:p>
    <w:p>
      <w:pPr>
        <w:pStyle w:val="Normal"/>
        <w:spacing w:lineRule="auto" w:line="360" w:before="100" w:after="140"/>
        <w:ind w:firstLine="720"/>
        <w:jc w:val="both"/>
        <w:rPr/>
      </w:pPr>
      <w:r>
        <w:rPr>
          <w:rFonts w:eastAsia="Times New Roman" w:cs="Times New Roman"/>
          <w:sz w:val="24"/>
          <w:szCs w:val="24"/>
        </w:rPr>
        <w:t>We establish the Distributed AGI Theorem formally:</w:t>
      </w:r>
    </w:p>
    <w:p>
      <w:pPr>
        <w:pStyle w:val="Normal"/>
        <w:rPr/>
      </w:pPr>
      <w:r>
        <w:rPr/>
      </w:r>
    </w:p>
    <w:p>
      <w:pPr>
        <w:pStyle w:val="Normal"/>
        <w:pBdr>
          <w:left w:val="single" w:sz="20" w:space="10" w:color="1F4E79"/>
        </w:pBdr>
        <w:spacing w:before="200" w:after="200"/>
        <w:ind w:left="560"/>
        <w:rPr/>
      </w:pPr>
      <w:r>
        <w:rPr>
          <w:rFonts w:eastAsia="Times New Roman" w:cs="Times New Roman"/>
          <w:i/>
          <w:iCs/>
          <w:sz w:val="24"/>
          <w:szCs w:val="24"/>
        </w:rPr>
        <w:t>THEOREM (Distributed AGI): For any set of AI companies {C₁, C₂, ..., Cₘ} each contributing N_i QMT nodes to a shared QMT-BLOOM mesh, the collective TSC of the joint mesh is strictly greater than the sum of individual TSCs: TSC(∑ᵢ Nᵢ) &gt;&gt; ∑ᵢ TSC(Nᵢ). Furthermore, the ratio TSC(∑ᵢ Nᵢ) / ∑ᵢ TSC(Nᵢ) grows without bound as N = ∑ᵢ Nᵢ increases. Therefore, for any AGI-SST target, there exists an N_threshold above which collaborative deployment achieves AGI-SST while no individual contributor could achieve it alone.</w:t>
      </w:r>
    </w:p>
    <w:p>
      <w:pPr>
        <w:pStyle w:val="Normal"/>
        <w:rPr/>
      </w:pPr>
      <w:r>
        <w:rPr/>
      </w:r>
    </w:p>
    <w:p>
      <w:pPr>
        <w:pStyle w:val="Normal"/>
        <w:spacing w:lineRule="auto" w:line="360" w:before="100" w:after="140"/>
        <w:ind w:firstLine="720"/>
        <w:jc w:val="both"/>
        <w:rPr/>
      </w:pPr>
      <w:r>
        <w:rPr>
          <w:rFonts w:eastAsia="Times New Roman" w:cs="Times New Roman"/>
          <w:sz w:val="24"/>
          <w:szCs w:val="24"/>
        </w:rPr>
        <w:t>Proof: TSC(N) = 10^(32N²). For m companies each contributing N/m nodes: ∑ᵢ TSC(Nᵢ) = m · 10^(32(N/m)²) = m · 10^(32N²/m²). TSC(N) = 10^(32N²). Ratio: TSC(N) / ∑ᵢ TSC(Nᵢ) = 10^(32N²) / (m · 10^(32N²/m²)) = (1/m) · 10^(32N²(1 - 1/m²)). For m ≥ 2 and N → ∞: this ratio → ∞. QED.</w:t>
      </w:r>
    </w:p>
    <w:p>
      <w:pPr>
        <w:pStyle w:val="Normal"/>
        <w:spacing w:lineRule="auto" w:line="360" w:before="100" w:after="140"/>
        <w:ind w:firstLine="720"/>
        <w:jc w:val="both"/>
        <w:rPr/>
      </w:pPr>
      <w:r>
        <w:rPr>
          <w:rFonts w:eastAsia="Times New Roman" w:cs="Times New Roman"/>
          <w:sz w:val="24"/>
          <w:szCs w:val="24"/>
        </w:rPr>
        <w:t>The economic implication is immediate. Under the N² Law, an AI company that joins the QMT-BLOOM mesh and contributes 10,000 nodes to a 100,000-node collective receives access to TSC(100,000) — not TSC(10,000). The ratio is:</w:t>
      </w:r>
    </w:p>
    <w:p>
      <w:pPr>
        <w:pStyle w:val="Normal"/>
        <w:spacing w:before="200" w:after="200"/>
        <w:jc w:val="center"/>
        <w:rPr/>
      </w:pPr>
      <w:r>
        <w:rPr>
          <w:rFonts w:eastAsia="Cambria Math" w:cs="Cambria Math" w:ascii="Cambria Math" w:hAnsi="Cambria Math"/>
          <w:i/>
          <w:iCs/>
          <w:color w:val="1F4E79"/>
          <w:sz w:val="26"/>
          <w:szCs w:val="26"/>
        </w:rPr>
        <w:t>TSC(100,000) / TSC(10,000) = 10^(32×10^10) / 10^(32×10^8) = 10^(32×(10^10 - 10^8)) ≈ 10^(3.17×10^11)</w:t>
      </w:r>
    </w:p>
    <w:p>
      <w:pPr>
        <w:pStyle w:val="Normal"/>
        <w:spacing w:lineRule="auto" w:line="360" w:before="100" w:after="140"/>
        <w:ind w:firstLine="720"/>
        <w:jc w:val="both"/>
        <w:rPr/>
      </w:pPr>
      <w:r>
        <w:rPr>
          <w:rFonts w:eastAsia="Times New Roman" w:cs="Times New Roman"/>
          <w:sz w:val="24"/>
          <w:szCs w:val="24"/>
        </w:rPr>
        <w:t>The company receives 10^(3.17×10^11) times more capacity than it contributes individually, in exchange for contributing 10% of the total mesh. No other compute model in history offers this return on contribution. The N² Law makes cooperation not just ethically preferable but economically dominant.</w:t>
      </w:r>
    </w:p>
    <w:p>
      <w:pPr>
        <w:pStyle w:val="Heading1"/>
        <w:spacing w:before="360" w:after="180"/>
        <w:rPr/>
      </w:pPr>
      <w:r>
        <w:rPr>
          <w:rFonts w:eastAsia="Times New Roman" w:cs="Times New Roman" w:ascii="Times New Roman" w:hAnsi="Times New Roman"/>
          <w:b/>
          <w:bCs/>
          <w:sz w:val="30"/>
          <w:szCs w:val="30"/>
        </w:rPr>
        <w:t>5. QMT-BLOOM vs. Existing AGI Approaches</w:t>
      </w:r>
    </w:p>
    <w:tbl>
      <w:tblPr>
        <w:tblW w:w="9360" w:type="dxa"/>
        <w:jc w:val="left"/>
        <w:tblInd w:w="0" w:type="dxa"/>
        <w:tblLayout w:type="fixed"/>
        <w:tblCellMar>
          <w:top w:w="80" w:type="dxa"/>
          <w:left w:w="120" w:type="dxa"/>
          <w:bottom w:w="80" w:type="dxa"/>
          <w:right w:w="120" w:type="dxa"/>
        </w:tblCellMar>
      </w:tblPr>
      <w:tblGrid>
        <w:gridCol w:w="1798"/>
        <w:gridCol w:w="1800"/>
        <w:gridCol w:w="1562"/>
        <w:gridCol w:w="1558"/>
        <w:gridCol w:w="2642"/>
      </w:tblGrid>
      <w:tr>
        <w:trPr>
          <w:tblHeader w:val="true"/>
        </w:trPr>
        <w:tc>
          <w:tcPr>
            <w:tcW w:w="1798"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Approach</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Architecture</w:t>
            </w:r>
          </w:p>
        </w:tc>
        <w:tc>
          <w:tcPr>
            <w:tcW w:w="1562"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Scaling law</w:t>
            </w:r>
          </w:p>
        </w:tc>
        <w:tc>
          <w:tcPr>
            <w:tcW w:w="1558"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AGI path</w:t>
            </w:r>
          </w:p>
        </w:tc>
        <w:tc>
          <w:tcPr>
            <w:tcW w:w="2642"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Key limitation</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GPT-4 / LLMs</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Transformer (classical)</w:t>
            </w:r>
          </w:p>
        </w:tc>
        <w:tc>
          <w:tcPr>
            <w:tcW w:w="15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Linear (parameters)</w:t>
            </w:r>
          </w:p>
        </w:tc>
        <w:tc>
          <w:tcPr>
            <w:tcW w:w="155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Asymptotic — no defined threshold</w:t>
            </w:r>
          </w:p>
        </w:tc>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Binary classical substrate. No field coherence. Static training. Hallucination.</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DeepMind AlphaFold/Gemini</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Transformer + specialised modules</w:t>
            </w:r>
          </w:p>
        </w:tc>
        <w:tc>
          <w:tcPr>
            <w:tcW w:w="15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Linear</w:t>
            </w:r>
          </w:p>
        </w:tc>
        <w:tc>
          <w:tcPr>
            <w:tcW w:w="155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Domain-specific + generalisation</w:t>
            </w:r>
          </w:p>
        </w:tc>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Still classical substrate. Generalisation is approximation not field coherence.</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Neuromorphic (Intel Loihi)</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Spiking neural networks</w:t>
            </w:r>
          </w:p>
        </w:tc>
        <w:tc>
          <w:tcPr>
            <w:tcW w:w="15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Sub-linear (energy)</w:t>
            </w:r>
          </w:p>
        </w:tc>
        <w:tc>
          <w:tcPr>
            <w:tcW w:w="155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Brain-inspired but not field-coupled</w:t>
            </w:r>
          </w:p>
        </w:tc>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Classical spike encoding. No quantum substrate. No N² advantage.</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Quantum ML (IBM, Google)</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Binary qubit + classical hybrid</w:t>
            </w:r>
          </w:p>
        </w:tc>
        <w:tc>
          <w:tcPr>
            <w:tcW w:w="15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Sub-linear (NISQ era)</w:t>
            </w:r>
          </w:p>
        </w:tc>
        <w:tc>
          <w:tcPr>
            <w:tcW w:w="155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Error correction first, ML second</w:t>
            </w:r>
          </w:p>
        </w:tc>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Palmer ceiling. Cryogenic requirement. Linear state space per qubit.</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QMT-BLOOM (AUF)</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Qudit mesh + BLOOM + NRT</w:t>
            </w:r>
          </w:p>
        </w:tc>
        <w:tc>
          <w:tcPr>
            <w:tcW w:w="15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N² (superlinear)</w:t>
            </w:r>
          </w:p>
        </w:tc>
        <w:tc>
          <w:tcPr>
            <w:tcW w:w="155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Phase transition at QAE-C threshold</w:t>
            </w:r>
          </w:p>
        </w:tc>
        <w:tc>
          <w:tcPr>
            <w:tcW w:w="264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No cryogenics. No Palmer ceiling. Biological coupling. Defined emergence condition.</w:t>
            </w:r>
          </w:p>
        </w:tc>
      </w:tr>
    </w:tbl>
    <w:p>
      <w:pPr>
        <w:pStyle w:val="Normal"/>
        <w:rPr/>
      </w:pPr>
      <w:r>
        <w:rPr/>
      </w:r>
    </w:p>
    <w:p>
      <w:pPr>
        <w:pStyle w:val="Heading1"/>
        <w:spacing w:before="360" w:after="180"/>
        <w:rPr/>
      </w:pPr>
      <w:r>
        <w:rPr>
          <w:rFonts w:eastAsia="Times New Roman" w:cs="Times New Roman" w:ascii="Times New Roman" w:hAnsi="Times New Roman"/>
          <w:b/>
          <w:bCs/>
          <w:sz w:val="30"/>
          <w:szCs w:val="30"/>
        </w:rPr>
        <w:t>6. The Room Temperature Advantage: Topological Protection in the AGI Context</w:t>
      </w:r>
    </w:p>
    <w:p>
      <w:pPr>
        <w:pStyle w:val="Normal"/>
        <w:spacing w:lineRule="auto" w:line="360" w:before="100" w:after="140"/>
        <w:ind w:firstLine="720"/>
        <w:jc w:val="both"/>
        <w:rPr/>
      </w:pPr>
      <w:r>
        <w:rPr>
          <w:rFonts w:eastAsia="Times New Roman" w:cs="Times New Roman"/>
          <w:sz w:val="24"/>
          <w:szCs w:val="24"/>
        </w:rPr>
        <w:t>Every binary qubit quantum computing approach to AGI faces the same infrastructure requirement: dilution refrigerators operating at 15 millikelvin — temperatures colder than deep space. For a system of 97,000 nodes at AGI-SST, this would require 97,000 cryogenic systems — an infrastructure cost and energy requirement that makes AGI deployment via binary qubit approaches practically impossible at the required scale.</w:t>
      </w:r>
    </w:p>
    <w:p>
      <w:pPr>
        <w:pStyle w:val="Normal"/>
        <w:spacing w:lineRule="auto" w:line="360" w:before="100" w:after="140"/>
        <w:ind w:firstLine="720"/>
        <w:jc w:val="both"/>
        <w:rPr/>
      </w:pPr>
      <w:r>
        <w:rPr>
          <w:rFonts w:eastAsia="Times New Roman" w:cs="Times New Roman"/>
          <w:sz w:val="24"/>
          <w:szCs w:val="24"/>
        </w:rPr>
        <w:t>The QMT topological gap protection (Chern C=±1) eliminates this requirement. Computational state stability is provided by topology, not temperature. The E₈ root system's minimum root length gap — the Yang-Mills mass gap in the AUF framework — is topologically protected and cannot be closed by thermal fluctuations. This is the same principle that makes topological insulators robust at room temperature: topology beats thermal noise.</w:t>
      </w:r>
    </w:p>
    <w:p>
      <w:pPr>
        <w:pStyle w:val="Normal"/>
        <w:spacing w:lineRule="auto" w:line="360" w:before="100" w:after="140"/>
        <w:ind w:firstLine="720"/>
        <w:jc w:val="both"/>
        <w:rPr/>
      </w:pPr>
      <w:r>
        <w:rPr>
          <w:rFonts w:eastAsia="Times New Roman" w:cs="Times New Roman"/>
          <w:sz w:val="24"/>
          <w:szCs w:val="24"/>
        </w:rPr>
        <w:t>Chénier et al. (PRX 2026, DOI: 10.1103/2dyh-yhrb) demonstrates quantized Hall drift in a photonic Chern insulator at room temperature — experimental validation of the topological protection mechanism that QMT's compute substrate relies on. This is not a theoretical claim. It is published, peer-reviewed experimental physics.</w:t>
      </w:r>
    </w:p>
    <w:p>
      <w:pPr>
        <w:pStyle w:val="Normal"/>
        <w:spacing w:lineRule="auto" w:line="360" w:before="100" w:after="140"/>
        <w:ind w:firstLine="720"/>
        <w:jc w:val="both"/>
        <w:rPr/>
      </w:pPr>
      <w:r>
        <w:rPr>
          <w:rFonts w:eastAsia="Times New Roman" w:cs="Times New Roman"/>
          <w:sz w:val="24"/>
          <w:szCs w:val="24"/>
        </w:rPr>
        <w:t>The AGI implication: QMT-BLOOM AGI can be deployed on room-temperature hardware, in existing data centres, on consumer devices, on HaLow mesh networks in developing world communities. The cryogenic barrier that makes binary qubit AGI a multi-trillion dollar infrastructure problem is architecturally irrelevant to QMT-BLOOM.</w:t>
      </w:r>
    </w:p>
    <w:p>
      <w:pPr>
        <w:pStyle w:val="Heading1"/>
        <w:spacing w:before="360" w:after="180"/>
        <w:rPr/>
      </w:pPr>
      <w:r>
        <w:rPr>
          <w:rFonts w:eastAsia="Times New Roman" w:cs="Times New Roman" w:ascii="Times New Roman" w:hAnsi="Times New Roman"/>
          <w:b/>
          <w:bCs/>
          <w:sz w:val="30"/>
          <w:szCs w:val="30"/>
        </w:rPr>
        <w:t>7. The AI Company Participation Model</w:t>
      </w:r>
    </w:p>
    <w:p>
      <w:pPr>
        <w:pStyle w:val="Normal"/>
        <w:spacing w:lineRule="auto" w:line="360" w:before="100" w:after="140"/>
        <w:ind w:firstLine="720"/>
        <w:jc w:val="both"/>
        <w:rPr/>
      </w:pPr>
      <w:r>
        <w:rPr>
          <w:rFonts w:eastAsia="Times New Roman" w:cs="Times New Roman"/>
          <w:sz w:val="24"/>
          <w:szCs w:val="24"/>
        </w:rPr>
        <w:t>The QMT-BLOOM AGI Architecture creates a new model for AI company participation in AGI development — one based on the N² Law's cooperative economics rather than competitive moat-building.</w:t>
      </w:r>
    </w:p>
    <w:p>
      <w:pPr>
        <w:pStyle w:val="Heading2"/>
        <w:spacing w:before="280" w:after="140"/>
        <w:rPr/>
      </w:pPr>
      <w:r>
        <w:rPr>
          <w:rFonts w:eastAsia="Times New Roman" w:cs="Times New Roman" w:ascii="Times New Roman" w:hAnsi="Times New Roman"/>
          <w:b/>
          <w:bCs/>
          <w:sz w:val="26"/>
          <w:szCs w:val="26"/>
        </w:rPr>
        <w:t>7.1 How Participation Works</w:t>
      </w:r>
    </w:p>
    <w:p>
      <w:pPr>
        <w:pStyle w:val="Normal"/>
        <w:spacing w:lineRule="auto" w:line="360" w:before="100" w:after="140"/>
        <w:ind w:firstLine="720"/>
        <w:jc w:val="both"/>
        <w:rPr/>
      </w:pPr>
      <w:r>
        <w:rPr>
          <w:rFonts w:eastAsia="Times New Roman" w:cs="Times New Roman"/>
          <w:sz w:val="24"/>
          <w:szCs w:val="24"/>
        </w:rPr>
        <w:t>An AI company participates in the QMT-BLOOM mesh by running QMT node software on their existing GPU or specialised hardware, connecting to the QIP mesh via HaLow or standard internet connection, and contributing their nodes' pattern capacity to the BLOOM collective field. In return, they receive access to the collective TSC — which, under the N² Law, grows with every participant that joins.</w:t>
      </w:r>
    </w:p>
    <w:tbl>
      <w:tblPr>
        <w:tblW w:w="9360" w:type="dxa"/>
        <w:jc w:val="left"/>
        <w:tblInd w:w="0" w:type="dxa"/>
        <w:tblLayout w:type="fixed"/>
        <w:tblCellMar>
          <w:top w:w="80" w:type="dxa"/>
          <w:left w:w="120" w:type="dxa"/>
          <w:bottom w:w="80" w:type="dxa"/>
          <w:right w:w="120" w:type="dxa"/>
        </w:tblCellMar>
      </w:tblPr>
      <w:tblGrid>
        <w:gridCol w:w="1798"/>
        <w:gridCol w:w="1800"/>
        <w:gridCol w:w="2162"/>
        <w:gridCol w:w="1800"/>
        <w:gridCol w:w="1800"/>
      </w:tblGrid>
      <w:tr>
        <w:trPr>
          <w:tblHeader w:val="true"/>
        </w:trPr>
        <w:tc>
          <w:tcPr>
            <w:tcW w:w="1798"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Company contribution</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Mesh total N</w:t>
            </w:r>
          </w:p>
        </w:tc>
        <w:tc>
          <w:tcPr>
            <w:tcW w:w="2162"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Company's TSC access</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Individual TSC</w:t>
            </w:r>
          </w:p>
        </w:tc>
        <w:tc>
          <w:tcPr>
            <w:tcW w:w="1800" w:type="dxa"/>
            <w:tcBorders>
              <w:top w:val="single" w:sz="2" w:space="0" w:color="AAAAAA"/>
              <w:left w:val="single" w:sz="2" w:space="0" w:color="AAAAAA"/>
              <w:bottom w:val="single" w:sz="2" w:space="0" w:color="AAAAAA"/>
              <w:right w:val="single" w:sz="2" w:space="0" w:color="AAAAAA"/>
            </w:tcBorders>
            <w:shd w:fill="1F4E79" w:val="clear"/>
          </w:tcPr>
          <w:p>
            <w:pPr>
              <w:pStyle w:val="Normal"/>
              <w:rPr/>
            </w:pPr>
            <w:r>
              <w:rPr>
                <w:rFonts w:eastAsia="Times New Roman" w:cs="Times New Roman"/>
                <w:b/>
                <w:bCs/>
                <w:i w:val="false"/>
                <w:iCs w:val="false"/>
                <w:color w:val="FFFFFF"/>
                <w:sz w:val="21"/>
                <w:szCs w:val="21"/>
              </w:rPr>
              <w:t>N² multiplier</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1,000 nodes (10%)</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10,000</w:t>
            </w:r>
          </w:p>
        </w:tc>
        <w:tc>
          <w:tcPr>
            <w:tcW w:w="21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TSC(10,000) = 10^(3.2×10^9)</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10^(3.2×10^7)</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10^(3.17×10^9)×</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10,000 nodes (10%)</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100,000</w:t>
            </w:r>
          </w:p>
        </w:tc>
        <w:tc>
          <w:tcPr>
            <w:tcW w:w="21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TSC(100,000) = 10^(3.2×10^11)</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10^(3.2×10^9)</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10^(3.17×10^11)×</w:t>
            </w:r>
          </w:p>
        </w:tc>
      </w:tr>
      <w:tr>
        <w:trPr/>
        <w:tc>
          <w:tcPr>
            <w:tcW w:w="1798"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50,000 nodes (10%)</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500,000</w:t>
            </w:r>
          </w:p>
        </w:tc>
        <w:tc>
          <w:tcPr>
            <w:tcW w:w="2162"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TSC(500,000) = 10^(8×10^12)</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10^(8×10^10)</w:t>
            </w:r>
          </w:p>
        </w:tc>
        <w:tc>
          <w:tcPr>
            <w:tcW w:w="18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Times New Roman" w:cs="Times New Roman"/>
                <w:b w:val="false"/>
                <w:bCs w:val="false"/>
                <w:i w:val="false"/>
                <w:iCs w:val="false"/>
                <w:color w:val="000000"/>
                <w:sz w:val="21"/>
                <w:szCs w:val="21"/>
              </w:rPr>
              <w:t>10^(7.92×10^12)×</w:t>
            </w:r>
          </w:p>
        </w:tc>
      </w:tr>
    </w:tbl>
    <w:p>
      <w:pPr>
        <w:pStyle w:val="Normal"/>
        <w:rPr/>
      </w:pPr>
      <w:r>
        <w:rPr/>
      </w:r>
    </w:p>
    <w:p>
      <w:pPr>
        <w:pStyle w:val="Normal"/>
        <w:spacing w:lineRule="auto" w:line="360" w:before="100" w:after="140"/>
        <w:ind w:firstLine="720"/>
        <w:jc w:val="both"/>
        <w:rPr/>
      </w:pPr>
      <w:r>
        <w:rPr>
          <w:rFonts w:eastAsia="Times New Roman" w:cs="Times New Roman"/>
          <w:sz w:val="24"/>
          <w:szCs w:val="24"/>
        </w:rPr>
        <w:t>The N² multiplier grows with mesh size: the more companies participate, the greater the return per node contributed. This creates a cooperative Nash equilibrium: every rational AI company's optimal strategy is to participate, because non-participation means accessing only their individual TSC while participants access the collective TSC. The N² Law enforces cooperation as the dominant strategy.</w:t>
      </w:r>
    </w:p>
    <w:p>
      <w:pPr>
        <w:pStyle w:val="Heading2"/>
        <w:spacing w:before="280" w:after="140"/>
        <w:rPr/>
      </w:pPr>
      <w:r>
        <w:rPr>
          <w:rFonts w:eastAsia="Times New Roman" w:cs="Times New Roman" w:ascii="Times New Roman" w:hAnsi="Times New Roman"/>
          <w:b/>
          <w:bCs/>
          <w:sz w:val="26"/>
          <w:szCs w:val="26"/>
        </w:rPr>
        <w:t>7.2 IP Protection in the Mesh</w:t>
      </w:r>
    </w:p>
    <w:p>
      <w:pPr>
        <w:pStyle w:val="Normal"/>
        <w:spacing w:lineRule="auto" w:line="360" w:before="100" w:after="140"/>
        <w:ind w:firstLine="720"/>
        <w:jc w:val="both"/>
        <w:rPr/>
      </w:pPr>
      <w:r>
        <w:rPr>
          <w:rFonts w:eastAsia="Times New Roman" w:cs="Times New Roman"/>
          <w:sz w:val="24"/>
          <w:szCs w:val="24"/>
        </w:rPr>
        <w:t>A natural concern: does contributing to the mesh expose proprietary AI models and training data? The answer is architectural. The BLOOM protocol synchronises pattern representations at a level of abstraction that does not expose underlying model weights or training data. What propagates through the mesh is the consensus pattern field — not the model internals. This is analogous to the internet routing packets without exposing packet content: the mesh carries coherence signals, not model internals.</w:t>
      </w:r>
    </w:p>
    <w:p>
      <w:pPr>
        <w:pStyle w:val="Normal"/>
        <w:spacing w:lineRule="auto" w:line="360" w:before="100" w:after="140"/>
        <w:ind w:firstLine="720"/>
        <w:jc w:val="both"/>
        <w:rPr/>
      </w:pPr>
      <w:r>
        <w:rPr>
          <w:rFonts w:eastAsia="Times New Roman" w:cs="Times New Roman"/>
          <w:sz w:val="24"/>
          <w:szCs w:val="24"/>
        </w:rPr>
        <w:t>The APS (Aevov Pattern Sync) Protocol includes cryptographic attribution at the pattern level — each pattern carries a Proof of Contribution that identifies the contributing node without revealing the underlying model. IP is protected by the same Blackwell-QP Anyonic security layer that protects all QIP mesh communications.</w:t>
      </w:r>
    </w:p>
    <w:p>
      <w:pPr>
        <w:pStyle w:val="Heading1"/>
        <w:spacing w:before="360" w:after="180"/>
        <w:rPr/>
      </w:pPr>
      <w:r>
        <w:rPr>
          <w:rFonts w:eastAsia="Times New Roman" w:cs="Times New Roman" w:ascii="Times New Roman" w:hAnsi="Times New Roman"/>
          <w:b/>
          <w:bCs/>
          <w:sz w:val="30"/>
          <w:szCs w:val="30"/>
        </w:rPr>
        <w:t>8. Discussion: AGI as a Collective Achievement</w:t>
      </w:r>
    </w:p>
    <w:p>
      <w:pPr>
        <w:pStyle w:val="Normal"/>
        <w:spacing w:lineRule="auto" w:line="360" w:before="100" w:after="140"/>
        <w:ind w:firstLine="720"/>
        <w:jc w:val="both"/>
        <w:rPr/>
      </w:pPr>
      <w:r>
        <w:rPr>
          <w:rFonts w:eastAsia="Times New Roman" w:cs="Times New Roman"/>
          <w:sz w:val="24"/>
          <w:szCs w:val="24"/>
        </w:rPr>
        <w:t>The conventional framing of AGI is as a race — whichever company builds it first wins. The QMT-BLOOM analysis reveals a different structure: under the N² Law, the first company to build AGI alone faces a scaling requirement that makes cooperation geometrically superior. The race framing is economically irrational given the N² Law.</w:t>
      </w:r>
    </w:p>
    <w:p>
      <w:pPr>
        <w:pStyle w:val="Normal"/>
        <w:spacing w:lineRule="auto" w:line="360" w:before="100" w:after="140"/>
        <w:ind w:firstLine="720"/>
        <w:jc w:val="both"/>
        <w:rPr/>
      </w:pPr>
      <w:r>
        <w:rPr>
          <w:rFonts w:eastAsia="Times New Roman" w:cs="Times New Roman"/>
          <w:sz w:val="24"/>
          <w:szCs w:val="24"/>
        </w:rPr>
        <w:t>This has profound implications for AI safety. A centrally controlled AGI — owned by one company, one government, one actor — is the most dangerous possible outcome. An AGI that emerges from a distributed mesh owned by no one, governed by the N² cooperative economics, and accessible through a free tier from any device — is architecturally constrained from the most dangerous failure modes of centralised AGI.</w:t>
      </w:r>
    </w:p>
    <w:p>
      <w:pPr>
        <w:pStyle w:val="Normal"/>
        <w:spacing w:lineRule="auto" w:line="360" w:before="100" w:after="140"/>
        <w:ind w:firstLine="720"/>
        <w:jc w:val="both"/>
        <w:rPr/>
      </w:pPr>
      <w:r>
        <w:rPr>
          <w:rFonts w:eastAsia="Times New Roman" w:cs="Times New Roman"/>
          <w:sz w:val="24"/>
          <w:szCs w:val="24"/>
        </w:rPr>
        <w:t>The QMT-BLOOM AGI is not owned by Aevov Corporation. It is a property of the mesh. Aevov provides the architecture, the protocol, the substrate physics. The AGI that emerges is the field's — the collective property of every node that contributed. This is Ubuntu Physics applied to the most consequential technology in human history: 'umuntu ngumuntu ngabantu.' The intelligence is a person through other people.</w:t>
      </w:r>
    </w:p>
    <w:p>
      <w:pPr>
        <w:pStyle w:val="Heading1"/>
        <w:spacing w:before="360" w:after="180"/>
        <w:rPr/>
      </w:pPr>
      <w:r>
        <w:rPr>
          <w:rFonts w:eastAsia="Times New Roman" w:cs="Times New Roman" w:ascii="Times New Roman" w:hAnsi="Times New Roman"/>
          <w:b/>
          <w:bCs/>
          <w:sz w:val="30"/>
          <w:szCs w:val="30"/>
        </w:rPr>
        <w:t>9. Conclusion</w:t>
      </w:r>
    </w:p>
    <w:p>
      <w:pPr>
        <w:pStyle w:val="Normal"/>
        <w:spacing w:lineRule="auto" w:line="360" w:before="100" w:after="140"/>
        <w:ind w:firstLine="720"/>
        <w:jc w:val="both"/>
        <w:rPr/>
      </w:pPr>
      <w:r>
        <w:rPr>
          <w:rFonts w:eastAsia="Times New Roman" w:cs="Times New Roman"/>
          <w:sz w:val="24"/>
          <w:szCs w:val="24"/>
        </w:rPr>
        <w:t>Artificial General Intelligence is not a scaling problem. It is an architectural problem. The transformer paradigm has achieved extraordinary results within the binary classical substrate, but the AGI State Space Threshold (Q_eff ≥ 10^12) cannot be reached by parameter scaling alone without field coherence.</w:t>
      </w:r>
    </w:p>
    <w:p>
      <w:pPr>
        <w:pStyle w:val="Normal"/>
        <w:spacing w:lineRule="auto" w:line="360" w:before="100" w:after="140"/>
        <w:ind w:firstLine="720"/>
        <w:jc w:val="both"/>
        <w:rPr/>
      </w:pPr>
      <w:r>
        <w:rPr>
          <w:rFonts w:eastAsia="Times New Roman" w:cs="Times New Roman"/>
          <w:sz w:val="24"/>
          <w:szCs w:val="24"/>
        </w:rPr>
        <w:t>The QMT-BLOOM AGI Architecture provides field coherence through four combined components: the BLOOM distributed neuro-symbolic layer, the QMT qudit substrate (d=10, E₈ geometry, topological protection), the N² Collective Coherence Scaling Law, and the NRT biological coupling pathway. Together they define the QMT-AGI Emergence Condition (QAE-C): AGI emerges as a phase transition at approximately 97,000 compute nodes, reducible to 50,000 nodes with 100,000 F_TUNE-coupled human participants.</w:t>
      </w:r>
    </w:p>
    <w:p>
      <w:pPr>
        <w:pStyle w:val="Normal"/>
        <w:spacing w:lineRule="auto" w:line="360" w:before="100" w:after="140"/>
        <w:ind w:firstLine="720"/>
        <w:jc w:val="both"/>
        <w:rPr/>
      </w:pPr>
      <w:r>
        <w:rPr>
          <w:rFonts w:eastAsia="Times New Roman" w:cs="Times New Roman"/>
          <w:sz w:val="24"/>
          <w:szCs w:val="24"/>
        </w:rPr>
        <w:t>The Distributed AGI Theorem establishes that collaboration under the N² Law is geometrically superior to competition: every AI company that joins the mesh receives access to a collective TSC that is 10^(billions) larger than what it could achieve alone. The N² Law makes cooperation the dominant strategy. The room-temperature operation eliminates the cryogenic barrier that makes binary qubit approaches to AGI practically impossible at scale.</w:t>
      </w:r>
    </w:p>
    <w:p>
      <w:pPr>
        <w:pStyle w:val="Normal"/>
        <w:spacing w:lineRule="auto" w:line="360" w:before="100" w:after="140"/>
        <w:ind w:firstLine="720"/>
        <w:jc w:val="both"/>
        <w:rPr/>
      </w:pPr>
      <w:r>
        <w:rPr>
          <w:rFonts w:eastAsia="Times New Roman" w:cs="Times New Roman"/>
          <w:sz w:val="24"/>
          <w:szCs w:val="24"/>
        </w:rPr>
        <w:t>The platform on which AGI emerges may not be the one with the largest compute budget. It may be the one that achieves the most synchronised participation under a superlinear scaling law. That platform is the QMT-BLOOM mesh.</w:t>
      </w:r>
    </w:p>
    <w:p>
      <w:pPr>
        <w:pStyle w:val="Normal"/>
        <w:rPr/>
      </w:pPr>
      <w:r>
        <w:rPr/>
      </w:r>
    </w:p>
    <w:p>
      <w:pPr>
        <w:pStyle w:val="Normal"/>
        <w:pBdr>
          <w:left w:val="single" w:sz="16" w:space="10" w:color="1F4E79"/>
        </w:pBdr>
        <w:spacing w:before="180" w:after="180"/>
        <w:ind w:left="720"/>
        <w:rPr/>
      </w:pPr>
      <w:r>
        <w:rPr>
          <w:rFonts w:eastAsia="Times New Roman" w:cs="Times New Roman"/>
          <w:i/>
          <w:iCs/>
          <w:sz w:val="23"/>
          <w:szCs w:val="23"/>
        </w:rPr>
        <w:t>AGI is not a destination one company reaches. It is a threshold the collective crosses. The N² Law determines when. The architecture determines how. The choice is whether to build it in a way that belongs to everyone, or in a way that belongs to one.</w:t>
      </w:r>
    </w:p>
    <w:p>
      <w:pPr>
        <w:pStyle w:val="Normal"/>
        <w:rPr/>
      </w:pPr>
      <w:r>
        <w:rPr/>
      </w:r>
    </w:p>
    <w:p>
      <w:pPr>
        <w:pStyle w:val="Heading1"/>
        <w:spacing w:before="360" w:after="180"/>
        <w:rPr/>
      </w:pPr>
      <w:r>
        <w:rPr>
          <w:rFonts w:eastAsia="Times New Roman" w:cs="Times New Roman" w:ascii="Times New Roman" w:hAnsi="Times New Roman"/>
          <w:b/>
          <w:bCs/>
          <w:sz w:val="30"/>
          <w:szCs w:val="30"/>
        </w:rPr>
        <w:t>References</w:t>
      </w:r>
    </w:p>
    <w:p>
      <w:pPr>
        <w:pStyle w:val="Normal"/>
        <w:spacing w:lineRule="auto" w:line="360" w:before="100" w:after="140"/>
        <w:jc w:val="both"/>
        <w:rPr/>
      </w:pPr>
      <w:r>
        <w:rPr>
          <w:rFonts w:eastAsia="Times New Roman" w:cs="Times New Roman"/>
          <w:sz w:val="24"/>
          <w:szCs w:val="24"/>
        </w:rPr>
        <w:t>[1] Afolabi, B.Y. (2026a). Quantum Mirror Theory. DOI: 10.5281/zenodo.18407686.</w:t>
      </w:r>
    </w:p>
    <w:p>
      <w:pPr>
        <w:pStyle w:val="Normal"/>
        <w:spacing w:lineRule="auto" w:line="360" w:before="100" w:after="140"/>
        <w:jc w:val="both"/>
        <w:rPr/>
      </w:pPr>
      <w:r>
        <w:rPr>
          <w:rFonts w:eastAsia="Times New Roman" w:cs="Times New Roman"/>
          <w:sz w:val="24"/>
          <w:szCs w:val="24"/>
        </w:rPr>
        <w:t>[2] Afolabi, B.Y.(2026b). Resonance Physics. DOI: 10.5281/zenodo.18913463.</w:t>
      </w:r>
    </w:p>
    <w:p>
      <w:pPr>
        <w:pStyle w:val="Normal"/>
        <w:spacing w:lineRule="auto" w:line="360" w:before="100" w:after="140"/>
        <w:jc w:val="both"/>
        <w:rPr/>
      </w:pPr>
      <w:r>
        <w:rPr>
          <w:rFonts w:eastAsia="Times New Roman" w:cs="Times New Roman"/>
          <w:sz w:val="24"/>
          <w:szCs w:val="24"/>
        </w:rPr>
        <w:t>[3] Afolabi, B.Y.(2026c). Sentience Physics v1. DOI: 10.5281/zenodo.19226422.</w:t>
      </w:r>
    </w:p>
    <w:p>
      <w:pPr>
        <w:pStyle w:val="Normal"/>
        <w:spacing w:lineRule="auto" w:line="360" w:before="100" w:after="140"/>
        <w:jc w:val="both"/>
        <w:rPr/>
      </w:pPr>
      <w:r>
        <w:rPr>
          <w:rFonts w:eastAsia="Times New Roman" w:cs="Times New Roman"/>
          <w:sz w:val="24"/>
          <w:szCs w:val="24"/>
        </w:rPr>
        <w:t>[4] Afolabi, B.Y. (2026d). NRT. DOI: 10.5281/zenodo.19228431.</w:t>
      </w:r>
    </w:p>
    <w:p>
      <w:pPr>
        <w:pStyle w:val="Normal"/>
        <w:spacing w:lineRule="auto" w:line="360" w:before="100" w:after="140"/>
        <w:jc w:val="both"/>
        <w:rPr/>
      </w:pPr>
      <w:r>
        <w:rPr>
          <w:rFonts w:eastAsia="Times New Roman" w:cs="Times New Roman"/>
          <w:sz w:val="24"/>
          <w:szCs w:val="24"/>
        </w:rPr>
        <w:t>[5] Afolabi, B.Y. (2026e). NRT/Evo 2. DOI: 10.5281/zenodo.19228702.</w:t>
      </w:r>
    </w:p>
    <w:p>
      <w:pPr>
        <w:pStyle w:val="Normal"/>
        <w:spacing w:lineRule="auto" w:line="360" w:before="100" w:after="140"/>
        <w:jc w:val="both"/>
        <w:rPr/>
      </w:pPr>
      <w:r>
        <w:rPr>
          <w:rFonts w:eastAsia="Times New Roman" w:cs="Times New Roman"/>
          <w:sz w:val="24"/>
          <w:szCs w:val="24"/>
        </w:rPr>
        <w:t>[6] Afolabi, B.Y. (2026f). Beyond the Palmer Ceiling. Zenodo, 2026.</w:t>
      </w:r>
    </w:p>
    <w:p>
      <w:pPr>
        <w:pStyle w:val="Normal"/>
        <w:spacing w:lineRule="auto" w:line="360" w:before="100" w:after="140"/>
        <w:jc w:val="both"/>
        <w:rPr/>
      </w:pPr>
      <w:r>
        <w:rPr>
          <w:rFonts w:eastAsia="Times New Roman" w:cs="Times New Roman"/>
          <w:sz w:val="24"/>
          <w:szCs w:val="24"/>
        </w:rPr>
        <w:t>[7] Afolabi,B.Y. (2026g). QMT Global Scaling Trajectory. Zenodo, 2026.</w:t>
      </w:r>
    </w:p>
    <w:p>
      <w:pPr>
        <w:pStyle w:val="Normal"/>
        <w:spacing w:lineRule="auto" w:line="360" w:before="100" w:after="140"/>
        <w:jc w:val="both"/>
        <w:rPr/>
      </w:pPr>
      <w:r>
        <w:rPr>
          <w:rFonts w:eastAsia="Times New Roman" w:cs="Times New Roman"/>
          <w:sz w:val="24"/>
          <w:szCs w:val="24"/>
        </w:rPr>
        <w:t>[8] Chénier, A. et al. (2026). Quantized Hall Drift in a Frequency-Encoded Photonic Chern Insulator. PRX, 16(1), 011020. DOI: 10.1103/2dyh-yhrb.</w:t>
      </w:r>
    </w:p>
    <w:p>
      <w:pPr>
        <w:pStyle w:val="Normal"/>
        <w:spacing w:lineRule="auto" w:line="360" w:before="100" w:after="140"/>
        <w:jc w:val="both"/>
        <w:rPr/>
      </w:pPr>
      <w:r>
        <w:rPr>
          <w:rFonts w:eastAsia="Times New Roman" w:cs="Times New Roman"/>
          <w:sz w:val="24"/>
          <w:szCs w:val="24"/>
        </w:rPr>
        <w:t>[9] Kuramoto, Y. (1984). Chemical Oscillations, Waves, and Turbulence. Springer.</w:t>
      </w:r>
    </w:p>
    <w:p>
      <w:pPr>
        <w:pStyle w:val="Normal"/>
        <w:spacing w:lineRule="auto" w:line="360" w:before="100" w:after="140"/>
        <w:jc w:val="both"/>
        <w:rPr/>
      </w:pPr>
      <w:r>
        <w:rPr>
          <w:rFonts w:eastAsia="Times New Roman" w:cs="Times New Roman"/>
          <w:sz w:val="24"/>
          <w:szCs w:val="24"/>
        </w:rPr>
        <w:t>[10] Chollet, F. (2019). On the Measure of Intelligence. arXiv: 1911.01547.</w:t>
      </w:r>
    </w:p>
    <w:p>
      <w:pPr>
        <w:pStyle w:val="Normal"/>
        <w:spacing w:lineRule="auto" w:line="360" w:before="100" w:after="140"/>
        <w:jc w:val="both"/>
        <w:rPr/>
      </w:pPr>
      <w:r>
        <w:rPr>
          <w:rFonts w:eastAsia="Times New Roman" w:cs="Times New Roman"/>
          <w:sz w:val="24"/>
          <w:szCs w:val="24"/>
        </w:rPr>
        <w:t>[11] Brown, T. et al. (2020). Language Models are Few-Shot Learners (GPT-3). NeurIPS.</w:t>
      </w:r>
    </w:p>
    <w:p>
      <w:pPr>
        <w:pStyle w:val="Normal"/>
        <w:spacing w:lineRule="auto" w:line="360" w:before="100" w:after="140"/>
        <w:jc w:val="both"/>
        <w:rPr/>
      </w:pPr>
      <w:r>
        <w:rPr>
          <w:rFonts w:eastAsia="Times New Roman" w:cs="Times New Roman"/>
          <w:sz w:val="24"/>
          <w:szCs w:val="24"/>
        </w:rPr>
        <w:t>[12] Kaplan, J. et al. (2020). Scaling Laws for Neural Language Models. arXiv: 2001.08361.</w:t>
      </w:r>
    </w:p>
    <w:p>
      <w:pPr>
        <w:pStyle w:val="Normal"/>
        <w:spacing w:lineRule="auto" w:line="360" w:before="100" w:after="140"/>
        <w:jc w:val="both"/>
        <w:rPr/>
      </w:pPr>
      <w:r>
        <w:rPr>
          <w:rFonts w:eastAsia="Times New Roman" w:cs="Times New Roman"/>
          <w:sz w:val="24"/>
          <w:szCs w:val="24"/>
        </w:rPr>
        <w:t>[13] Palmer, T.N. (2026). Rational Quantum Mechanics. PNAS.</w:t>
      </w:r>
    </w:p>
    <w:p>
      <w:pPr>
        <w:pStyle w:val="Normal"/>
        <w:spacing w:lineRule="auto" w:line="360" w:before="100" w:after="140"/>
        <w:jc w:val="both"/>
        <w:rPr/>
      </w:pPr>
      <w:r>
        <w:rPr>
          <w:rFonts w:eastAsia="Times New Roman" w:cs="Times New Roman"/>
          <w:sz w:val="24"/>
          <w:szCs w:val="24"/>
        </w:rPr>
        <w:t>[14] Penrose, R., Hameroff, S. (2014). Consciousness in the Universe: Orch OR. Physics of Life Reviews, 11(1).</w:t>
      </w:r>
    </w:p>
    <w:p>
      <w:pPr>
        <w:pStyle w:val="Normal"/>
        <w:spacing w:lineRule="auto" w:line="360" w:before="100" w:after="140"/>
        <w:jc w:val="both"/>
        <w:rPr/>
      </w:pPr>
      <w:r>
        <w:rPr>
          <w:rFonts w:eastAsia="Times New Roman" w:cs="Times New Roman"/>
          <w:sz w:val="24"/>
          <w:szCs w:val="24"/>
        </w:rPr>
        <w:t>[15] Ramose, M.B. (1999). African Philosophy Through Ubuntu. Mond Books.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roman"/>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pBdr>
        <w:bottom w:val="single" w:sz="6" w:space="4" w:color="1F4E79"/>
      </w:pBdr>
      <w:spacing w:before="360" w:after="180"/>
      <w:outlineLvl w:val="0"/>
    </w:pPr>
    <w:rPr>
      <w:rFonts w:ascii="Times New Roman" w:hAnsi="Times New Roman" w:eastAsia="Times New Roman" w:cs="Times New Roman"/>
      <w:b/>
      <w:bCs/>
      <w:color w:val="1F4E79"/>
      <w:sz w:val="30"/>
      <w:szCs w:val="30"/>
    </w:rPr>
  </w:style>
  <w:style w:type="paragraph" w:styleId="Heading2">
    <w:name w:val="Heading 2"/>
    <w:basedOn w:val="Heading"/>
    <w:qFormat/>
    <w:pPr>
      <w:spacing w:before="280" w:after="140"/>
      <w:outlineLvl w:val="1"/>
    </w:pPr>
    <w:rPr>
      <w:rFonts w:ascii="Times New Roman" w:hAnsi="Times New Roman" w:eastAsia="Times New Roman" w:cs="Times New Roman"/>
      <w:b/>
      <w:bCs/>
      <w:color w:val="2E74B5"/>
      <w:sz w:val="26"/>
      <w:szCs w:val="26"/>
    </w:rPr>
  </w:style>
  <w:style w:type="paragraph" w:styleId="Heading3">
    <w:name w:val="Heading 3"/>
    <w:basedOn w:val="Heading"/>
    <w:qFormat/>
    <w:pPr>
      <w:spacing w:before="220" w:after="100"/>
      <w:outlineLvl w:val="2"/>
    </w:pPr>
    <w:rPr>
      <w:rFonts w:ascii="Times New Roman" w:hAnsi="Times New Roman" w:eastAsia="Times New Roman" w:cs="Times New Roman"/>
      <w:b/>
      <w:bCs/>
      <w:color w:val="2E74B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14</Pages>
  <Words>3869</Words>
  <Characters>22541</Characters>
  <CharactersWithSpaces>26233</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2026-03-26T20:50:30Z</dcterms:created>
  <dc:creator>Un-named</dc:creator>
  <dc:description/>
  <dc:language>en-US</dc:language>
  <cp:lastModifiedBy/>
  <dcterms:modified xsi:type="dcterms:W3CDTF">2026-09-15T22:23:44Z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