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DOCUMENTACIÓN DE CONFIGURACIÓN Y SEGURIDAD</w:t>
      </w:r>
    </w:p>
    <w:p>
      <w:pPr>
        <w:jc w:val="center"/>
      </w:pPr>
      <w:r>
        <w:rPr>
          <w:b/>
          <w:color w:val="002F6C"/>
          <w:sz w:val="24"/>
        </w:rPr>
        <w:t>Caja de Herramientas para el Mejor Desempeño de los Proyectos</w:t>
      </w:r>
    </w:p>
    <w:p>
      <w:pPr>
        <w:jc w:val="center"/>
      </w:pPr>
      <w:r>
        <w:t>Variables, secretos, acceso y protección de datos</w:t>
        <w:br/>
        <w:t>Fuente técnica: oli_v6_deploy.py</w:t>
        <w:br/>
        <w:t>Actualizado: 30 de abril de 2026</w:t>
      </w:r>
    </w:p>
    <w:p/>
    <w:p>
      <w:pPr>
        <w:pStyle w:val="Heading1"/>
      </w:pPr>
      <w:r>
        <w:t>1. Configuración obligatoria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69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Valor esperado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Comando local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streamlit run oli_v6_deploy.py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Variable de IA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OPENAI_API_KEY disponible como variable de entorno.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Modo producción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STREAMLIT_ENV=production cuando las rutas se toman de st.secrets.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Directorio de ejecución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Directorio que contiene los Excel, CSV y .pt requeridos, salvo que se usen rutas de producción.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Dependencias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Instaladas desde requirements.txt.</w:t>
            </w:r>
          </w:p>
        </w:tc>
      </w:tr>
    </w:tbl>
    <w:p/>
    <w:p>
      <w:pPr>
        <w:pStyle w:val="Heading1"/>
      </w:pPr>
      <w:r>
        <w:t>2. Secretos y rutas</w:t>
      </w:r>
    </w:p>
    <w:p>
      <w:r>
        <w:t>El código lee OPENAI_API_KEY con os.getenv. En Streamlit Cloud u otro hosting, la clave debe exponerse como variable de entorno efectiva para el proceso Python.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259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Cuándo se usa</w:t>
            </w:r>
          </w:p>
        </w:tc>
        <w:tc>
          <w:tcPr>
            <w:tcW w:type="dxa" w:w="432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Contenido esperado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Producción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accesible a df_complete_all_full.xlsx.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df_raw_path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Producción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accesible a df_split_actions.xlsx.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Producción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accesible a emb_Recomm_rec_cl_4.pt.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structured_embeddings_path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Producción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accesible a Recommendation_RAG_Metadata.pt.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Producción opcional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accesible a analyzed_recommendations_plans_v5.csv.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lessons_embeddings_path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Producción para lecciones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accesible a emb_LL_ll_cl_4.pt.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structured_lessons_path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Producción para lecciones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Ruta accesible a lessons_metadata.pt.</w:t>
            </w:r>
          </w:p>
        </w:tc>
      </w:tr>
    </w:tbl>
    <w:p/>
    <w:p>
      <w:pPr>
        <w:pStyle w:val="Heading1"/>
      </w:pPr>
      <w:r>
        <w:t>3. Control de acceso</w:t>
      </w:r>
    </w:p>
    <w:p>
      <w:r>
        <w:t>oli_v6_deploy.py no implementa usuarios, roles, contraseñas ni permisos por funcionalidad. El control de acceso debe aplicarse fuera de la app, en Streamlit Cloud, servidor institucional, proxy, red privada o mecanismo equivalente.</w:t>
      </w:r>
    </w:p>
    <w:p>
      <w:pPr>
        <w:pStyle w:val="ListBullet"/>
      </w:pPr>
      <w:r>
        <w:t>Solo usuarios autorizados deben poder abrir la aplicación.</w:t>
      </w:r>
    </w:p>
    <w:p>
      <w:pPr>
        <w:pStyle w:val="ListBullet"/>
      </w:pPr>
      <w:r>
        <w:t>El repositorio y los archivos de datos deben tener permisos separados: lectura para operación, escritura solo para mantenimiento.</w:t>
      </w:r>
    </w:p>
    <w:p>
      <w:pPr>
        <w:pStyle w:val="ListBullet"/>
      </w:pPr>
      <w:r>
        <w:t>El acceso a OPENAI_API_KEY debe limitarse al entorno de ejecución y administradores técnicos.</w:t>
      </w:r>
    </w:p>
    <w:p>
      <w:pPr>
        <w:pStyle w:val="ListBullet"/>
      </w:pPr>
      <w:r>
        <w:t>Las descargas generadas por la app son responsabilidad del usuario que las produce.</w:t>
      </w:r>
    </w:p>
    <w:p>
      <w:pPr>
        <w:pStyle w:val="Heading1"/>
      </w:pPr>
      <w:r>
        <w:t>4. Seguridad de datos</w:t>
      </w:r>
    </w:p>
    <w:p>
      <w:pPr>
        <w:pStyle w:val="ListBullet"/>
      </w:pPr>
      <w:r>
        <w:t>Los documentos subidos se procesan en memoria y mediante archivos temporales; los temporales se eliminan al finalizar la extracción cuando el flujo llega a limpieza.</w:t>
      </w:r>
    </w:p>
    <w:p>
      <w:pPr>
        <w:pStyle w:val="ListBullet"/>
      </w:pPr>
      <w:r>
        <w:t>El contenido de documentos, preguntas y evidencias puede enviarse a OpenAI para generar evaluaciones y respuestas.</w:t>
      </w:r>
    </w:p>
    <w:p>
      <w:pPr>
        <w:pStyle w:val="ListBullet"/>
      </w:pPr>
      <w:r>
        <w:t>st.session_state conserva texto extraído y resultados durante la sesión activa.</w:t>
      </w:r>
    </w:p>
    <w:p>
      <w:pPr>
        <w:pStyle w:val="ListBullet"/>
      </w:pPr>
      <w:r>
        <w:t>Los archivos descargables XLSX/ZIP pueden contener citas textuales, razonamientos y evidencia del documento fuente.</w:t>
      </w:r>
    </w:p>
    <w:p>
      <w:pPr>
        <w:pStyle w:val="ListBullet"/>
      </w:pPr>
      <w:r>
        <w:t>La aplicación no cifra salidas locales ni implementa retención de datos; estas políticas deben definirse en el entorno institucional.</w:t>
      </w:r>
    </w:p>
    <w:p>
      <w:pPr>
        <w:pStyle w:val="Heading1"/>
      </w:pPr>
      <w:r>
        <w:t>5. Parámetros de operación segura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Parámetro</w:t>
            </w:r>
          </w:p>
        </w:tc>
        <w:tc>
          <w:tcPr>
            <w:tcW w:type="dxa" w:w="23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Valor en código</w:t>
            </w:r>
          </w:p>
        </w:tc>
        <w:tc>
          <w:tcPr>
            <w:tcW w:type="dxa" w:w="432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Impacto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MAX_WORKERS global para valoración preliminar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48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Alta concurrencia para preguntas; puede exigir límites de API suficientes.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MAX_WORKERS Tab 2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Reduce riesgo de rate limit en evaluación por rúbricas.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MAX_WORKERS Tab 3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Procesa criterios de sostenibilidad en paralelo.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Chat RAG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&gt;100,000 caracteres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Evita enviar documentos grandes completos en cada consulta.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Token limit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110,000 tokens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Recorta documentos muy extensos antes de llamar al modelo.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 batch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20 textos por lote lógico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Controla generación de embeddings de recomendaciones únicas.</w:t>
            </w:r>
          </w:p>
        </w:tc>
      </w:tr>
    </w:tbl>
    <w:p/>
    <w:p>
      <w:pPr>
        <w:pStyle w:val="Heading1"/>
      </w:pPr>
      <w:r>
        <w:t>6. Lista de verificación antes de producción</w:t>
      </w:r>
    </w:p>
    <w:p>
      <w:pPr>
        <w:pStyle w:val="ListBullet"/>
      </w:pPr>
      <w:r>
        <w:t>Confirmar que OPENAI_API_KEY existe en el proceso runtime y que la cuenta tiene presupuesto suficiente.</w:t>
      </w:r>
    </w:p>
    <w:p>
      <w:pPr>
        <w:pStyle w:val="ListBullet"/>
      </w:pPr>
      <w:r>
        <w:t>Confirmar que todos los archivos de datos obligatorios abren con pandas/torch en el entorno de producción.</w:t>
      </w:r>
    </w:p>
    <w:p>
      <w:pPr>
        <w:pStyle w:val="ListBullet"/>
      </w:pPr>
      <w:r>
        <w:t>Configurar acceso privado a la app en el hosting.</w:t>
      </w:r>
    </w:p>
    <w:p>
      <w:pPr>
        <w:pStyle w:val="ListBullet"/>
      </w:pPr>
      <w:r>
        <w:t>Ejecutar una prueba por pestaña con documentos no sensibles.</w:t>
      </w:r>
    </w:p>
    <w:p>
      <w:pPr>
        <w:pStyle w:val="ListBullet"/>
      </w:pPr>
      <w:r>
        <w:t>Verificar que las descargas se generan, se abren y no exponen más información de la necesaria.</w:t>
      </w:r>
    </w:p>
    <w:p>
      <w:pPr>
        <w:pStyle w:val="ListBullet"/>
      </w:pPr>
      <w:r>
        <w:t>Documentar internamente quién puede reemplazar archivos de datos y quién puede desplegar código.</w:t>
      </w:r>
    </w:p>
    <w:p>
      <w:pPr>
        <w:pStyle w:val="Heading1"/>
      </w:pPr>
      <w:r>
        <w:t>7. Respuesta a incidentes</w:t>
      </w:r>
    </w:p>
    <w:p>
      <w:pPr>
        <w:ind w:left="360" w:hanging="360"/>
      </w:pPr>
      <w:r>
        <w:t>1. Deshabilitar el acceso externo a la app desde el hosting o proxy.</w:t>
      </w:r>
    </w:p>
    <w:p>
      <w:pPr>
        <w:ind w:left="360" w:hanging="360"/>
      </w:pPr>
      <w:r>
        <w:t>2. Revocar y rotar OPENAI_API_KEY si se sospecha exposición.</w:t>
      </w:r>
    </w:p>
    <w:p>
      <w:pPr>
        <w:ind w:left="360" w:hanging="360"/>
      </w:pPr>
      <w:r>
        <w:t>3. Conservar copias de archivos descargados o logs disponibles solo si la política institucional lo permite.</w:t>
      </w:r>
    </w:p>
    <w:p>
      <w:pPr>
        <w:ind w:left="360" w:hanging="360"/>
      </w:pPr>
      <w:r>
        <w:t>4. Restaurar archivos de datos desde respaldo verificado.</w:t>
      </w:r>
    </w:p>
    <w:p>
      <w:pPr>
        <w:ind w:left="360" w:hanging="360"/>
      </w:pPr>
      <w:r>
        <w:t>5. Reactivar la app después de una prueba completa de Tabs 1 a 6.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