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F6C"/>
          <w:sz w:val="40"/>
        </w:rPr>
        <w:t>INFORMACIÓN ADICIONAL DE CIERRE</w:t>
      </w:r>
    </w:p>
    <w:p>
      <w:pPr>
        <w:jc w:val="center"/>
      </w:pPr>
      <w:r>
        <w:rPr>
          <w:b/>
          <w:color w:val="002F6C"/>
          <w:sz w:val="24"/>
        </w:rPr>
        <w:t>Caja de Herramientas para el Mejor Desempeño de los Proyectos</w:t>
      </w:r>
    </w:p>
    <w:p>
      <w:pPr>
        <w:jc w:val="center"/>
      </w:pPr>
      <w:r>
        <w:t>Contacto, mantenimiento y recomendaciones futuras</w:t>
        <w:br/>
        <w:t>Fuente técnica: oli_v6_deploy.py</w:t>
        <w:br/>
        <w:t>Actualizado: 30 de abril de 2026</w:t>
      </w:r>
    </w:p>
    <w:p/>
    <w:p>
      <w:pPr>
        <w:pStyle w:val="Heading1"/>
      </w:pPr>
      <w:r>
        <w:t>1. Transferencia operativa</w:t>
      </w:r>
    </w:p>
    <w:p>
      <w:r>
        <w:t>La operación diaria debe quedar en manos del equipo ILO. El desarrollador original queda como soporte de último recurso para dudas técnicas que no puedan resolverse con esta documentación, revisión del código y pruebas locales.</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002F6C"/>
          </w:tcPr>
          <w:p>
            <w:pPr>
              <w:spacing w:after="60"/>
            </w:pPr>
            <w:r/>
            <w:r>
              <w:rPr>
                <w:b/>
                <w:color w:val="FFFFFF"/>
              </w:rPr>
              <w:t>Rol</w:t>
            </w:r>
          </w:p>
        </w:tc>
        <w:tc>
          <w:tcPr>
            <w:tcW w:type="dxa" w:w="6768"/>
            <w:vAlign w:val="top"/>
            <w:shd w:fill="002F6C"/>
          </w:tcPr>
          <w:p>
            <w:pPr>
              <w:spacing w:after="60"/>
            </w:pPr>
            <w:r/>
            <w:r>
              <w:rPr>
                <w:b/>
                <w:color w:val="FFFFFF"/>
              </w:rPr>
              <w:t>Responsabilidad</w:t>
            </w:r>
          </w:p>
        </w:tc>
      </w:tr>
      <w:tr>
        <w:tc>
          <w:tcPr>
            <w:tcW w:type="dxa" w:w="3024"/>
            <w:vAlign w:val="top"/>
          </w:tcPr>
          <w:p>
            <w:pPr>
              <w:spacing w:after="60"/>
            </w:pPr>
            <w:r/>
            <w:r>
              <w:rPr>
                <w:b w:val="0"/>
              </w:rPr>
              <w:t>Equipo ILO propietario</w:t>
            </w:r>
          </w:p>
        </w:tc>
        <w:tc>
          <w:tcPr>
            <w:tcW w:type="dxa" w:w="6768"/>
            <w:vAlign w:val="top"/>
          </w:tcPr>
          <w:p>
            <w:pPr>
              <w:spacing w:after="60"/>
            </w:pPr>
            <w:r/>
            <w:r>
              <w:rPr>
                <w:b w:val="0"/>
              </w:rPr>
              <w:t>Administrar acceso, datos, ejecución, resultados y decisiones metodológicas.</w:t>
            </w:r>
          </w:p>
        </w:tc>
      </w:tr>
      <w:tr>
        <w:tc>
          <w:tcPr>
            <w:tcW w:type="dxa" w:w="3024"/>
            <w:vAlign w:val="top"/>
          </w:tcPr>
          <w:p>
            <w:pPr>
              <w:spacing w:after="60"/>
            </w:pPr>
            <w:r/>
            <w:r>
              <w:rPr>
                <w:b w:val="0"/>
              </w:rPr>
              <w:t>Administrador técnico ILO</w:t>
            </w:r>
          </w:p>
        </w:tc>
        <w:tc>
          <w:tcPr>
            <w:tcW w:type="dxa" w:w="6768"/>
            <w:vAlign w:val="top"/>
          </w:tcPr>
          <w:p>
            <w:pPr>
              <w:spacing w:after="60"/>
            </w:pPr>
            <w:r/>
            <w:r>
              <w:rPr>
                <w:b w:val="0"/>
              </w:rPr>
              <w:t>Gestionar despliegue, variables de entorno, archivos de datos y respaldos.</w:t>
            </w:r>
          </w:p>
        </w:tc>
      </w:tr>
      <w:tr>
        <w:tc>
          <w:tcPr>
            <w:tcW w:type="dxa" w:w="3024"/>
            <w:vAlign w:val="top"/>
          </w:tcPr>
          <w:p>
            <w:pPr>
              <w:spacing w:after="60"/>
            </w:pPr>
            <w:r/>
            <w:r>
              <w:rPr>
                <w:b w:val="0"/>
              </w:rPr>
              <w:t>Usuarios analistas</w:t>
            </w:r>
          </w:p>
        </w:tc>
        <w:tc>
          <w:tcPr>
            <w:tcW w:type="dxa" w:w="6768"/>
            <w:vAlign w:val="top"/>
          </w:tcPr>
          <w:p>
            <w:pPr>
              <w:spacing w:after="60"/>
            </w:pPr>
            <w:r/>
            <w:r>
              <w:rPr>
                <w:b w:val="0"/>
              </w:rPr>
              <w:t>Ejecutar flujos, revisar evidencia, descargar resultados y aplicar juicio técnico.</w:t>
            </w:r>
          </w:p>
        </w:tc>
      </w:tr>
      <w:tr>
        <w:tc>
          <w:tcPr>
            <w:tcW w:type="dxa" w:w="3024"/>
            <w:vAlign w:val="top"/>
          </w:tcPr>
          <w:p>
            <w:pPr>
              <w:spacing w:after="60"/>
            </w:pPr>
            <w:r/>
            <w:r>
              <w:rPr>
                <w:b w:val="0"/>
              </w:rPr>
              <w:t>Desarrollador original</w:t>
            </w:r>
          </w:p>
        </w:tc>
        <w:tc>
          <w:tcPr>
            <w:tcW w:type="dxa" w:w="6768"/>
            <w:vAlign w:val="top"/>
          </w:tcPr>
          <w:p>
            <w:pPr>
              <w:spacing w:after="60"/>
            </w:pPr>
            <w:r/>
            <w:r>
              <w:rPr>
                <w:b w:val="0"/>
              </w:rPr>
              <w:t>Soporte excepcional para arquitectura, debugging complejo o cambios que excedan mantenimiento ordinario.</w:t>
            </w:r>
          </w:p>
        </w:tc>
      </w:tr>
    </w:tbl>
    <w:p/>
    <w:p>
      <w:pPr>
        <w:pStyle w:val="Heading1"/>
      </w:pPr>
      <w:r>
        <w:t>2. Contacto de último recurso</w:t>
      </w:r>
    </w:p>
    <w:p>
      <w:pPr>
        <w:pStyle w:val="ListBullet"/>
      </w:pPr>
      <w:r>
        <w:t>Canal heredado de la documentación previa: ageidv@gmail.com.</w:t>
      </w:r>
    </w:p>
    <w:p>
      <w:pPr>
        <w:pStyle w:val="ListBullet"/>
      </w:pPr>
      <w:r>
        <w:t>Uso recomendado: solo después de reproducir el problema localmente, revisar logs/mensajes de la app y aislar la pestaña o función afectada.</w:t>
      </w:r>
    </w:p>
    <w:p>
      <w:pPr>
        <w:pStyle w:val="ListBullet"/>
      </w:pPr>
      <w:r>
        <w:t>Incluir al contactar: fecha, pestaña, archivo de entrada no sensible o muestra, pasos para reproducir, mensaje de error y captura de pantalla si la política interna lo permite.</w:t>
      </w:r>
    </w:p>
    <w:p>
      <w:pPr>
        <w:pStyle w:val="Heading1"/>
      </w:pPr>
      <w:r>
        <w:t>3. Rutina de mantenimiento</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002F6C"/>
          </w:tcPr>
          <w:p>
            <w:pPr>
              <w:spacing w:after="60"/>
            </w:pPr>
            <w:r/>
            <w:r>
              <w:rPr>
                <w:b/>
                <w:color w:val="FFFFFF"/>
              </w:rPr>
              <w:t>Frecuencia</w:t>
            </w:r>
          </w:p>
        </w:tc>
        <w:tc>
          <w:tcPr>
            <w:tcW w:type="dxa" w:w="6624"/>
            <w:vAlign w:val="top"/>
            <w:shd w:fill="002F6C"/>
          </w:tcPr>
          <w:p>
            <w:pPr>
              <w:spacing w:after="60"/>
            </w:pPr>
            <w:r/>
            <w:r>
              <w:rPr>
                <w:b/>
                <w:color w:val="FFFFFF"/>
              </w:rPr>
              <w:t>Actividad</w:t>
            </w:r>
          </w:p>
        </w:tc>
      </w:tr>
      <w:tr>
        <w:tc>
          <w:tcPr>
            <w:tcW w:type="dxa" w:w="3168"/>
            <w:vAlign w:val="top"/>
          </w:tcPr>
          <w:p>
            <w:pPr>
              <w:spacing w:after="60"/>
            </w:pPr>
            <w:r/>
            <w:r>
              <w:rPr>
                <w:b w:val="0"/>
              </w:rPr>
              <w:t>Semanal durante operación activa</w:t>
            </w:r>
          </w:p>
        </w:tc>
        <w:tc>
          <w:tcPr>
            <w:tcW w:type="dxa" w:w="6624"/>
            <w:vAlign w:val="top"/>
          </w:tcPr>
          <w:p>
            <w:pPr>
              <w:spacing w:after="60"/>
            </w:pPr>
            <w:r/>
            <w:r>
              <w:rPr>
                <w:b w:val="0"/>
              </w:rPr>
              <w:t>Confirmar que la app abre, OPENAI_API_KEY funciona y un documento de prueba procesa en Tab 4.</w:t>
            </w:r>
          </w:p>
        </w:tc>
      </w:tr>
      <w:tr>
        <w:tc>
          <w:tcPr>
            <w:tcW w:type="dxa" w:w="3168"/>
            <w:vAlign w:val="top"/>
          </w:tcPr>
          <w:p>
            <w:pPr>
              <w:spacing w:after="60"/>
            </w:pPr>
            <w:r/>
            <w:r>
              <w:rPr>
                <w:b w:val="0"/>
              </w:rPr>
              <w:t>Mensual</w:t>
            </w:r>
          </w:p>
        </w:tc>
        <w:tc>
          <w:tcPr>
            <w:tcW w:type="dxa" w:w="6624"/>
            <w:vAlign w:val="top"/>
          </w:tcPr>
          <w:p>
            <w:pPr>
              <w:spacing w:after="60"/>
            </w:pPr>
            <w:r/>
            <w:r>
              <w:rPr>
                <w:b w:val="0"/>
              </w:rPr>
              <w:t>Probar una muestra en Tabs 1, 2, 3, 5 y 6; verificar que descargas abren.</w:t>
            </w:r>
          </w:p>
        </w:tc>
      </w:tr>
      <w:tr>
        <w:tc>
          <w:tcPr>
            <w:tcW w:type="dxa" w:w="3168"/>
            <w:vAlign w:val="top"/>
          </w:tcPr>
          <w:p>
            <w:pPr>
              <w:spacing w:after="60"/>
            </w:pPr>
            <w:r/>
            <w:r>
              <w:rPr>
                <w:b w:val="0"/>
              </w:rPr>
              <w:t>Antes de cada actualización de datos</w:t>
            </w:r>
          </w:p>
        </w:tc>
        <w:tc>
          <w:tcPr>
            <w:tcW w:type="dxa" w:w="6624"/>
            <w:vAlign w:val="top"/>
          </w:tcPr>
          <w:p>
            <w:pPr>
              <w:spacing w:after="60"/>
            </w:pPr>
            <w:r/>
            <w:r>
              <w:rPr>
                <w:b w:val="0"/>
              </w:rPr>
              <w:t>Respaldar Excel, CSV, .pt y cachés relevantes.</w:t>
            </w:r>
          </w:p>
        </w:tc>
      </w:tr>
      <w:tr>
        <w:tc>
          <w:tcPr>
            <w:tcW w:type="dxa" w:w="3168"/>
            <w:vAlign w:val="top"/>
          </w:tcPr>
          <w:p>
            <w:pPr>
              <w:spacing w:after="60"/>
            </w:pPr>
            <w:r/>
            <w:r>
              <w:rPr>
                <w:b w:val="0"/>
              </w:rPr>
              <w:t>Después de cada actualización de código</w:t>
            </w:r>
          </w:p>
        </w:tc>
        <w:tc>
          <w:tcPr>
            <w:tcW w:type="dxa" w:w="6624"/>
            <w:vAlign w:val="top"/>
          </w:tcPr>
          <w:p>
            <w:pPr>
              <w:spacing w:after="60"/>
            </w:pPr>
            <w:r/>
            <w:r>
              <w:rPr>
                <w:b w:val="0"/>
              </w:rPr>
              <w:t>Ejecutar pruebas manuales por pestaña y test_two_part_parsing.py si cambió lógica de preguntas.</w:t>
            </w:r>
          </w:p>
        </w:tc>
      </w:tr>
      <w:tr>
        <w:tc>
          <w:tcPr>
            <w:tcW w:type="dxa" w:w="3168"/>
            <w:vAlign w:val="top"/>
          </w:tcPr>
          <w:p>
            <w:pPr>
              <w:spacing w:after="60"/>
            </w:pPr>
            <w:r/>
            <w:r>
              <w:rPr>
                <w:b w:val="0"/>
              </w:rPr>
              <w:t>Cada 6-12 meses</w:t>
            </w:r>
          </w:p>
        </w:tc>
        <w:tc>
          <w:tcPr>
            <w:tcW w:type="dxa" w:w="6624"/>
            <w:vAlign w:val="top"/>
          </w:tcPr>
          <w:p>
            <w:pPr>
              <w:spacing w:after="60"/>
            </w:pPr>
            <w:r/>
            <w:r>
              <w:rPr>
                <w:b w:val="0"/>
              </w:rPr>
              <w:t>Revisar modelos OpenAI, costos, límites, dependencias y compatibilidad de Streamlit.</w:t>
            </w:r>
          </w:p>
        </w:tc>
      </w:tr>
    </w:tbl>
    <w:p/>
    <w:p>
      <w:pPr>
        <w:pStyle w:val="Heading1"/>
      </w:pPr>
      <w:r>
        <w:t>4. Recomendaciones para futuras actualizaciones</w:t>
      </w:r>
    </w:p>
    <w:p>
      <w:pPr>
        <w:pStyle w:val="ListBullet"/>
      </w:pPr>
      <w:r>
        <w:t>Separar gradualmente el monolito en módulos: carga de datos, extracción documental, clientes IA, evaluación y UI.</w:t>
      </w:r>
    </w:p>
    <w:p>
      <w:pPr>
        <w:pStyle w:val="ListBullet"/>
      </w:pPr>
      <w:r>
        <w:t>Eliminar bloques comentados obsoletos después de confirmar que no son necesarios.</w:t>
      </w:r>
    </w:p>
    <w:p>
      <w:pPr>
        <w:pStyle w:val="ListBullet"/>
      </w:pPr>
      <w:r>
        <w:t>Consolidar la doble inicialización de load_extended_data y load_embeddings.</w:t>
      </w:r>
    </w:p>
    <w:p>
      <w:pPr>
        <w:pStyle w:val="ListBullet"/>
      </w:pPr>
      <w:r>
        <w:t>Agregar pruebas unitarias para parse_two_part_question, _apply_critic_gate_and_render, clasificación y exportación XLSX.</w:t>
      </w:r>
    </w:p>
    <w:p>
      <w:pPr>
        <w:pStyle w:val="ListBullet"/>
      </w:pPr>
      <w:r>
        <w:t>Agregar pruebas unitarias para detect_transversal_matter y _apply_transversal_gate_and_render si la regla A/B se vuelve crítica para reportes institucionales.</w:t>
      </w:r>
    </w:p>
    <w:p>
      <w:pPr>
        <w:pStyle w:val="ListBullet"/>
      </w:pPr>
      <w:r>
        <w:t>Crear un set pequeño de documentos de prueba no sensibles para validación reproducible.</w:t>
      </w:r>
    </w:p>
    <w:p>
      <w:pPr>
        <w:pStyle w:val="ListBullet"/>
      </w:pPr>
      <w:r>
        <w:t>Documentar cambios de esquema de cada Excel junto con fecha y responsable ILO.</w:t>
      </w:r>
    </w:p>
    <w:p>
      <w:pPr>
        <w:pStyle w:val="ListBullet"/>
      </w:pPr>
      <w:r>
        <w:t>Si se mantienen las variantes core y recommendations, sincronizar cambios desde oli_v6_deploy.py y probar cada variante por separado.</w:t>
      </w:r>
    </w:p>
    <w:p>
      <w:pPr>
        <w:pStyle w:val="Heading1"/>
      </w:pPr>
      <w:r>
        <w:t>5. Recomendaciones de IA y costos</w:t>
      </w:r>
    </w:p>
    <w:p>
      <w:pPr>
        <w:pStyle w:val="ListBullet"/>
      </w:pPr>
      <w:r>
        <w:t>Mantener gpt-5-mini como modelo principal mientras sus resultados sean consistentes con validación humana.</w:t>
      </w:r>
    </w:p>
    <w:p>
      <w:pPr>
        <w:pStyle w:val="ListBullet"/>
      </w:pPr>
      <w:r>
        <w:t>Usar LLM Verification en clasificación solo para subconjuntos donde la precisión adicional justifique costo y tiempo.</w:t>
      </w:r>
    </w:p>
    <w:p>
      <w:pPr>
        <w:pStyle w:val="ListBullet"/>
      </w:pPr>
      <w:r>
        <w:t>Usar filtros previos y límites de filas antes de análisis profundo de recomendaciones.</w:t>
      </w:r>
    </w:p>
    <w:p>
      <w:pPr>
        <w:pStyle w:val="ListBullet"/>
      </w:pPr>
      <w:r>
        <w:t>Conservar cachés embeddings_cache.pkl y analysis_cache.pkl cuando se procesan lotes recurrentes; eliminarlos solo si se sospecha corrupción o cambio sustantivo de datos.</w:t>
      </w:r>
    </w:p>
    <w:p>
      <w:pPr>
        <w:pStyle w:val="ListBullet"/>
      </w:pPr>
      <w:r>
        <w:t>Revisar si el índice FAISS de recomendaciones cargado por load_embeddings sigue siendo necesario en la app principal, porque la interfaz activa de búsqueda de recomendaciones está comentada y las pestañas de clasificación no lo usan.</w:t>
      </w:r>
    </w:p>
    <w:p>
      <w:pPr>
        <w:pStyle w:val="ListBullet"/>
      </w:pPr>
      <w:r>
        <w:t>Registrar internamente estimaciones de costo por flujo con generate_cost_report.py si se institucionaliza uso frecuente.</w:t>
      </w:r>
    </w:p>
    <w:p>
      <w:pPr>
        <w:pStyle w:val="Heading1"/>
      </w:pPr>
      <w:r>
        <w:t>6. Criterios de aceptación de cambios</w:t>
      </w:r>
    </w:p>
    <w:p>
      <w:pPr>
        <w:pStyle w:val="ListBullet"/>
      </w:pPr>
      <w:r>
        <w:t>La app inicia sin errores con streamlit run oli_v6_deploy.py.</w:t>
      </w:r>
    </w:p>
    <w:p>
      <w:pPr>
        <w:pStyle w:val="ListBullet"/>
      </w:pPr>
      <w:r>
        <w:t>Tab 1 procesa un DOCX de prueba, genera tabla y descarga ZIP.</w:t>
      </w:r>
    </w:p>
    <w:p>
      <w:pPr>
        <w:pStyle w:val="ListBullet"/>
      </w:pPr>
      <w:r>
        <w:t>Tab 1 reconoce al menos un tema transversal y muestra la línea de auditoría de criterios transversales A/B en el razonamiento.</w:t>
      </w:r>
    </w:p>
    <w:p>
      <w:pPr>
        <w:pStyle w:val="ListBullet"/>
      </w:pPr>
      <w:r>
        <w:t>Tab 2 evalúa al menos un criterio seleccionado y descarga ZIP.</w:t>
      </w:r>
    </w:p>
    <w:p>
      <w:pPr>
        <w:pStyle w:val="ListBullet"/>
      </w:pPr>
      <w:r>
        <w:t>Tab 3 genera resultados y gráficos para una muestra.</w:t>
      </w:r>
    </w:p>
    <w:p>
      <w:pPr>
        <w:pStyle w:val="ListBullet"/>
      </w:pPr>
      <w:r>
        <w:t>Tab 4 responde sobre un TXT pequeño y un DOCX grande.</w:t>
      </w:r>
    </w:p>
    <w:p>
      <w:pPr>
        <w:pStyle w:val="ListBullet"/>
      </w:pPr>
      <w:r>
        <w:t>Tabs 5 y 6 clasifican una muestra limitada y muestran treemaps.</w:t>
      </w:r>
    </w:p>
    <w:p>
      <w:pPr>
        <w:pStyle w:val="ListBullet"/>
      </w:pPr>
      <w:r>
        <w:t>No aparecen campos por completar, credenciales reales ni rutas personales innecesarias en documentación de entrega.</w:t>
      </w:r>
    </w:p>
    <w:p>
      <w:pPr>
        <w:pStyle w:val="Heading1"/>
      </w:pPr>
      <w:r>
        <w:t>7. Paquete mínimo de handoff</w:t>
      </w:r>
    </w:p>
    <w:p>
      <w:pPr>
        <w:pStyle w:val="ListBullet"/>
      </w:pPr>
      <w:r>
        <w:t>Código principal: oli_v6_deploy.py.</w:t>
      </w:r>
    </w:p>
    <w:p>
      <w:pPr>
        <w:pStyle w:val="ListBullet"/>
      </w:pPr>
      <w:r>
        <w:t>Dependencias: requirements.txt.</w:t>
      </w:r>
    </w:p>
    <w:p>
      <w:pPr>
        <w:pStyle w:val="ListBullet"/>
      </w:pPr>
      <w:r>
        <w:t>Documentación actualizada: los seis archivos DOCX en documentation.</w:t>
      </w:r>
    </w:p>
    <w:p>
      <w:pPr>
        <w:pStyle w:val="ListBullet"/>
      </w:pPr>
      <w:r>
        <w:t>Datos y rúbricas activos listados en la documentación de base de datos.</w:t>
      </w:r>
    </w:p>
    <w:p>
      <w:pPr>
        <w:pStyle w:val="ListBullet"/>
      </w:pPr>
      <w:r>
        <w:t>Instrucciones internas de despliegue del hosting elegido por ILO.</w:t>
      </w:r>
    </w:p>
    <w:p>
      <w:pPr>
        <w:pStyle w:val="ListBullet"/>
      </w:pPr>
      <w:r>
        <w:t>Registro ILO de responsables de acceso, datos y despliegue.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2F6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2C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2F6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