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F6C"/>
          <w:sz w:val="40"/>
        </w:rPr>
        <w:t>DOCUMENTACIÓN DEL CÓDIGO FUENTE</w:t>
      </w:r>
    </w:p>
    <w:p>
      <w:pPr>
        <w:jc w:val="center"/>
      </w:pPr>
      <w:r>
        <w:rPr>
          <w:b/>
          <w:color w:val="002F6C"/>
          <w:sz w:val="24"/>
        </w:rPr>
        <w:t>Caja de Herramientas para el Mejor Desempeño de los Proyectos</w:t>
      </w:r>
    </w:p>
    <w:p>
      <w:pPr>
        <w:jc w:val="center"/>
      </w:pPr>
      <w:r>
        <w:t>Guía de mantenimiento para la app principal</w:t>
        <w:br/>
        <w:t>Fuente técnica: oli_v6_deploy.py</w:t>
        <w:br/>
        <w:t>Actualizado: 11 de mayo de 2026</w:t>
      </w:r>
    </w:p>
    <w:p/>
    <w:p>
      <w:pPr>
        <w:pStyle w:val="Heading1"/>
      </w:pPr>
      <w:r>
        <w:t>1. Alcance del código fuente</w:t>
      </w:r>
    </w:p>
    <w:p>
      <w:r>
        <w:t>El código documentado es oli_v6_deploy.py. Las variantes oli_v6_deploy_core.py y oli_v6_deploy_recommendations.py existen en el proyecto, pero esta documentación no infiere comportamiento desde ellas.</w:t>
      </w:r>
    </w:p>
    <w:p>
      <w:r>
        <w:t>Regla de mantenimiento: cuando se cambie la app principal, revisar si el mismo cambio debe propagarse a las variantes separadas antes de entregar una versión operativa al equipo ILO.</w:t>
      </w:r>
    </w:p>
    <w:p>
      <w:pPr>
        <w:pStyle w:val="Heading1"/>
      </w:pPr>
      <w:r>
        <w:t>2. Estructura relevante del directorio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88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590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Rol operativo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oli_v6_deploy.py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Aplicación Streamlit principal y fuente de verdad para esta documentación.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requirements.txt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Dependencias Python usadas por la app.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df_complete_all_full.xlsx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Dataset principal de recomendaciones enriquecidas.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df_split_actions.xlsx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Dataset crudo/desagregado usado para recomendaciones y años.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analyzed_recommendations_plans_v5.csv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Análisis adicional de recomendaciones y planes; separador pipe.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emb_Recomm_rec_cl_4.pt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 de recomendaciones cargados en arranque para el índice FAISS.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Recommendation_RAG_Metadata.pt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Metadatos alineados al embedding de recomendaciones cargado en arranque.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Appraisal Checklist_2025 es-419.xlsx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Preguntas de valoración preliminar, hoja rubric.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Rubricas_6ago2025.xlsx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Rúbricas de atributos específicos usadas por Tab 2.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Evaluación de sostenibilidad del proyecto_rubric_9feb26.xlsx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Rúbrica activa de sostenibilidad para Tab 3.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Recommendations_World.xlsx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Recomendaciones mundiales para clasificación en Tabs 5 y 6.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Frame_Recommendations_English.xlsx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Marco de dimensiones/subdimensiones para clasificación.</w:t>
            </w:r>
          </w:p>
        </w:tc>
      </w:tr>
    </w:tbl>
    <w:p/>
    <w:p>
      <w:pPr>
        <w:pStyle w:val="Heading1"/>
      </w:pPr>
      <w:r>
        <w:t>3. Instalación local</w:t>
      </w:r>
    </w:p>
    <w:p>
      <w:pPr>
        <w:ind w:left="360" w:hanging="360"/>
      </w:pPr>
      <w:r>
        <w:t>1. Usar Python compatible con las dependencias fijadas del proyecto.</w:t>
      </w:r>
    </w:p>
    <w:p>
      <w:pPr>
        <w:ind w:left="360" w:hanging="360"/>
      </w:pPr>
      <w:r>
        <w:t>2. Crear y activar un entorno virtual.</w:t>
      </w:r>
    </w:p>
    <w:p>
      <w:pPr>
        <w:ind w:left="360" w:hanging="360"/>
      </w:pPr>
      <w:r>
        <w:t>3. Instalar dependencias con pip install -r requirements.txt.</w:t>
      </w:r>
    </w:p>
    <w:p>
      <w:pPr>
        <w:ind w:left="360" w:hanging="360"/>
      </w:pPr>
      <w:r>
        <w:t>4. Configurar OPENAI_API_KEY como variable de entorno.</w:t>
      </w:r>
    </w:p>
    <w:p>
      <w:pPr>
        <w:ind w:left="360" w:hanging="360"/>
      </w:pPr>
      <w:r>
        <w:t>5. Ejecutar streamlit run oli_v6_deploy.py desde el directorio del proyecto.</w:t>
      </w:r>
    </w:p>
    <w:p>
      <w:pPr>
        <w:spacing w:after="0"/>
      </w:pPr>
      <w:r>
        <w:rPr>
          <w:rFonts w:ascii="Courier New" w:hAnsi="Courier New"/>
          <w:sz w:val="18"/>
        </w:rPr>
        <w:t>python -m venv .venv</w:t>
      </w:r>
    </w:p>
    <w:p>
      <w:pPr>
        <w:spacing w:after="0"/>
      </w:pPr>
      <w:r>
        <w:rPr>
          <w:rFonts w:ascii="Courier New" w:hAnsi="Courier New"/>
          <w:sz w:val="18"/>
        </w:rPr>
        <w:t>source .venv/bin/activate</w:t>
      </w:r>
    </w:p>
    <w:p>
      <w:pPr>
        <w:spacing w:after="0"/>
      </w:pPr>
      <w:r>
        <w:rPr>
          <w:rFonts w:ascii="Courier New" w:hAnsi="Courier New"/>
          <w:sz w:val="18"/>
        </w:rPr>
        <w:t>pip install -r requirements.txt</w:t>
      </w:r>
    </w:p>
    <w:p>
      <w:pPr>
        <w:spacing w:after="0"/>
      </w:pPr>
      <w:r>
        <w:rPr>
          <w:rFonts w:ascii="Courier New" w:hAnsi="Courier New"/>
          <w:sz w:val="18"/>
        </w:rPr>
        <w:t>streamlit run oli_v6_deploy.py</w:t>
      </w:r>
    </w:p>
    <w:p>
      <w:r>
        <w:t>La clave OPENAI_API_KEY debe configurarse en el entorno o gestor de secretos elegido por ILO; no se debe registrar ni compartir su valor real en la documentación.</w:t>
      </w:r>
    </w:p>
    <w:p>
      <w:pPr>
        <w:pStyle w:val="Heading1"/>
      </w:pPr>
      <w:r>
        <w:t>4. Mapa de funciones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30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360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Funciones o clases</w:t>
            </w:r>
          </w:p>
        </w:tc>
        <w:tc>
          <w:tcPr>
            <w:tcW w:type="dxa" w:w="388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Excel/exportación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to_excel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Convierte DataFrames en XLSX usando xlsxwriter y desactiva strings_to_urls.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Tokens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truncate_to_token_limit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Recorta texto a límites de tokens con tiktoken.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 y RAG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get_embedding_with_retry, find_similar_recommendations, find_recommendations_by_term_matching, load_embeddings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Genera embeddings y carga un índice FAISS en arranque; la búsqueda visible asociada a recomendaciones está comentada, pero la dependencia sigue activa.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Chat documental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4, truncate_to_token_limit, client.embeddings.create, faiss.IndexFlatIP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Usa contexto completo para textos pequeños y RAG con fragmentos cacheados en sesión para textos grandes.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Análisis de recomendaciones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AnalysisCache, analyze_recommendation_plan_pair, run_row_analysis, generate_executive_summary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Evalúa coherencia de planes, calidad, factibilidad, impacto, innovación y genera resumen ejecutivo; el modelo efectivo del análisis profundo es gpt-4o-mini aunque la UI muestre selector.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Carga de datos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prepare_additional_data, load_data, load_extended_data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Normaliza columnas, años, categorías y fusiona análisis adicional.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Extracción documental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extract_docx_structure_enhanced, validate_extraction, extract_document_content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Extrae jerarquía, tablas, métricas y texto desde DOCX.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Valoración preliminar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load_appraisal_questions, analyze_question_with_llm_tab1, detect_transversal_matter, _critic_impl, _apply_critic_gate_and_render, _apply_transversal_gate_and_render, synthesize_subsection_analysis, synthesize_section_analysis, create_results_download_with_sections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Pregunta por pregunta, aplica crítica A-E o regla transversal A/B y genera XLSX/ZIP multinivel.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Sostenibilidad y atributos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evaluate_criterion_with_llm, synthesize_evaluations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Evalúa criterios con puntuación 1-5, análisis y evidencia.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Clasificación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EmbeddingsCache, classify_recommendations, classify_recommendations_en, verify_match_with_llm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Clasifica recomendaciones contra marco por similitud coseno en numpy, con caché persistente y verificación opcional por LLM.</w:t>
            </w:r>
          </w:p>
        </w:tc>
      </w:tr>
    </w:tbl>
    <w:p/>
    <w:p>
      <w:pPr>
        <w:pStyle w:val="Heading1"/>
      </w:pPr>
      <w:r>
        <w:t>5. Convenciones de estado</w:t>
      </w:r>
    </w:p>
    <w:p>
      <w:pPr>
        <w:pStyle w:val="ListBullet"/>
      </w:pPr>
      <w:r>
        <w:t>Cada pestaña usa claves propias de st.session_state, por ejemplo tab1_results_df, document_extracted_tab2, tab3_results, doc_chat_docs, doc_chat_embeddings, classified_world_df y deep_analysis_df.</w:t>
      </w:r>
    </w:p>
    <w:p>
      <w:pPr>
        <w:pStyle w:val="ListBullet"/>
      </w:pPr>
      <w:r>
        <w:t>Los resultados se mantienen durante la sesión y pueden limpiarse con botones de limpiar resultados.</w:t>
      </w:r>
    </w:p>
    <w:p>
      <w:pPr>
        <w:pStyle w:val="ListBullet"/>
      </w:pPr>
      <w:r>
        <w:t>La carga de nuevos archivos se detecta con hash(uploaded_file.getvalue()) y reinicia el estado de extracción cuando corresponde.</w:t>
      </w:r>
    </w:p>
    <w:p>
      <w:pPr>
        <w:pStyle w:val="ListBullet"/>
      </w:pPr>
      <w:r>
        <w:t>Excepción: Tab 4 detecta cambios de documentos por lista de nombres, no por hash de contenido.</w:t>
      </w:r>
    </w:p>
    <w:p>
      <w:pPr>
        <w:pStyle w:val="ListBullet"/>
      </w:pPr>
      <w:r>
        <w:t>Los outputs descargables se generan en memoria con BytesIO; no se guardan automáticamente en disco.</w:t>
      </w:r>
    </w:p>
    <w:p>
      <w:pPr>
        <w:pStyle w:val="Heading2"/>
      </w:pPr>
      <w:r>
        <w:t>5.1 Lógica especial de preguntas en dos partes</w:t>
      </w:r>
    </w:p>
    <w:p>
      <w:r>
        <w:t>parse_two_part_question separa preguntas compuestas y privilegia la Parte 2. analyze_question_with_llm_tab1 instruye al modelo a iniciar el razonamiento con 'Se identificaron 2 partes en esta pregunta.' y a usar la Parte 1 solo como contexto. _critic_impl repite la evaluación con el documento completo y _apply_critic_gate_and_render ajusta el veredicto con base en el conteo de elementos dedicados.</w:t>
      </w:r>
    </w:p>
    <w:p>
      <w:r>
        <w:t>El sistema distingue evidencia [DEDICATED] de [FRAMING]. La evidencia de framing, como listas amplias de grupos o lenguaje general de inclusión, no puede justificar Partial o Yes por sí sola.</w:t>
      </w:r>
    </w:p>
    <w:p>
      <w:pPr>
        <w:pStyle w:val="Heading2"/>
      </w:pPr>
      <w:r>
        <w:t>5.2 Lógica especial de temas transversales</w:t>
      </w:r>
    </w:p>
    <w:p>
      <w:r>
        <w:t>TRANSVERSAL_MATTERS es un diccionario en código que reconoce género, no discriminación, discapacidad, diálogo social y tripartismo, y sostenibilidad medioambiental mediante aliases normalizados sin acentos. Cuando detect_transversal_matter encuentra uno de esos temas en la pregunta, _critic_impl usa CRITIC_SCHEMA_TRANSVERSAL y _apply_transversal_gate_and_render en vez del esquema A-E general.</w:t>
      </w:r>
    </w:p>
    <w:p>
      <w:r>
        <w:t>La salida de razonamiento para esos casos inicia con una línea de auditoría de criterios transversales: A corresponde a objetivo/producto/actividad y B a presupuesto. La regla aplicada es Yes=A+B, Partial=A o B, No=sin A ni B. Indicadores y metas no cuentan para la regla transversal.</w:t>
      </w:r>
    </w:p>
    <w:p>
      <w:pPr>
        <w:pStyle w:val="Heading1"/>
      </w:pPr>
      <w:r>
        <w:t>6. Manejo de errores</w:t>
      </w:r>
    </w:p>
    <w:p>
      <w:pPr>
        <w:pStyle w:val="ListBullet"/>
      </w:pPr>
      <w:r>
        <w:t>Falta de archivos críticos: la app muestra st.error o st.warning y detiene el flujo de esa pestaña cuando el recurso es obligatorio.</w:t>
      </w:r>
    </w:p>
    <w:p>
      <w:pPr>
        <w:pStyle w:val="ListBullet"/>
      </w:pPr>
      <w:r>
        <w:t>Falta de OPENAI_API_KEY: la app muestra warning global y las funciones que requieren OpenAI devuelven error o advertencia.</w:t>
      </w:r>
    </w:p>
    <w:p>
      <w:pPr>
        <w:pStyle w:val="ListBullet"/>
      </w:pPr>
      <w:r>
        <w:t>Errores de análisis por IA: se capturan y se devuelven en columnas Error o mensajes de chat.</w:t>
      </w:r>
    </w:p>
    <w:p>
      <w:pPr>
        <w:pStyle w:val="ListBullet"/>
      </w:pPr>
      <w:r>
        <w:t>Respuestas JSON inválidas: varios flujos intentan limpiar fences de Markdown; si falla el parseo, se devuelve score 0 o score por defecto con error explicativo.</w:t>
      </w:r>
    </w:p>
    <w:p>
      <w:pPr>
        <w:pStyle w:val="ListBullet"/>
      </w:pPr>
      <w:r>
        <w:t>Rate limits: algunas evaluaciones reintentan con backoff; en otros casos se reduce concurrencia por diseño.</w:t>
      </w:r>
    </w:p>
    <w:p>
      <w:pPr>
        <w:pStyle w:val="Heading1"/>
      </w:pPr>
      <w:r>
        <w:t>7. Pruebas y verificación recomendadas</w:t>
      </w:r>
    </w:p>
    <w:p>
      <w:pPr>
        <w:pStyle w:val="ListBullet"/>
      </w:pPr>
      <w:r>
        <w:t>Ejecutar test_two_part_parsing.py al cambiar parse_two_part_question o la lógica de preguntas en dos partes.</w:t>
      </w:r>
    </w:p>
    <w:p>
      <w:pPr>
        <w:pStyle w:val="ListBullet"/>
      </w:pPr>
      <w:r>
        <w:t>Probar manualmente una pregunta por cada tema transversal para confirmar detección por alias y aplicación de la regla A/B.</w:t>
      </w:r>
    </w:p>
    <w:p>
      <w:pPr>
        <w:pStyle w:val="ListBullet"/>
      </w:pPr>
      <w:r>
        <w:t>Probar manualmente un DOCX con Heading 1/2 y tablas en Tabs 1, 2 y 3.</w:t>
      </w:r>
    </w:p>
    <w:p>
      <w:pPr>
        <w:pStyle w:val="ListBullet"/>
      </w:pPr>
      <w:r>
        <w:t>Probar chat con TXT pequeño y DOCX grande para validar los dos caminos: contexto completo y RAG; confirmar que cambiar contenido con el mismo nombre de archivo requiere reiniciar sesión o renombrar el archivo.</w:t>
      </w:r>
    </w:p>
    <w:p>
      <w:pPr>
        <w:pStyle w:val="ListBullet"/>
      </w:pPr>
      <w:r>
        <w:t>Probar Tab 5 con una muestra limitada y LLM Verification apagado y encendido.</w:t>
      </w:r>
    </w:p>
    <w:p>
      <w:pPr>
        <w:pStyle w:val="ListBullet"/>
      </w:pPr>
      <w:r>
        <w:t>Verificar que cada descarga XLSX/ZIP abre correctamente y conserva columnas de evidencia.</w:t>
      </w:r>
    </w:p>
    <w:p>
      <w:pPr>
        <w:pStyle w:val="Heading1"/>
      </w:pPr>
      <w:r>
        <w:t>8. Deuda técnica visible</w:t>
      </w:r>
    </w:p>
    <w:p>
      <w:pPr>
        <w:pStyle w:val="ListBullet"/>
      </w:pPr>
      <w:r>
        <w:t>Hay bloques comentados extensos de versiones anteriores; no son funcionales pero dificultan mantenimiento.</w:t>
      </w:r>
    </w:p>
    <w:p>
      <w:pPr>
        <w:pStyle w:val="ListBullet"/>
      </w:pPr>
      <w:r>
        <w:t>La inicialización de datos y embeddings aparece dos veces en el bloque principal.</w:t>
      </w:r>
    </w:p>
    <w:p>
      <w:pPr>
        <w:pStyle w:val="ListBullet"/>
      </w:pPr>
      <w:r>
        <w:t>Tab 4 promete trazabilidad por sección/página, pero la extracción de DOCX para chat solo lee párrafos con python-docx; no garantiza tablas, páginas ni metadatos jerárquicos.</w:t>
      </w:r>
    </w:p>
    <w:p>
      <w:pPr>
        <w:pStyle w:val="ListBullet"/>
      </w:pPr>
      <w:r>
        <w:t>Tabs 5 y 6 tienen un selector de modelo para análisis profundo que no controla el modelo efectivo; run_row_analysis usa gpt-4o-mini.</w:t>
      </w:r>
    </w:p>
    <w:p>
      <w:pPr>
        <w:pStyle w:val="ListBullet"/>
      </w:pPr>
      <w:r>
        <w:t>Algunos mensajes de error de Tab 3 todavía mencionan PRODOC_rubric.xlsx aunque la rúbrica activa es Evaluación de sostenibilidad del proyecto_rubric_9feb26.xlsx.</w:t>
      </w:r>
    </w:p>
    <w:p>
      <w:pPr>
        <w:pStyle w:val="ListBullet"/>
      </w:pPr>
      <w:r>
        <w:t>Existe un bloque heredado comentado de Tab 2 que también carga gender_rubric; no es el flujo activo. La implementación activa sí carga la hoja rubric_gender_ y la expone como Integración del Enfoque de Género.</w:t>
      </w:r>
    </w:p>
    <w:p>
      <w:pPr>
        <w:pStyle w:val="ListBullet"/>
      </w:pPr>
      <w:r>
        <w:t>La lista de aliases de TRANSVERSAL_MATTERS está definida en código; si ILO cambia terminología oficial o agrega temas, debe actualizarse ese diccionario y probarse Tab 1.</w:t>
      </w:r>
    </w:p>
    <w:p>
      <w:pPr>
        <w:pStyle w:val="ListBullet"/>
      </w:pPr>
      <w:r>
        <w:t>El archivo lessons_metadata.pt es esperado por load_lessons_embeddings, pero no aparece en el inventario local observado; si esa funcionalidad se activa, debe suministrarse.</w:t>
      </w:r>
    </w:p>
    <w:p>
      <w:pPr>
        <w:pStyle w:val="ListBullet"/>
      </w:pPr>
      <w:r>
        <w:t>La app no separa claramente capa de interfaz, dominio y servicios externos; cambios grandes deben hacerse con pruebas manuales por pestaña.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2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2F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