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F6C"/>
          <w:sz w:val="40"/>
        </w:rPr>
        <w:t>CONFIGURATION AND SECURITY DOCUMENTATION</w:t>
      </w:r>
    </w:p>
    <w:p>
      <w:pPr>
        <w:jc w:val="center"/>
      </w:pPr>
      <w:r>
        <w:rPr>
          <w:b/>
          <w:color w:val="002F6C"/>
          <w:sz w:val="24"/>
        </w:rPr>
        <w:t>Project Performance Toolkit</w:t>
      </w:r>
    </w:p>
    <w:p>
      <w:pPr>
        <w:jc w:val="center"/>
      </w:pPr>
      <w:r>
        <w:t>Variables, secrets, access, and data protection</w:t>
        <w:br/>
        <w:t>Technical source: oli_v6_deploy.py</w:t>
        <w:br/>
        <w:t>Updated: May 11, 2026</w:t>
      </w:r>
    </w:p>
    <w:p/>
    <w:p>
      <w:pPr>
        <w:pStyle w:val="Heading1"/>
      </w:pPr>
      <w:r>
        <w:t>1. Required configuration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69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Expected value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Local command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streamlit run oli_v6_deploy.py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AI variable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OPENAI_API_KEY available in the process environment.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Production mode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STREAMLIT_ENV=production when file paths should come from st.secrets.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Working directory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Directory containing required Excel, CSV, and .pt files unless production secrets provide paths.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Dependencies</w:t>
            </w:r>
          </w:p>
        </w:tc>
        <w:tc>
          <w:tcPr>
            <w:tcW w:type="dxa" w:w="69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Installed from requirements.txt.</w:t>
            </w:r>
          </w:p>
        </w:tc>
      </w:tr>
    </w:tbl>
    <w:p/>
    <w:p>
      <w:pPr>
        <w:pStyle w:val="Heading1"/>
      </w:pPr>
      <w:r>
        <w:t>2. Secrets and paths</w:t>
      </w:r>
    </w:p>
    <w:p>
      <w:r>
        <w:t>OPENAI_API_KEY is read through os.getenv. Data paths are read from st.secrets only when STREAMLIT_ENV=production.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88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Name</w:t>
            </w:r>
          </w:p>
        </w:tc>
        <w:tc>
          <w:tcPr>
            <w:tcW w:type="dxa" w:w="259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When used</w:t>
            </w:r>
          </w:p>
        </w:tc>
        <w:tc>
          <w:tcPr>
            <w:tcW w:type="dxa" w:w="432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Expected content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Production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Path to df_complete_all_full.xlsx.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df_raw_path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Production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Path to df_split_actions.xlsx.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Production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Path to emb_Recomm_rec_cl_4.pt.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structured_embeddings_path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Production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Path to Recommendation_RAG_Metadata.pt.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analyzed_recommendations_path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Optional production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Path to analyzed_recommendations_plans_v5.csv.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lessons_embeddings_path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Inactive helper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Path to emb_LL_ll_cl_4.pt if lessons are reconnected.</w:t>
            </w:r>
          </w:p>
        </w:tc>
      </w:tr>
      <w:tr>
        <w:trPr>
          <w:cantSplit/>
        </w:trPr>
        <w:tc>
          <w:tcPr>
            <w:tcW w:type="dxa" w:w="288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structured_lessons_path</w:t>
            </w:r>
          </w:p>
        </w:tc>
        <w:tc>
          <w:tcPr>
            <w:tcW w:type="dxa" w:w="259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Inactive helper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Path to lessons_metadata.pt if lessons are reconnected.</w:t>
            </w:r>
          </w:p>
        </w:tc>
      </w:tr>
    </w:tbl>
    <w:p/>
    <w:p>
      <w:pPr>
        <w:pStyle w:val="Heading1"/>
      </w:pPr>
      <w:r>
        <w:t>3. Access control</w:t>
      </w:r>
    </w:p>
    <w:p>
      <w:r>
        <w:t>The app does not implement users, roles, passwords, per-feature permissions, audit logs, tenant isolation, upload scanning, or secret redaction. Those controls must be provided by the hosting environment, institutional network, proxy, or equivalent access layer.</w:t>
      </w:r>
    </w:p>
    <w:p>
      <w:pPr>
        <w:pStyle w:val="ListBullet"/>
      </w:pPr>
      <w:r>
        <w:t>Only authorized ILO users should be able to open the app.</w:t>
      </w:r>
    </w:p>
    <w:p>
      <w:pPr>
        <w:pStyle w:val="ListBullet"/>
      </w:pPr>
      <w:r>
        <w:t>Repository write access and operational data write access should be restricted to technical maintainers.</w:t>
      </w:r>
    </w:p>
    <w:p>
      <w:pPr>
        <w:pStyle w:val="ListBullet"/>
      </w:pPr>
      <w:r>
        <w:t>OPENAI_API_KEY must be visible only to the runtime and authorized administrators.</w:t>
      </w:r>
    </w:p>
    <w:p>
      <w:pPr>
        <w:pStyle w:val="ListBullet"/>
      </w:pPr>
      <w:r>
        <w:t>Users are responsible for protecting any downloads they generate.</w:t>
      </w:r>
    </w:p>
    <w:p>
      <w:pPr>
        <w:pStyle w:val="Heading1"/>
      </w:pPr>
      <w:r>
        <w:t>4. Data security</w:t>
      </w:r>
    </w:p>
    <w:p>
      <w:pPr>
        <w:pStyle w:val="ListBullet"/>
      </w:pPr>
      <w:r>
        <w:t>Uploaded documents are processed in memory and, in extraction flows, through temporary files that are removed when cleanup completes.</w:t>
      </w:r>
    </w:p>
    <w:p>
      <w:pPr>
        <w:pStyle w:val="ListBullet"/>
      </w:pPr>
      <w:r>
        <w:t>Document text, questions, evidence, and prompts can be sent to OpenAI.</w:t>
      </w:r>
    </w:p>
    <w:p>
      <w:pPr>
        <w:pStyle w:val="ListBullet"/>
      </w:pPr>
      <w:r>
        <w:t>st.session_state holds extracted text and results during the active session.</w:t>
      </w:r>
    </w:p>
    <w:p>
      <w:pPr>
        <w:pStyle w:val="ListBullet"/>
      </w:pPr>
      <w:r>
        <w:t>Generated XLSX/ZIP outputs can contain verbatim source text, reasoning, and evidence.</w:t>
      </w:r>
    </w:p>
    <w:p>
      <w:pPr>
        <w:pStyle w:val="ListBullet"/>
      </w:pPr>
      <w:r>
        <w:t>Local pickle caches are not encrypted and are not integrity-checked.</w:t>
      </w:r>
    </w:p>
    <w:p>
      <w:pPr>
        <w:pStyle w:val="ListBullet"/>
      </w:pPr>
      <w:r>
        <w:t>The app does not implement output encryption or retention policy; ILO must define those policies in the runtime environment.</w:t>
      </w:r>
    </w:p>
    <w:p>
      <w:pPr>
        <w:pStyle w:val="Heading2"/>
      </w:pPr>
      <w:r>
        <w:t>4.1 Active cache layers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244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331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Location</w:t>
            </w:r>
          </w:p>
        </w:tc>
        <w:tc>
          <w:tcPr>
            <w:tcW w:type="dxa" w:w="4032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Operational risk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st.cache_data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Streamlit process memory/cache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May keep older data/rubric loads until cache clear or restart.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4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st.session_state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Stores documents, chunks, and embeddings for the session; same-name file replacement can leave stale state.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Tabs 5 and 6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embeddings_cache.pkl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Persistent local cache, unencrypted and unchecked.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Deep analysis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analysis_cache.pkl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Persistent local cache, unencrypted and unchecked.</w:t>
            </w:r>
          </w:p>
        </w:tc>
      </w:tr>
      <w:tr>
        <w:trPr>
          <w:cantSplit/>
        </w:trPr>
        <w:tc>
          <w:tcPr>
            <w:tcW w:type="dxa" w:w="244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SimpleHierarchicalStore</w:t>
            </w:r>
          </w:p>
        </w:tc>
        <w:tc>
          <w:tcPr>
            <w:tcW w:type="dxa" w:w="331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~/document_store/embedding_cache.pkl</w:t>
            </w:r>
          </w:p>
        </w:tc>
        <w:tc>
          <w:tcPr>
            <w:tcW w:type="dxa" w:w="4032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Legacy helper cache; not the main Tab 4 mechanism.</w:t>
            </w:r>
          </w:p>
        </w:tc>
      </w:tr>
    </w:tbl>
    <w:p/>
    <w:p>
      <w:pPr>
        <w:pStyle w:val="Heading1"/>
      </w:pPr>
      <w:r>
        <w:t>5. Safe operation parameters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168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2304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Code value</w:t>
            </w:r>
          </w:p>
        </w:tc>
        <w:tc>
          <w:tcPr>
            <w:tcW w:type="dxa" w:w="4320"/>
            <w:vAlign w:val="top"/>
            <w:shd w:fill="002F6C"/>
          </w:tcPr>
          <w:p>
            <w:pPr>
              <w:spacing w:after="60"/>
            </w:pPr>
            <w:r/>
            <w:r>
              <w:rPr>
                <w:b/>
                <w:color w:val="FFFFFF"/>
              </w:rPr>
              <w:t>Impact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MAX_WORKERS global for Tab 1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48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High concurrency; requires sufficient API limits.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MAX_WORKERS Tab 2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Reduces rate-limit risk for rubric evaluation.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MAX_WORKERS Tab 3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Parallel sustainability criteria processing.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Tab 4 RAG threshold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&gt;100,000 characters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Avoids sending very large full documents on each question.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Token limit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110,000 tokens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Truncates long context before model calls.</w:t>
            </w:r>
          </w:p>
        </w:tc>
      </w:tr>
      <w:tr>
        <w:trPr>
          <w:cantSplit/>
        </w:trPr>
        <w:tc>
          <w:tcPr>
            <w:tcW w:type="dxa" w:w="3168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Classification batch concept</w:t>
            </w:r>
          </w:p>
        </w:tc>
        <w:tc>
          <w:tcPr>
            <w:tcW w:type="dxa" w:w="2304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20 texts</w:t>
            </w:r>
          </w:p>
        </w:tc>
        <w:tc>
          <w:tcPr>
            <w:tcW w:type="dxa" w:w="4320"/>
            <w:vAlign w:val="top"/>
          </w:tcPr>
          <w:p>
            <w:pPr>
              <w:spacing w:after="60"/>
            </w:pPr>
            <w:r/>
            <w:r>
              <w:rPr>
                <w:b w:val="0"/>
              </w:rPr>
              <w:t>Controls embedding generation for unique recommendations.</w:t>
            </w:r>
          </w:p>
        </w:tc>
      </w:tr>
    </w:tbl>
    <w:p/>
    <w:p>
      <w:pPr>
        <w:pStyle w:val="Heading1"/>
      </w:pPr>
      <w:r>
        <w:t>6. Production checklist</w:t>
      </w:r>
    </w:p>
    <w:p>
      <w:pPr>
        <w:pStyle w:val="ListBullet"/>
      </w:pPr>
      <w:r>
        <w:t>Confirm OPENAI_API_KEY exists in the runtime process and account budget is available.</w:t>
      </w:r>
    </w:p>
    <w:p>
      <w:pPr>
        <w:pStyle w:val="ListBullet"/>
      </w:pPr>
      <w:r>
        <w:t>Confirm all required files open with pandas or torch in the production environment.</w:t>
      </w:r>
    </w:p>
    <w:p>
      <w:pPr>
        <w:pStyle w:val="ListBullet"/>
      </w:pPr>
      <w:r>
        <w:t>Configure private access to the app.</w:t>
      </w:r>
    </w:p>
    <w:p>
      <w:pPr>
        <w:pStyle w:val="ListBullet"/>
      </w:pPr>
      <w:r>
        <w:t>Run one non-sensitive test per tab before release.</w:t>
      </w:r>
    </w:p>
    <w:p>
      <w:pPr>
        <w:pStyle w:val="ListBullet"/>
      </w:pPr>
      <w:r>
        <w:t>Verify downloads open and do not expose more information than expected.</w:t>
      </w:r>
    </w:p>
    <w:p>
      <w:pPr>
        <w:pStyle w:val="ListBullet"/>
      </w:pPr>
      <w:r>
        <w:t>Document who may replace data files and who may deploy code.</w:t>
      </w:r>
    </w:p>
    <w:p>
      <w:pPr>
        <w:pStyle w:val="Heading1"/>
      </w:pPr>
      <w:r>
        <w:t>7. Incident response</w:t>
      </w:r>
    </w:p>
    <w:p>
      <w:pPr>
        <w:ind w:left="360" w:hanging="360"/>
      </w:pPr>
      <w:r>
        <w:t>1. Disable external access to the app at the hosting or proxy layer.</w:t>
      </w:r>
    </w:p>
    <w:p>
      <w:pPr>
        <w:ind w:left="360" w:hanging="360"/>
      </w:pPr>
      <w:r>
        <w:t>2. Revoke and rotate OPENAI_API_KEY if exposure is suspected.</w:t>
      </w:r>
    </w:p>
    <w:p>
      <w:pPr>
        <w:ind w:left="360" w:hanging="360"/>
      </w:pPr>
      <w:r>
        <w:t>3. Retain downloads or logs only if internal policy allows it.</w:t>
      </w:r>
    </w:p>
    <w:p>
      <w:pPr>
        <w:ind w:left="360" w:hanging="360"/>
      </w:pPr>
      <w:r>
        <w:t>4. Restore data files from verified backups.</w:t>
      </w:r>
    </w:p>
    <w:p>
      <w:pPr>
        <w:ind w:left="360" w:hanging="360"/>
      </w:pPr>
      <w:r>
        <w:t>5. Reactivate the app after testing Tabs 1 through 6.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2F6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72C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2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