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2F6C"/>
          <w:sz w:val="40"/>
        </w:rPr>
        <w:t>DOCUMENTACIÓN TÉCNICA DEL SISTEMA</w:t>
      </w:r>
    </w:p>
    <w:p>
      <w:pPr>
        <w:jc w:val="center"/>
      </w:pPr>
      <w:r>
        <w:rPr>
          <w:b/>
          <w:color w:val="002F6C"/>
          <w:sz w:val="24"/>
        </w:rPr>
        <w:t>Caja de Herramientas para el Mejor Desempeño de los Proyectos</w:t>
      </w:r>
    </w:p>
    <w:p>
      <w:pPr>
        <w:jc w:val="center"/>
      </w:pPr>
      <w:r>
        <w:t>Arquitectura, componentes y despliegue</w:t>
        <w:br/>
        <w:t>Fuente técnica: oli_v6_deploy.py + gpt_action_api.py</w:t>
        <w:br/>
        <w:t>Actualizado: 15 de julio de 2026</w:t>
      </w:r>
    </w:p>
    <w:p/>
    <w:p>
      <w:pPr>
        <w:pStyle w:val="Heading1"/>
      </w:pPr>
      <w:r>
        <w:t>1. Alcance y fuente de verdad</w:t>
      </w:r>
    </w:p>
    <w:p>
      <w:r>
        <w:t>Esta documentación técnica describe exclusivamente la aplicación principal oli_v6_deploy.py. Los archivos oli_v6_deploy_core.py y oli_v6_deploy_recommendations.py son variantes separadas y no se usan como base de esta actualización documental.</w:t>
      </w:r>
    </w:p>
    <w:p>
      <w:r>
        <w:t>La aplicación principal es una app Streamlit monolítica, con funciones auxiliares, lógica de extracción documental, evaluación por IA, clasificación de recomendaciones, visualización y exportación en un único archivo Python.</w:t>
      </w:r>
    </w:p>
    <w:p>
      <w:r>
        <w:t>A partir de junio de 2026 el sistema tiene una segunda superficie de uso: tres asistentes GPT publicados en ChatGPT, servidos por un backend FastAPI independiente (gpt_action_api.py) desplegado en Render. Esa capa se documenta en la sección 9 y no comparte proceso ni estado con la app Streamlit.</w:t>
      </w:r>
    </w:p>
    <w:p>
      <w:pPr>
        <w:pStyle w:val="Heading1"/>
      </w:pPr>
      <w:r>
        <w:t>2. Arquitectura de alto nivel</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1872"/>
            <w:vAlign w:val="top"/>
            <w:shd w:fill="002F6C"/>
          </w:tcPr>
          <w:p>
            <w:pPr>
              <w:spacing w:after="60"/>
            </w:pPr>
            <w:r/>
            <w:r>
              <w:rPr>
                <w:b/>
                <w:color w:val="FFFFFF"/>
              </w:rPr>
              <w:t>Capa</w:t>
            </w:r>
          </w:p>
        </w:tc>
        <w:tc>
          <w:tcPr>
            <w:tcW w:type="dxa" w:w="3456"/>
            <w:vAlign w:val="top"/>
            <w:shd w:fill="002F6C"/>
          </w:tcPr>
          <w:p>
            <w:pPr>
              <w:spacing w:after="60"/>
            </w:pPr>
            <w:r/>
            <w:r>
              <w:rPr>
                <w:b/>
                <w:color w:val="FFFFFF"/>
              </w:rPr>
              <w:t>Implementación en el código</w:t>
            </w:r>
          </w:p>
        </w:tc>
        <w:tc>
          <w:tcPr>
            <w:tcW w:type="dxa" w:w="4464"/>
            <w:vAlign w:val="top"/>
            <w:shd w:fill="002F6C"/>
          </w:tcPr>
          <w:p>
            <w:pPr>
              <w:spacing w:after="60"/>
            </w:pPr>
            <w:r/>
            <w:r>
              <w:rPr>
                <w:b/>
                <w:color w:val="FFFFFF"/>
              </w:rPr>
              <w:t>Responsabilidad</w:t>
            </w:r>
          </w:p>
        </w:tc>
      </w:tr>
      <w:tr>
        <w:trPr>
          <w:cantSplit/>
        </w:trPr>
        <w:tc>
          <w:tcPr>
            <w:tcW w:type="dxa" w:w="1872"/>
            <w:vAlign w:val="top"/>
          </w:tcPr>
          <w:p>
            <w:pPr>
              <w:spacing w:after="60"/>
            </w:pPr>
            <w:r/>
            <w:r>
              <w:rPr>
                <w:b w:val="0"/>
              </w:rPr>
              <w:t>Interfaz</w:t>
            </w:r>
          </w:p>
        </w:tc>
        <w:tc>
          <w:tcPr>
            <w:tcW w:type="dxa" w:w="3456"/>
            <w:vAlign w:val="top"/>
          </w:tcPr>
          <w:p>
            <w:pPr>
              <w:spacing w:after="60"/>
            </w:pPr>
            <w:r/>
            <w:r>
              <w:rPr>
                <w:b w:val="0"/>
              </w:rPr>
              <w:t>Streamlit con st.tabs, st.session_state, st.cache_data y CSS institucional ILO</w:t>
            </w:r>
          </w:p>
        </w:tc>
        <w:tc>
          <w:tcPr>
            <w:tcW w:type="dxa" w:w="4464"/>
            <w:vAlign w:val="top"/>
          </w:tcPr>
          <w:p>
            <w:pPr>
              <w:spacing w:after="60"/>
            </w:pPr>
            <w:r/>
            <w:r>
              <w:rPr>
                <w:b w:val="0"/>
              </w:rPr>
              <w:t>Carga de documentos, selección de criterios, visualizaciones y descargas.</w:t>
            </w:r>
          </w:p>
        </w:tc>
      </w:tr>
      <w:tr>
        <w:trPr>
          <w:cantSplit/>
        </w:trPr>
        <w:tc>
          <w:tcPr>
            <w:tcW w:type="dxa" w:w="1872"/>
            <w:vAlign w:val="top"/>
          </w:tcPr>
          <w:p>
            <w:pPr>
              <w:spacing w:after="60"/>
            </w:pPr>
            <w:r/>
            <w:r>
              <w:rPr>
                <w:b w:val="0"/>
              </w:rPr>
              <w:t>Procesamiento documental</w:t>
            </w:r>
          </w:p>
        </w:tc>
        <w:tc>
          <w:tcPr>
            <w:tcW w:type="dxa" w:w="3456"/>
            <w:vAlign w:val="top"/>
          </w:tcPr>
          <w:p>
            <w:pPr>
              <w:spacing w:after="60"/>
            </w:pPr>
            <w:r/>
            <w:r>
              <w:rPr>
                <w:b w:val="0"/>
              </w:rPr>
              <w:t>python-docx, docx2python, BeautifulSoup y extracción jerárquica de encabezados</w:t>
            </w:r>
          </w:p>
        </w:tc>
        <w:tc>
          <w:tcPr>
            <w:tcW w:type="dxa" w:w="4464"/>
            <w:vAlign w:val="top"/>
          </w:tcPr>
          <w:p>
            <w:pPr>
              <w:spacing w:after="60"/>
            </w:pPr>
            <w:r/>
            <w:r>
              <w:rPr>
                <w:b w:val="0"/>
              </w:rPr>
              <w:t>Convierte DOCX/TXT en texto trazable por sección, párrafo, tabla y metadatos.</w:t>
            </w:r>
          </w:p>
        </w:tc>
      </w:tr>
      <w:tr>
        <w:trPr>
          <w:cantSplit/>
        </w:trPr>
        <w:tc>
          <w:tcPr>
            <w:tcW w:type="dxa" w:w="1872"/>
            <w:vAlign w:val="top"/>
          </w:tcPr>
          <w:p>
            <w:pPr>
              <w:spacing w:after="60"/>
            </w:pPr>
            <w:r/>
            <w:r>
              <w:rPr>
                <w:b w:val="0"/>
              </w:rPr>
              <w:t>IA generativa</w:t>
            </w:r>
          </w:p>
        </w:tc>
        <w:tc>
          <w:tcPr>
            <w:tcW w:type="dxa" w:w="3456"/>
            <w:vAlign w:val="top"/>
          </w:tcPr>
          <w:p>
            <w:pPr>
              <w:spacing w:after="60"/>
            </w:pPr>
            <w:r/>
            <w:r>
              <w:rPr>
                <w:b w:val="0"/>
              </w:rPr>
              <w:t>OpenAI SDK mediante OpenAI(api_key=os.getenv('OPENAI_API_KEY'))</w:t>
            </w:r>
          </w:p>
        </w:tc>
        <w:tc>
          <w:tcPr>
            <w:tcW w:type="dxa" w:w="4464"/>
            <w:vAlign w:val="top"/>
          </w:tcPr>
          <w:p>
            <w:pPr>
              <w:spacing w:after="60"/>
            </w:pPr>
            <w:r/>
            <w:r>
              <w:rPr>
                <w:b w:val="0"/>
              </w:rPr>
              <w:t>Evaluaciones, síntesis, chat documental, crítica de respuestas y resúmenes ejecutivos.</w:t>
            </w:r>
          </w:p>
        </w:tc>
      </w:tr>
      <w:tr>
        <w:trPr>
          <w:cantSplit/>
        </w:trPr>
        <w:tc>
          <w:tcPr>
            <w:tcW w:type="dxa" w:w="1872"/>
            <w:vAlign w:val="top"/>
          </w:tcPr>
          <w:p>
            <w:pPr>
              <w:spacing w:after="60"/>
            </w:pPr>
            <w:r/>
            <w:r>
              <w:rPr>
                <w:b w:val="0"/>
              </w:rPr>
              <w:t>Búsqueda vectorial</w:t>
            </w:r>
          </w:p>
        </w:tc>
        <w:tc>
          <w:tcPr>
            <w:tcW w:type="dxa" w:w="3456"/>
            <w:vAlign w:val="top"/>
          </w:tcPr>
          <w:p>
            <w:pPr>
              <w:spacing w:after="60"/>
            </w:pPr>
            <w:r/>
            <w:r>
              <w:rPr>
                <w:b w:val="0"/>
              </w:rPr>
              <w:t>text-embedding-3-large, numpy, torch y FAISS IndexFlatIP</w:t>
            </w:r>
          </w:p>
        </w:tc>
        <w:tc>
          <w:tcPr>
            <w:tcW w:type="dxa" w:w="4464"/>
            <w:vAlign w:val="top"/>
          </w:tcPr>
          <w:p>
            <w:pPr>
              <w:spacing w:after="60"/>
            </w:pPr>
            <w:r/>
            <w:r>
              <w:rPr>
                <w:b w:val="0"/>
              </w:rPr>
              <w:t>Carga un índice FAISS de recomendaciones al iniciar la app y usa FAISS para RAG en documentos grandes de Tab 4; Tabs 5 y 6 clasifican con similitud coseno en numpy, no con FAISS.</w:t>
            </w:r>
          </w:p>
        </w:tc>
      </w:tr>
      <w:tr>
        <w:trPr>
          <w:cantSplit/>
        </w:trPr>
        <w:tc>
          <w:tcPr>
            <w:tcW w:type="dxa" w:w="1872"/>
            <w:vAlign w:val="top"/>
          </w:tcPr>
          <w:p>
            <w:pPr>
              <w:spacing w:after="60"/>
            </w:pPr>
            <w:r/>
            <w:r>
              <w:rPr>
                <w:b w:val="0"/>
              </w:rPr>
              <w:t>Datos</w:t>
            </w:r>
          </w:p>
        </w:tc>
        <w:tc>
          <w:tcPr>
            <w:tcW w:type="dxa" w:w="3456"/>
            <w:vAlign w:val="top"/>
          </w:tcPr>
          <w:p>
            <w:pPr>
              <w:spacing w:after="60"/>
            </w:pPr>
            <w:r/>
            <w:r>
              <w:rPr>
                <w:b w:val="0"/>
              </w:rPr>
              <w:t>Archivos Excel, CSV pipe-separated y tensores .pt en el directorio de la app o rutas definidas por st.secrets</w:t>
            </w:r>
          </w:p>
        </w:tc>
        <w:tc>
          <w:tcPr>
            <w:tcW w:type="dxa" w:w="4464"/>
            <w:vAlign w:val="top"/>
          </w:tcPr>
          <w:p>
            <w:pPr>
              <w:spacing w:after="60"/>
            </w:pPr>
            <w:r/>
            <w:r>
              <w:rPr>
                <w:b w:val="0"/>
              </w:rPr>
              <w:t>No hay base de datos SQL; los archivos son el almacén operativo.</w:t>
            </w:r>
          </w:p>
        </w:tc>
      </w:tr>
      <w:tr>
        <w:trPr>
          <w:cantSplit/>
        </w:trPr>
        <w:tc>
          <w:tcPr>
            <w:tcW w:type="dxa" w:w="1872"/>
            <w:vAlign w:val="top"/>
          </w:tcPr>
          <w:p>
            <w:pPr>
              <w:spacing w:after="60"/>
            </w:pPr>
            <w:r/>
            <w:r>
              <w:rPr>
                <w:b w:val="0"/>
              </w:rPr>
              <w:t>Exportación</w:t>
            </w:r>
          </w:p>
        </w:tc>
        <w:tc>
          <w:tcPr>
            <w:tcW w:type="dxa" w:w="3456"/>
            <w:vAlign w:val="top"/>
          </w:tcPr>
          <w:p>
            <w:pPr>
              <w:spacing w:after="60"/>
            </w:pPr>
            <w:r/>
            <w:r>
              <w:rPr>
                <w:b w:val="0"/>
              </w:rPr>
              <w:t>xlsxwriter, BytesIO y zipfile</w:t>
            </w:r>
          </w:p>
        </w:tc>
        <w:tc>
          <w:tcPr>
            <w:tcW w:type="dxa" w:w="4464"/>
            <w:vAlign w:val="top"/>
          </w:tcPr>
          <w:p>
            <w:pPr>
              <w:spacing w:after="60"/>
            </w:pPr>
            <w:r/>
            <w:r>
              <w:rPr>
                <w:b w:val="0"/>
              </w:rPr>
              <w:t>Genera XLSX y ZIP con resultados, evidencias, estructura extraída y reportes.</w:t>
            </w:r>
          </w:p>
        </w:tc>
      </w:tr>
    </w:tbl>
    <w:p/>
    <w:p>
      <w:pPr>
        <w:pStyle w:val="Heading1"/>
      </w:pPr>
      <w:r>
        <w:t>3. Componentes funcionales activos</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1008"/>
            <w:vAlign w:val="top"/>
            <w:shd w:fill="002F6C"/>
          </w:tcPr>
          <w:p>
            <w:pPr>
              <w:spacing w:after="60"/>
            </w:pPr>
            <w:r/>
            <w:r>
              <w:rPr>
                <w:b/>
                <w:color w:val="FFFFFF"/>
              </w:rPr>
              <w:t>Pestaña</w:t>
            </w:r>
          </w:p>
        </w:tc>
        <w:tc>
          <w:tcPr>
            <w:tcW w:type="dxa" w:w="3168"/>
            <w:vAlign w:val="top"/>
            <w:shd w:fill="002F6C"/>
          </w:tcPr>
          <w:p>
            <w:pPr>
              <w:spacing w:after="60"/>
            </w:pPr>
            <w:r/>
            <w:r>
              <w:rPr>
                <w:b/>
                <w:color w:val="FFFFFF"/>
              </w:rPr>
              <w:t>Nombre visible</w:t>
            </w:r>
          </w:p>
        </w:tc>
        <w:tc>
          <w:tcPr>
            <w:tcW w:type="dxa" w:w="5904"/>
            <w:vAlign w:val="top"/>
            <w:shd w:fill="002F6C"/>
          </w:tcPr>
          <w:p>
            <w:pPr>
              <w:spacing w:after="60"/>
            </w:pPr>
            <w:r/>
            <w:r>
              <w:rPr>
                <w:b/>
                <w:color w:val="FFFFFF"/>
              </w:rPr>
              <w:t>Función principal</w:t>
            </w:r>
          </w:p>
        </w:tc>
      </w:tr>
      <w:tr>
        <w:trPr>
          <w:cantSplit/>
        </w:trPr>
        <w:tc>
          <w:tcPr>
            <w:tcW w:type="dxa" w:w="1008"/>
            <w:vAlign w:val="top"/>
          </w:tcPr>
          <w:p>
            <w:pPr>
              <w:spacing w:after="60"/>
            </w:pPr>
            <w:r/>
            <w:r>
              <w:rPr>
                <w:b w:val="0"/>
              </w:rPr>
              <w:t>1</w:t>
            </w:r>
          </w:p>
        </w:tc>
        <w:tc>
          <w:tcPr>
            <w:tcW w:type="dxa" w:w="3168"/>
            <w:vAlign w:val="top"/>
          </w:tcPr>
          <w:p>
            <w:pPr>
              <w:spacing w:after="60"/>
            </w:pPr>
            <w:r/>
            <w:r>
              <w:rPr>
                <w:b w:val="0"/>
              </w:rPr>
              <w:t>Valoración Preliminar de Calidad de Proyectos</w:t>
            </w:r>
          </w:p>
        </w:tc>
        <w:tc>
          <w:tcPr>
            <w:tcW w:type="dxa" w:w="5904"/>
            <w:vAlign w:val="top"/>
          </w:tcPr>
          <w:p>
            <w:pPr>
              <w:spacing w:after="60"/>
            </w:pPr>
            <w:r/>
            <w:r>
              <w:rPr>
                <w:b w:val="0"/>
              </w:rPr>
              <w:t>Evalúa documentos de diseño contra Appraisal Checklist_2025 es-419.xlsx, aplica análisis A-E y regla A/B para temas transversales, genera crítica y síntesis por pregunta, subsección y sección.</w:t>
            </w:r>
          </w:p>
        </w:tc>
      </w:tr>
      <w:tr>
        <w:trPr>
          <w:cantSplit/>
        </w:trPr>
        <w:tc>
          <w:tcPr>
            <w:tcW w:type="dxa" w:w="1008"/>
            <w:vAlign w:val="top"/>
          </w:tcPr>
          <w:p>
            <w:pPr>
              <w:spacing w:after="60"/>
            </w:pPr>
            <w:r/>
            <w:r>
              <w:rPr>
                <w:b w:val="0"/>
              </w:rPr>
              <w:t>2</w:t>
            </w:r>
          </w:p>
        </w:tc>
        <w:tc>
          <w:tcPr>
            <w:tcW w:type="dxa" w:w="3168"/>
            <w:vAlign w:val="top"/>
          </w:tcPr>
          <w:p>
            <w:pPr>
              <w:spacing w:after="60"/>
            </w:pPr>
            <w:r/>
            <w:r>
              <w:rPr>
                <w:b w:val="0"/>
              </w:rPr>
              <w:t>Diagnóstico de Atributos Específicos</w:t>
            </w:r>
          </w:p>
        </w:tc>
        <w:tc>
          <w:tcPr>
            <w:tcW w:type="dxa" w:w="5904"/>
            <w:vAlign w:val="top"/>
          </w:tcPr>
          <w:p>
            <w:pPr>
              <w:spacing w:after="60"/>
            </w:pPr>
            <w:r/>
            <w:r>
              <w:rPr>
                <w:b w:val="0"/>
              </w:rPr>
              <w:t>Evalúa secciones seleccionadas con rúbricas de Rubricas_6ago2025.xlsx para participación durante evaluación, género y transición justa moderna.</w:t>
            </w:r>
          </w:p>
        </w:tc>
      </w:tr>
      <w:tr>
        <w:trPr>
          <w:cantSplit/>
        </w:trPr>
        <w:tc>
          <w:tcPr>
            <w:tcW w:type="dxa" w:w="1008"/>
            <w:vAlign w:val="top"/>
          </w:tcPr>
          <w:p>
            <w:pPr>
              <w:spacing w:after="60"/>
            </w:pPr>
            <w:r/>
            <w:r>
              <w:rPr>
                <w:b w:val="0"/>
              </w:rPr>
              <w:t>3</w:t>
            </w:r>
          </w:p>
        </w:tc>
        <w:tc>
          <w:tcPr>
            <w:tcW w:type="dxa" w:w="3168"/>
            <w:vAlign w:val="top"/>
          </w:tcPr>
          <w:p>
            <w:pPr>
              <w:spacing w:after="60"/>
            </w:pPr>
            <w:r/>
            <w:r>
              <w:rPr>
                <w:b w:val="0"/>
              </w:rPr>
              <w:t>Diagnóstico de Sostenibilidad del Proyecto</w:t>
            </w:r>
          </w:p>
        </w:tc>
        <w:tc>
          <w:tcPr>
            <w:tcW w:type="dxa" w:w="5904"/>
            <w:vAlign w:val="top"/>
          </w:tcPr>
          <w:p>
            <w:pPr>
              <w:spacing w:after="60"/>
            </w:pPr>
            <w:r/>
            <w:r>
              <w:rPr>
                <w:b w:val="0"/>
              </w:rPr>
              <w:t>Evalúa sostenibilidad con Evaluación de sostenibilidad del proyecto_rubric_9feb26.xlsx y visualiza puntajes por dimensión y criterio.</w:t>
            </w:r>
          </w:p>
        </w:tc>
      </w:tr>
      <w:tr>
        <w:trPr>
          <w:cantSplit/>
        </w:trPr>
        <w:tc>
          <w:tcPr>
            <w:tcW w:type="dxa" w:w="1008"/>
            <w:vAlign w:val="top"/>
          </w:tcPr>
          <w:p>
            <w:pPr>
              <w:spacing w:after="60"/>
            </w:pPr>
            <w:r/>
            <w:r>
              <w:rPr>
                <w:b w:val="0"/>
              </w:rPr>
              <w:t>4</w:t>
            </w:r>
          </w:p>
        </w:tc>
        <w:tc>
          <w:tcPr>
            <w:tcW w:type="dxa" w:w="3168"/>
            <w:vAlign w:val="top"/>
          </w:tcPr>
          <w:p>
            <w:pPr>
              <w:spacing w:after="60"/>
            </w:pPr>
            <w:r/>
            <w:r>
              <w:rPr>
                <w:b w:val="0"/>
              </w:rPr>
              <w:t>Pregúntale a tus Documentos</w:t>
            </w:r>
          </w:p>
        </w:tc>
        <w:tc>
          <w:tcPr>
            <w:tcW w:type="dxa" w:w="5904"/>
            <w:vAlign w:val="top"/>
          </w:tcPr>
          <w:p>
            <w:pPr>
              <w:spacing w:after="60"/>
            </w:pPr>
            <w:r/>
            <w:r>
              <w:rPr>
                <w:b w:val="0"/>
              </w:rPr>
              <w:t>Chat con uno o varios DOCX/TXT, usando contexto completo para documentos pequeños y RAG con FAISS para documentos grandes.</w:t>
            </w:r>
          </w:p>
        </w:tc>
      </w:tr>
      <w:tr>
        <w:trPr>
          <w:cantSplit/>
        </w:trPr>
        <w:tc>
          <w:tcPr>
            <w:tcW w:type="dxa" w:w="1008"/>
            <w:vAlign w:val="top"/>
          </w:tcPr>
          <w:p>
            <w:pPr>
              <w:spacing w:after="60"/>
            </w:pPr>
            <w:r/>
            <w:r>
              <w:rPr>
                <w:b w:val="0"/>
              </w:rPr>
              <w:t>5</w:t>
            </w:r>
          </w:p>
        </w:tc>
        <w:tc>
          <w:tcPr>
            <w:tcW w:type="dxa" w:w="3168"/>
            <w:vAlign w:val="top"/>
          </w:tcPr>
          <w:p>
            <w:pPr>
              <w:spacing w:after="60"/>
            </w:pPr>
            <w:r/>
            <w:r>
              <w:rPr>
                <w:b w:val="0"/>
              </w:rPr>
              <w:t>Clasificación de Recomendaciones</w:t>
            </w:r>
          </w:p>
        </w:tc>
        <w:tc>
          <w:tcPr>
            <w:tcW w:type="dxa" w:w="5904"/>
            <w:vAlign w:val="top"/>
          </w:tcPr>
          <w:p>
            <w:pPr>
              <w:spacing w:after="60"/>
            </w:pPr>
            <w:r/>
            <w:r>
              <w:rPr>
                <w:b w:val="0"/>
              </w:rPr>
              <w:t>Clasifica recomendaciones desde una interfaz en español contra Frame_Recommendations_English.xlsx; el campo requerido del archivo de recomendaciones es Recommendation description.</w:t>
            </w:r>
          </w:p>
        </w:tc>
      </w:tr>
      <w:tr>
        <w:trPr>
          <w:cantSplit/>
        </w:trPr>
        <w:tc>
          <w:tcPr>
            <w:tcW w:type="dxa" w:w="1008"/>
            <w:vAlign w:val="top"/>
          </w:tcPr>
          <w:p>
            <w:pPr>
              <w:spacing w:after="60"/>
            </w:pPr>
            <w:r/>
            <w:r>
              <w:rPr>
                <w:b w:val="0"/>
              </w:rPr>
              <w:t>6</w:t>
            </w:r>
          </w:p>
        </w:tc>
        <w:tc>
          <w:tcPr>
            <w:tcW w:type="dxa" w:w="3168"/>
            <w:vAlign w:val="top"/>
          </w:tcPr>
          <w:p>
            <w:pPr>
              <w:spacing w:after="60"/>
            </w:pPr>
            <w:r/>
            <w:r>
              <w:rPr>
                <w:b w:val="0"/>
              </w:rPr>
              <w:t>Recommendation Classification</w:t>
            </w:r>
          </w:p>
        </w:tc>
        <w:tc>
          <w:tcPr>
            <w:tcW w:type="dxa" w:w="5904"/>
            <w:vAlign w:val="top"/>
          </w:tcPr>
          <w:p>
            <w:pPr>
              <w:spacing w:after="60"/>
            </w:pPr>
            <w:r/>
            <w:r>
              <w:rPr>
                <w:b w:val="0"/>
              </w:rPr>
              <w:t>Versión en inglés de la clasificación de recomendaciones con la misma lógica de Tab 5.</w:t>
            </w:r>
          </w:p>
        </w:tc>
      </w:tr>
    </w:tbl>
    <w:p/>
    <w:p>
      <w:pPr>
        <w:pStyle w:val="Heading1"/>
      </w:pPr>
      <w:r>
        <w:t>4. Dependencias</w:t>
      </w:r>
    </w:p>
    <w:p>
      <w:r>
        <w:t>requirements.txt fija o declara las siguientes dependencias principales:</w:t>
      </w:r>
    </w:p>
    <w:p>
      <w:pPr>
        <w:spacing w:after="0"/>
      </w:pPr>
      <w:r>
        <w:rPr>
          <w:rFonts w:ascii="Courier New" w:hAnsi="Courier New"/>
          <w:sz w:val="18"/>
        </w:rPr>
        <w:t>streamlit==1.27.0</w:t>
      </w:r>
    </w:p>
    <w:p>
      <w:pPr>
        <w:spacing w:after="0"/>
      </w:pPr>
      <w:r>
        <w:rPr>
          <w:rFonts w:ascii="Courier New" w:hAnsi="Courier New"/>
          <w:sz w:val="18"/>
        </w:rPr>
        <w:t>pandas==2.0.3</w:t>
      </w:r>
    </w:p>
    <w:p>
      <w:pPr>
        <w:spacing w:after="0"/>
      </w:pPr>
      <w:r>
        <w:rPr>
          <w:rFonts w:ascii="Courier New" w:hAnsi="Courier New"/>
          <w:sz w:val="18"/>
        </w:rPr>
        <w:t>numpy==1.24.3</w:t>
      </w:r>
    </w:p>
    <w:p>
      <w:pPr>
        <w:spacing w:after="0"/>
      </w:pPr>
      <w:r>
        <w:rPr>
          <w:rFonts w:ascii="Courier New" w:hAnsi="Courier New"/>
          <w:sz w:val="18"/>
        </w:rPr>
        <w:t>faiss-cpu==1.7.4</w:t>
      </w:r>
    </w:p>
    <w:p>
      <w:pPr>
        <w:spacing w:after="0"/>
      </w:pPr>
      <w:r>
        <w:rPr>
          <w:rFonts w:ascii="Courier New" w:hAnsi="Courier New"/>
          <w:sz w:val="18"/>
        </w:rPr>
        <w:t>openai&gt;=1.0.0</w:t>
      </w:r>
    </w:p>
    <w:p>
      <w:pPr>
        <w:spacing w:after="0"/>
      </w:pPr>
      <w:r>
        <w:rPr>
          <w:rFonts w:ascii="Courier New" w:hAnsi="Courier New"/>
          <w:sz w:val="18"/>
        </w:rPr>
        <w:t>matplotlib==3.7.2</w:t>
      </w:r>
    </w:p>
    <w:p>
      <w:pPr>
        <w:spacing w:after="0"/>
      </w:pPr>
      <w:r>
        <w:rPr>
          <w:rFonts w:ascii="Courier New" w:hAnsi="Courier New"/>
          <w:sz w:val="18"/>
        </w:rPr>
        <w:t>seaborn==0.12.2</w:t>
      </w:r>
    </w:p>
    <w:p>
      <w:pPr>
        <w:spacing w:after="0"/>
      </w:pPr>
      <w:r>
        <w:rPr>
          <w:rFonts w:ascii="Courier New" w:hAnsi="Courier New"/>
          <w:sz w:val="18"/>
        </w:rPr>
        <w:t>torch==2.0.1</w:t>
      </w:r>
    </w:p>
    <w:p>
      <w:pPr>
        <w:spacing w:after="0"/>
      </w:pPr>
      <w:r>
        <w:rPr>
          <w:rFonts w:ascii="Courier New" w:hAnsi="Courier New"/>
          <w:sz w:val="18"/>
        </w:rPr>
        <w:t>plotly==5.15.0</w:t>
      </w:r>
    </w:p>
    <w:p>
      <w:pPr>
        <w:spacing w:after="0"/>
      </w:pPr>
      <w:r>
        <w:rPr>
          <w:rFonts w:ascii="Courier New" w:hAnsi="Courier New"/>
          <w:sz w:val="18"/>
        </w:rPr>
        <w:t>xlsxwriter==3.1.2</w:t>
      </w:r>
    </w:p>
    <w:p>
      <w:pPr>
        <w:spacing w:after="0"/>
      </w:pPr>
      <w:r>
        <w:rPr>
          <w:rFonts w:ascii="Courier New" w:hAnsi="Courier New"/>
          <w:sz w:val="18"/>
        </w:rPr>
        <w:t>python-dotenv==1.0.0</w:t>
      </w:r>
    </w:p>
    <w:p>
      <w:pPr>
        <w:spacing w:after="0"/>
      </w:pPr>
      <w:r>
        <w:rPr>
          <w:rFonts w:ascii="Courier New" w:hAnsi="Courier New"/>
          <w:sz w:val="18"/>
        </w:rPr>
        <w:t>openpyxl</w:t>
      </w:r>
    </w:p>
    <w:p>
      <w:pPr>
        <w:spacing w:after="0"/>
      </w:pPr>
      <w:r>
        <w:rPr>
          <w:rFonts w:ascii="Courier New" w:hAnsi="Courier New"/>
          <w:sz w:val="18"/>
        </w:rPr>
        <w:t>rich==13.9.0</w:t>
      </w:r>
    </w:p>
    <w:p>
      <w:pPr>
        <w:spacing w:after="0"/>
      </w:pPr>
      <w:r>
        <w:rPr>
          <w:rFonts w:ascii="Courier New" w:hAnsi="Courier New"/>
          <w:sz w:val="18"/>
        </w:rPr>
        <w:t>python-docx==0.8.11</w:t>
      </w:r>
    </w:p>
    <w:p>
      <w:pPr>
        <w:spacing w:after="0"/>
      </w:pPr>
      <w:r>
        <w:rPr>
          <w:rFonts w:ascii="Courier New" w:hAnsi="Courier New"/>
          <w:sz w:val="18"/>
        </w:rPr>
        <w:t>docx2python</w:t>
      </w:r>
    </w:p>
    <w:p>
      <w:pPr>
        <w:spacing w:after="0"/>
      </w:pPr>
      <w:r>
        <w:rPr>
          <w:rFonts w:ascii="Courier New" w:hAnsi="Courier New"/>
          <w:sz w:val="18"/>
        </w:rPr>
        <w:t>tiktoken&gt;=0.5.0</w:t>
      </w:r>
    </w:p>
    <w:p>
      <w:pPr>
        <w:pStyle w:val="Heading1"/>
      </w:pPr>
      <w:r>
        <w:t>5. Modelos de IA y límites de contexto</w:t>
      </w:r>
    </w:p>
    <w:p>
      <w:pPr>
        <w:pStyle w:val="ListBullet"/>
      </w:pPr>
      <w:r>
        <w:t>Modelo principal de evaluación, crítica, síntesis y chat: gpt-5-mini.</w:t>
      </w:r>
    </w:p>
    <w:p>
      <w:pPr>
        <w:pStyle w:val="ListBullet"/>
      </w:pPr>
      <w:r>
        <w:t>Embeddings: text-embedding-3-large.</w:t>
      </w:r>
    </w:p>
    <w:p>
      <w:pPr>
        <w:pStyle w:val="ListBullet"/>
      </w:pPr>
      <w:r>
        <w:t>Análisis profundo de recomendaciones: la UI muestra un selector entre gpt-4o-mini y gpt-4o, pero el código actual no pasa esa selección a run_row_analysis; analyze_recommendation_plan_pair usa gpt-4o-mini por defecto.</w:t>
      </w:r>
    </w:p>
    <w:p>
      <w:pPr>
        <w:pStyle w:val="ListBullet"/>
      </w:pPr>
      <w:r>
        <w:t>Límite documental operativo: truncate_to_token_limit corta a aproximadamente 110,000 tokens para dejar espacio al prompt y respuesta.</w:t>
      </w:r>
    </w:p>
    <w:p>
      <w:pPr>
        <w:pStyle w:val="ListBullet"/>
      </w:pPr>
      <w:r>
        <w:t>En el chat documental, textos totales de hasta 100,000 caracteres usan contexto completo, luego se recortan a 110,000 tokens; textos mayores generan fragmentos de 2,000 caracteres con solape de 300 y RAG con FAISS.</w:t>
      </w:r>
    </w:p>
    <w:p>
      <w:pPr>
        <w:pStyle w:val="Heading2"/>
      </w:pPr>
      <w:r>
        <w:t>5.1 Regla de preguntas en dos partes en Tab 1</w:t>
      </w:r>
    </w:p>
    <w:p>
      <w:r>
        <w:t>Tab 1 detecta preguntas compuestas mediante parse_two_part_question, con patrones para una declaración seguida de pregunta, separadores explícitos como 'específicamente', dos signos de pregunta, y casos unidos sin espacio. Cuando se detectan dos partes, la Parte 2 es el foco evaluativo y la Parte 1 es solo marco contextual.</w:t>
      </w:r>
    </w:p>
    <w:p>
      <w:pPr>
        <w:pStyle w:val="ListBullet"/>
      </w:pPr>
      <w:r>
        <w:t>El razonamiento del primer análisis debe iniciar con 'Se identificaron 2 partes en esta pregunta.'.</w:t>
      </w:r>
    </w:p>
    <w:p>
      <w:pPr>
        <w:pStyle w:val="ListBullet"/>
      </w:pPr>
      <w:r>
        <w:t>La evidencia se etiqueta como [DEDICATED] cuando aporta elementos específicos al sujeto evaluado y como [FRAMING] cuando es solo contexto, lista de grupos o lenguaje general.</w:t>
      </w:r>
    </w:p>
    <w:p>
      <w:pPr>
        <w:pStyle w:val="ListBullet"/>
      </w:pPr>
      <w:r>
        <w:t>El crítico de Tab 1 vuelve a evaluar con el documento completo y el código aplica una compuerta mecánica sobre el veredicto.</w:t>
      </w:r>
    </w:p>
    <w:p>
      <w:pPr>
        <w:pStyle w:val="ListBullet"/>
      </w:pPr>
      <w:r>
        <w:t>Si el modelo no mantiene el foco en Parte 2, la fila puede quedar con Status = Partial aunque el análisis haya terminado.</w:t>
      </w:r>
    </w:p>
    <w:p>
      <w:pPr>
        <w:pStyle w:val="Heading2"/>
      </w:pPr>
      <w:r>
        <w:t>5.2 Regla de temas transversales en Tab 1</w:t>
      </w:r>
    </w:p>
    <w:p>
      <w:r>
        <w:t>Tab 1 mantiene el marco A-E general para preguntas con sujeto específico, pero lo omite por completo cuando la pregunta corresponde a un tema transversal configurado.</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3024"/>
            <w:vAlign w:val="top"/>
            <w:shd w:fill="002F6C"/>
          </w:tcPr>
          <w:p>
            <w:pPr>
              <w:spacing w:after="60"/>
            </w:pPr>
            <w:r/>
            <w:r>
              <w:rPr>
                <w:b/>
                <w:color w:val="FFFFFF"/>
              </w:rPr>
              <w:t>Tema transversal reconocido</w:t>
            </w:r>
          </w:p>
        </w:tc>
        <w:tc>
          <w:tcPr>
            <w:tcW w:type="dxa" w:w="6768"/>
            <w:vAlign w:val="top"/>
            <w:shd w:fill="002F6C"/>
          </w:tcPr>
          <w:p>
            <w:pPr>
              <w:spacing w:after="60"/>
            </w:pPr>
            <w:r/>
            <w:r>
              <w:rPr>
                <w:b/>
                <w:color w:val="FFFFFF"/>
              </w:rPr>
              <w:t>Criterios de detección en código</w:t>
            </w:r>
          </w:p>
        </w:tc>
      </w:tr>
      <w:tr>
        <w:trPr>
          <w:cantSplit/>
        </w:trPr>
        <w:tc>
          <w:tcPr>
            <w:tcW w:type="dxa" w:w="3024"/>
            <w:vAlign w:val="top"/>
          </w:tcPr>
          <w:p>
            <w:pPr>
              <w:spacing w:after="60"/>
            </w:pPr>
            <w:r/>
            <w:r>
              <w:rPr>
                <w:b w:val="0"/>
              </w:rPr>
              <w:t>Género</w:t>
            </w:r>
          </w:p>
        </w:tc>
        <w:tc>
          <w:tcPr>
            <w:tcW w:type="dxa" w:w="6768"/>
            <w:vAlign w:val="top"/>
          </w:tcPr>
          <w:p>
            <w:pPr>
              <w:spacing w:after="60"/>
            </w:pPr>
            <w:r/>
            <w:r>
              <w:rPr>
                <w:b w:val="0"/>
              </w:rPr>
              <w:t>Aliases como género, igualdad de género, enfoque de género, mujeres y niñas.</w:t>
            </w:r>
          </w:p>
        </w:tc>
      </w:tr>
      <w:tr>
        <w:trPr>
          <w:cantSplit/>
        </w:trPr>
        <w:tc>
          <w:tcPr>
            <w:tcW w:type="dxa" w:w="3024"/>
            <w:vAlign w:val="top"/>
          </w:tcPr>
          <w:p>
            <w:pPr>
              <w:spacing w:after="60"/>
            </w:pPr>
            <w:r/>
            <w:r>
              <w:rPr>
                <w:b w:val="0"/>
              </w:rPr>
              <w:t>No discriminación</w:t>
            </w:r>
          </w:p>
        </w:tc>
        <w:tc>
          <w:tcPr>
            <w:tcW w:type="dxa" w:w="6768"/>
            <w:vAlign w:val="top"/>
          </w:tcPr>
          <w:p>
            <w:pPr>
              <w:spacing w:after="60"/>
            </w:pPr>
            <w:r/>
            <w:r>
              <w:rPr>
                <w:b w:val="0"/>
              </w:rPr>
              <w:t>Aliases como no discriminación, antidiscriminación, discriminación, igualdad de oportunidades y trato igualitario.</w:t>
            </w:r>
          </w:p>
        </w:tc>
      </w:tr>
      <w:tr>
        <w:trPr>
          <w:cantSplit/>
        </w:trPr>
        <w:tc>
          <w:tcPr>
            <w:tcW w:type="dxa" w:w="3024"/>
            <w:vAlign w:val="top"/>
          </w:tcPr>
          <w:p>
            <w:pPr>
              <w:spacing w:after="60"/>
            </w:pPr>
            <w:r/>
            <w:r>
              <w:rPr>
                <w:b w:val="0"/>
              </w:rPr>
              <w:t>Discapacidad</w:t>
            </w:r>
          </w:p>
        </w:tc>
        <w:tc>
          <w:tcPr>
            <w:tcW w:type="dxa" w:w="6768"/>
            <w:vAlign w:val="top"/>
          </w:tcPr>
          <w:p>
            <w:pPr>
              <w:spacing w:after="60"/>
            </w:pPr>
            <w:r/>
            <w:r>
              <w:rPr>
                <w:b w:val="0"/>
              </w:rPr>
              <w:t>Aliases como discapacidad, personas con discapacidad, PCD, accesibilidad e inclusión de personas con discapacidad.</w:t>
            </w:r>
          </w:p>
        </w:tc>
      </w:tr>
      <w:tr>
        <w:trPr>
          <w:cantSplit/>
        </w:trPr>
        <w:tc>
          <w:tcPr>
            <w:tcW w:type="dxa" w:w="3024"/>
            <w:vAlign w:val="top"/>
          </w:tcPr>
          <w:p>
            <w:pPr>
              <w:spacing w:after="60"/>
            </w:pPr>
            <w:r/>
            <w:r>
              <w:rPr>
                <w:b w:val="0"/>
              </w:rPr>
              <w:t>Diálogo social y tripartismo</w:t>
            </w:r>
          </w:p>
        </w:tc>
        <w:tc>
          <w:tcPr>
            <w:tcW w:type="dxa" w:w="6768"/>
            <w:vAlign w:val="top"/>
          </w:tcPr>
          <w:p>
            <w:pPr>
              <w:spacing w:after="60"/>
            </w:pPr>
            <w:r/>
            <w:r>
              <w:rPr>
                <w:b w:val="0"/>
              </w:rPr>
              <w:t>Aliases como diálogo social, tripartismo, tripartita, sindicatos, organizaciones de trabajadores y organizaciones de empleadores.</w:t>
            </w:r>
          </w:p>
        </w:tc>
      </w:tr>
      <w:tr>
        <w:trPr>
          <w:cantSplit/>
        </w:trPr>
        <w:tc>
          <w:tcPr>
            <w:tcW w:type="dxa" w:w="3024"/>
            <w:vAlign w:val="top"/>
          </w:tcPr>
          <w:p>
            <w:pPr>
              <w:spacing w:after="60"/>
            </w:pPr>
            <w:r/>
            <w:r>
              <w:rPr>
                <w:b w:val="0"/>
              </w:rPr>
              <w:t>Sostenibilidad medioambiental</w:t>
            </w:r>
          </w:p>
        </w:tc>
        <w:tc>
          <w:tcPr>
            <w:tcW w:type="dxa" w:w="6768"/>
            <w:vAlign w:val="top"/>
          </w:tcPr>
          <w:p>
            <w:pPr>
              <w:spacing w:after="60"/>
            </w:pPr>
            <w:r/>
            <w:r>
              <w:rPr>
                <w:b w:val="0"/>
              </w:rPr>
              <w:t>Aliases como sostenibilidad ambiental, medio ambiente, ambiental, cambio climático, acción climática y economía verde.</w:t>
            </w:r>
          </w:p>
        </w:tc>
      </w:tr>
    </w:tbl>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1872"/>
            <w:vAlign w:val="top"/>
            <w:shd w:fill="002F6C"/>
          </w:tcPr>
          <w:p>
            <w:pPr>
              <w:spacing w:after="60"/>
            </w:pPr>
            <w:r/>
            <w:r>
              <w:rPr>
                <w:b/>
                <w:color w:val="FFFFFF"/>
              </w:rPr>
              <w:t>Criterio transversal</w:t>
            </w:r>
          </w:p>
        </w:tc>
        <w:tc>
          <w:tcPr>
            <w:tcW w:type="dxa" w:w="7920"/>
            <w:vAlign w:val="top"/>
            <w:shd w:fill="002F6C"/>
          </w:tcPr>
          <w:p>
            <w:pPr>
              <w:spacing w:after="60"/>
            </w:pPr>
            <w:r/>
            <w:r>
              <w:rPr>
                <w:b/>
                <w:color w:val="FFFFFF"/>
              </w:rPr>
              <w:t>Definición operativa</w:t>
            </w:r>
          </w:p>
        </w:tc>
      </w:tr>
      <w:tr>
        <w:trPr>
          <w:cantSplit/>
        </w:trPr>
        <w:tc>
          <w:tcPr>
            <w:tcW w:type="dxa" w:w="1872"/>
            <w:vAlign w:val="top"/>
          </w:tcPr>
          <w:p>
            <w:pPr>
              <w:spacing w:after="60"/>
            </w:pPr>
            <w:r/>
            <w:r>
              <w:rPr>
                <w:b w:val="0"/>
              </w:rPr>
              <w:t>A</w:t>
            </w:r>
          </w:p>
        </w:tc>
        <w:tc>
          <w:tcPr>
            <w:tcW w:type="dxa" w:w="7920"/>
            <w:vAlign w:val="top"/>
          </w:tcPr>
          <w:p>
            <w:pPr>
              <w:spacing w:after="60"/>
            </w:pPr>
            <w:r/>
            <w:r>
              <w:rPr>
                <w:b w:val="0"/>
              </w:rPr>
              <w:t>Presencia operacional del tema en objetivo, producto o actividad.</w:t>
            </w:r>
          </w:p>
        </w:tc>
      </w:tr>
      <w:tr>
        <w:trPr>
          <w:cantSplit/>
        </w:trPr>
        <w:tc>
          <w:tcPr>
            <w:tcW w:type="dxa" w:w="1872"/>
            <w:vAlign w:val="top"/>
          </w:tcPr>
          <w:p>
            <w:pPr>
              <w:spacing w:after="60"/>
            </w:pPr>
            <w:r/>
            <w:r>
              <w:rPr>
                <w:b w:val="0"/>
              </w:rPr>
              <w:t>B</w:t>
            </w:r>
          </w:p>
        </w:tc>
        <w:tc>
          <w:tcPr>
            <w:tcW w:type="dxa" w:w="7920"/>
            <w:vAlign w:val="top"/>
          </w:tcPr>
          <w:p>
            <w:pPr>
              <w:spacing w:after="60"/>
            </w:pPr>
            <w:r/>
            <w:r>
              <w:rPr>
                <w:b w:val="0"/>
              </w:rPr>
              <w:t>Presupuesto, recursos o línea presupuestaria para alguna actividad correspondiente.</w:t>
            </w:r>
          </w:p>
        </w:tc>
      </w:tr>
    </w:tbl>
    <w:p/>
    <w:p>
      <w:r>
        <w:t>La calificación automática para estos temas es: Yes cuando A y B están presentes; Partial cuando solo A o solo B está presente; No cuando no están presentes ni A ni B. Indicadores y metas no cuentan para la regla transversal. El crítico puede sobrescribir mecánicamente un veredicto inconsistente con A/B.</w:t>
      </w:r>
    </w:p>
    <w:p>
      <w:pPr>
        <w:pStyle w:val="Heading2"/>
      </w:pPr>
      <w:r>
        <w:t>5.3 Comportamiento preciso de Tab 4</w:t>
      </w:r>
    </w:p>
    <w:p>
      <w:pPr>
        <w:pStyle w:val="ListBullet"/>
      </w:pPr>
      <w:r>
        <w:t>DOCX se extrae con python-docx leyendo párrafos; TXT se lee como texto plano UTF-8 con errors='ignore'. Este flujo no usa el extractor jerárquico enriquecido, por lo que tablas, metadatos de encabezado, páginas y citas por sección no son confiables en Tab 4.</w:t>
      </w:r>
    </w:p>
    <w:p>
      <w:pPr>
        <w:pStyle w:val="ListBullet"/>
      </w:pPr>
      <w:r>
        <w:t>Para documentos grandes, los embeddings de fragmentos se guardan en st.session_state; en cada pregunta se reconstruye un FAISS IndexFlatIP, se normalizan los vectores y se recuperan hasta 15 fragmentos vectoriales.</w:t>
      </w:r>
    </w:p>
    <w:p>
      <w:pPr>
        <w:pStyle w:val="ListBullet"/>
      </w:pPr>
      <w:r>
        <w:t>El contexto RAG agrega además hasta 5 fragmentos por coincidencia exacta de palabras clave, deduplicados contra los fragmentos vectoriales.</w:t>
      </w:r>
    </w:p>
    <w:p>
      <w:pPr>
        <w:pStyle w:val="ListBullet"/>
      </w:pPr>
      <w:r>
        <w:t>La llamada al modelo incluye solo los últimos 5 mensajes del chat.</w:t>
      </w:r>
    </w:p>
    <w:p>
      <w:pPr>
        <w:pStyle w:val="ListBullet"/>
      </w:pPr>
      <w:r>
        <w:t>La detección de cambio de archivos usa la lista de nombres, no hash de contenido; si se sube otro archivo con el mismo nombre puede quedar estado anterior hasta reiniciar sesión o cambiar nombres.</w:t>
      </w:r>
    </w:p>
    <w:p>
      <w:pPr>
        <w:pStyle w:val="ListBullet"/>
      </w:pPr>
      <w:r>
        <w:t>La ruta de documentos pequeños exige responder solo con el documento; la ruta RAG permite inferencia con pistas contextuales, por lo que las conclusiones deben verificarse contra el archivo fuente.</w:t>
      </w:r>
    </w:p>
    <w:p>
      <w:pPr>
        <w:pStyle w:val="Heading1"/>
      </w:pPr>
      <w:r>
        <w:t>6. Inicialización y caché</w:t>
      </w:r>
    </w:p>
    <w:p>
      <w:pPr>
        <w:pStyle w:val="ListBullet"/>
      </w:pPr>
      <w:r>
        <w:t>load_data() carga df_complete_all_full.xlsx, df_split_actions.xlsx y prepara columnas normalizadas.</w:t>
      </w:r>
    </w:p>
    <w:p>
      <w:pPr>
        <w:pStyle w:val="ListBullet"/>
      </w:pPr>
      <w:r>
        <w:t>load_extended_data() agrega analyzed_recommendations_plans_v5.csv cuando está disponible y guarda analyzed_df en st.session_state.</w:t>
      </w:r>
    </w:p>
    <w:p>
      <w:pPr>
        <w:pStyle w:val="ListBullet"/>
      </w:pPr>
      <w:r>
        <w:t>load_embeddings() carga emb_Recomm_rec_cl_4.pt y Recommendation_RAG_Metadata.pt y construye un índice FAISS en memoria. Aunque la interfaz visible de búsqueda de recomendaciones está comentada, esta carga sigue siendo una dependencia activa porque se ejecuta durante el arranque.</w:t>
      </w:r>
    </w:p>
    <w:p>
      <w:pPr>
        <w:pStyle w:val="ListBullet"/>
      </w:pPr>
      <w:r>
        <w:t>Las funciones de carga usan st.cache_data; limpiar caché de Streamlit fuerza una recarga de archivos.</w:t>
      </w:r>
    </w:p>
    <w:p>
      <w:pPr>
        <w:pStyle w:val="ListBullet"/>
      </w:pPr>
      <w:r>
        <w:t>El bloque principal inicializa datos y embeddings dos veces en el archivo; el comportamiento final es equivalente, pero una futura limpieza puede consolidarlo.</w:t>
      </w:r>
    </w:p>
    <w:p>
      <w:pPr>
        <w:pStyle w:val="ListBullet"/>
      </w:pPr>
      <w:r>
        <w:t>Tabs 5 y 6 usan embeddings_cache.pkl para cachear embeddings de clasificación y analysis_cache.pkl para análisis profundo de recomendaciones.</w:t>
      </w:r>
    </w:p>
    <w:p>
      <w:pPr>
        <w:pStyle w:val="ListBullet"/>
      </w:pPr>
      <w:r>
        <w:t>Tab 4 guarda documentos, fragmentos y embeddings solo en st.session_state durante la sesión.</w:t>
      </w:r>
    </w:p>
    <w:p>
      <w:pPr>
        <w:pStyle w:val="Heading1"/>
      </w:pPr>
      <w:r>
        <w:t>7. Despliegue</w:t>
      </w:r>
    </w:p>
    <w:p>
      <w:r>
        <w:t>Ejecución local estándar:</w:t>
      </w:r>
    </w:p>
    <w:p>
      <w:pPr>
        <w:spacing w:after="0"/>
      </w:pPr>
      <w:r>
        <w:rPr>
          <w:rFonts w:ascii="Courier New" w:hAnsi="Courier New"/>
          <w:sz w:val="18"/>
        </w:rPr>
        <w:t>streamlit run oli_v6_deploy.py</w:t>
      </w:r>
    </w:p>
    <w:p>
      <w:r>
        <w:t>En producción, si STREAMLIT_ENV=production, el código toma rutas de archivos desde st.secrets. La clave de OpenAI se lee desde la variable de entorno OPENAI_API_KEY.</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3024"/>
            <w:vAlign w:val="top"/>
            <w:shd w:fill="002F6C"/>
          </w:tcPr>
          <w:p>
            <w:pPr>
              <w:spacing w:after="60"/>
            </w:pPr>
            <w:r/>
            <w:r>
              <w:rPr>
                <w:b/>
                <w:color w:val="FFFFFF"/>
              </w:rPr>
              <w:t>Secreto o variable</w:t>
            </w:r>
          </w:p>
        </w:tc>
        <w:tc>
          <w:tcPr>
            <w:tcW w:type="dxa" w:w="6768"/>
            <w:vAlign w:val="top"/>
            <w:shd w:fill="002F6C"/>
          </w:tcPr>
          <w:p>
            <w:pPr>
              <w:spacing w:after="60"/>
            </w:pPr>
            <w:r/>
            <w:r>
              <w:rPr>
                <w:b/>
                <w:color w:val="FFFFFF"/>
              </w:rPr>
              <w:t>Uso en el código</w:t>
            </w:r>
          </w:p>
        </w:tc>
      </w:tr>
      <w:tr>
        <w:trPr>
          <w:cantSplit/>
        </w:trPr>
        <w:tc>
          <w:tcPr>
            <w:tcW w:type="dxa" w:w="3024"/>
            <w:vAlign w:val="top"/>
          </w:tcPr>
          <w:p>
            <w:pPr>
              <w:spacing w:after="60"/>
            </w:pPr>
            <w:r/>
            <w:r>
              <w:rPr>
                <w:b w:val="0"/>
              </w:rPr>
              <w:t>OPENAI_API_KEY</w:t>
            </w:r>
          </w:p>
        </w:tc>
        <w:tc>
          <w:tcPr>
            <w:tcW w:type="dxa" w:w="6768"/>
            <w:vAlign w:val="top"/>
          </w:tcPr>
          <w:p>
            <w:pPr>
              <w:spacing w:after="60"/>
            </w:pPr>
            <w:r/>
            <w:r>
              <w:rPr>
                <w:b w:val="0"/>
              </w:rPr>
              <w:t>Autenticación del cliente OpenAI.</w:t>
            </w:r>
          </w:p>
        </w:tc>
      </w:tr>
      <w:tr>
        <w:trPr>
          <w:cantSplit/>
        </w:trPr>
        <w:tc>
          <w:tcPr>
            <w:tcW w:type="dxa" w:w="3024"/>
            <w:vAlign w:val="top"/>
          </w:tcPr>
          <w:p>
            <w:pPr>
              <w:spacing w:after="60"/>
            </w:pPr>
            <w:r/>
            <w:r>
              <w:rPr>
                <w:b w:val="0"/>
              </w:rPr>
              <w:t>df_path</w:t>
            </w:r>
          </w:p>
        </w:tc>
        <w:tc>
          <w:tcPr>
            <w:tcW w:type="dxa" w:w="6768"/>
            <w:vAlign w:val="top"/>
          </w:tcPr>
          <w:p>
            <w:pPr>
              <w:spacing w:after="60"/>
            </w:pPr>
            <w:r/>
            <w:r>
              <w:rPr>
                <w:b w:val="0"/>
              </w:rPr>
              <w:t>Ruta de df_complete_all_full.xlsx en producción.</w:t>
            </w:r>
          </w:p>
        </w:tc>
      </w:tr>
      <w:tr>
        <w:trPr>
          <w:cantSplit/>
        </w:trPr>
        <w:tc>
          <w:tcPr>
            <w:tcW w:type="dxa" w:w="3024"/>
            <w:vAlign w:val="top"/>
          </w:tcPr>
          <w:p>
            <w:pPr>
              <w:spacing w:after="60"/>
            </w:pPr>
            <w:r/>
            <w:r>
              <w:rPr>
                <w:b w:val="0"/>
              </w:rPr>
              <w:t>df_raw_path</w:t>
            </w:r>
          </w:p>
        </w:tc>
        <w:tc>
          <w:tcPr>
            <w:tcW w:type="dxa" w:w="6768"/>
            <w:vAlign w:val="top"/>
          </w:tcPr>
          <w:p>
            <w:pPr>
              <w:spacing w:after="60"/>
            </w:pPr>
            <w:r/>
            <w:r>
              <w:rPr>
                <w:b w:val="0"/>
              </w:rPr>
              <w:t>Ruta de df_split_actions.xlsx en producción.</w:t>
            </w:r>
          </w:p>
        </w:tc>
      </w:tr>
      <w:tr>
        <w:trPr>
          <w:cantSplit/>
        </w:trPr>
        <w:tc>
          <w:tcPr>
            <w:tcW w:type="dxa" w:w="3024"/>
            <w:vAlign w:val="top"/>
          </w:tcPr>
          <w:p>
            <w:pPr>
              <w:spacing w:after="60"/>
            </w:pPr>
            <w:r/>
            <w:r>
              <w:rPr>
                <w:b w:val="0"/>
              </w:rPr>
              <w:t>embeddings_path</w:t>
            </w:r>
          </w:p>
        </w:tc>
        <w:tc>
          <w:tcPr>
            <w:tcW w:type="dxa" w:w="6768"/>
            <w:vAlign w:val="top"/>
          </w:tcPr>
          <w:p>
            <w:pPr>
              <w:spacing w:after="60"/>
            </w:pPr>
            <w:r/>
            <w:r>
              <w:rPr>
                <w:b w:val="0"/>
              </w:rPr>
              <w:t>Ruta de emb_Recomm_rec_cl_4.pt en producción.</w:t>
            </w:r>
          </w:p>
        </w:tc>
      </w:tr>
      <w:tr>
        <w:trPr>
          <w:cantSplit/>
        </w:trPr>
        <w:tc>
          <w:tcPr>
            <w:tcW w:type="dxa" w:w="3024"/>
            <w:vAlign w:val="top"/>
          </w:tcPr>
          <w:p>
            <w:pPr>
              <w:spacing w:after="60"/>
            </w:pPr>
            <w:r/>
            <w:r>
              <w:rPr>
                <w:b w:val="0"/>
              </w:rPr>
              <w:t>structured_embeddings_path</w:t>
            </w:r>
          </w:p>
        </w:tc>
        <w:tc>
          <w:tcPr>
            <w:tcW w:type="dxa" w:w="6768"/>
            <w:vAlign w:val="top"/>
          </w:tcPr>
          <w:p>
            <w:pPr>
              <w:spacing w:after="60"/>
            </w:pPr>
            <w:r/>
            <w:r>
              <w:rPr>
                <w:b w:val="0"/>
              </w:rPr>
              <w:t>Ruta de Recommendation_RAG_Metadata.pt en producción.</w:t>
            </w:r>
          </w:p>
        </w:tc>
      </w:tr>
      <w:tr>
        <w:trPr>
          <w:cantSplit/>
        </w:trPr>
        <w:tc>
          <w:tcPr>
            <w:tcW w:type="dxa" w:w="3024"/>
            <w:vAlign w:val="top"/>
          </w:tcPr>
          <w:p>
            <w:pPr>
              <w:spacing w:after="60"/>
            </w:pPr>
            <w:r/>
            <w:r>
              <w:rPr>
                <w:b w:val="0"/>
              </w:rPr>
              <w:t>analyzed_recommendations_path</w:t>
            </w:r>
          </w:p>
        </w:tc>
        <w:tc>
          <w:tcPr>
            <w:tcW w:type="dxa" w:w="6768"/>
            <w:vAlign w:val="top"/>
          </w:tcPr>
          <w:p>
            <w:pPr>
              <w:spacing w:after="60"/>
            </w:pPr>
            <w:r/>
            <w:r>
              <w:rPr>
                <w:b w:val="0"/>
              </w:rPr>
              <w:t>Ruta opcional de analyzed_recommendations_plans_v5.csv en producción.</w:t>
            </w:r>
          </w:p>
        </w:tc>
      </w:tr>
      <w:tr>
        <w:trPr>
          <w:cantSplit/>
        </w:trPr>
        <w:tc>
          <w:tcPr>
            <w:tcW w:type="dxa" w:w="3024"/>
            <w:vAlign w:val="top"/>
          </w:tcPr>
          <w:p>
            <w:pPr>
              <w:spacing w:after="60"/>
            </w:pPr>
            <w:r/>
            <w:r>
              <w:rPr>
                <w:b w:val="0"/>
              </w:rPr>
              <w:t>lessons_embeddings_path</w:t>
            </w:r>
          </w:p>
        </w:tc>
        <w:tc>
          <w:tcPr>
            <w:tcW w:type="dxa" w:w="6768"/>
            <w:vAlign w:val="top"/>
          </w:tcPr>
          <w:p>
            <w:pPr>
              <w:spacing w:after="60"/>
            </w:pPr>
            <w:r/>
            <w:r>
              <w:rPr>
                <w:b w:val="0"/>
              </w:rPr>
              <w:t>Ruta de emb_LL_ll_cl_4.pt para una función de lecciones que no está conectada a una pestaña activa.</w:t>
            </w:r>
          </w:p>
        </w:tc>
      </w:tr>
      <w:tr>
        <w:trPr>
          <w:cantSplit/>
        </w:trPr>
        <w:tc>
          <w:tcPr>
            <w:tcW w:type="dxa" w:w="3024"/>
            <w:vAlign w:val="top"/>
          </w:tcPr>
          <w:p>
            <w:pPr>
              <w:spacing w:after="60"/>
            </w:pPr>
            <w:r/>
            <w:r>
              <w:rPr>
                <w:b w:val="0"/>
              </w:rPr>
              <w:t>structured_lessons_path</w:t>
            </w:r>
          </w:p>
        </w:tc>
        <w:tc>
          <w:tcPr>
            <w:tcW w:type="dxa" w:w="6768"/>
            <w:vAlign w:val="top"/>
          </w:tcPr>
          <w:p>
            <w:pPr>
              <w:spacing w:after="60"/>
            </w:pPr>
            <w:r/>
            <w:r>
              <w:rPr>
                <w:b w:val="0"/>
              </w:rPr>
              <w:t>Ruta de lessons_metadata.pt para una función de lecciones que no está conectada a una pestaña activa.</w:t>
            </w:r>
          </w:p>
        </w:tc>
      </w:tr>
    </w:tbl>
    <w:p/>
    <w:p>
      <w:pPr>
        <w:pStyle w:val="Heading1"/>
      </w:pPr>
      <w:r>
        <w:t>8. Riesgos técnicos operativos</w:t>
      </w:r>
    </w:p>
    <w:p>
      <w:pPr>
        <w:pStyle w:val="ListBullet"/>
      </w:pPr>
      <w:r>
        <w:t>La app no implementa autenticación, autorización, auditoría, aislamiento por tenant, escaneo de archivos cargados ni redacción automática de secretos; depende del control del entorno de hosting.</w:t>
      </w:r>
    </w:p>
    <w:p>
      <w:pPr>
        <w:pStyle w:val="ListBullet"/>
      </w:pPr>
      <w:r>
        <w:t>Los documentos cargados y sus extractos se envían a OpenAI para análisis; deben tratarse como datos potencialmente sensibles.</w:t>
      </w:r>
    </w:p>
    <w:p>
      <w:pPr>
        <w:pStyle w:val="ListBullet"/>
      </w:pPr>
      <w:r>
        <w:t>El almacén de datos es file-based; reemplazar un archivo de entrada cambia el comportamiento de la app sin migraciones de esquema.</w:t>
      </w:r>
    </w:p>
    <w:p>
      <w:pPr>
        <w:pStyle w:val="ListBullet"/>
      </w:pPr>
      <w:r>
        <w:t>Las rutas locales son relativas al directorio desde el cual se ejecuta Streamlit.</w:t>
      </w:r>
    </w:p>
    <w:p>
      <w:pPr>
        <w:pStyle w:val="ListBullet"/>
      </w:pPr>
      <w:r>
        <w:t>Los archivos de salida XLSX/ZIP pueden contener citas textuales del documento original y deben manejarse con la misma confidencialidad.</w:t>
      </w:r>
    </w:p>
    <w:p>
      <w:pPr>
        <w:pStyle w:val="ListBullet"/>
      </w:pPr>
      <w:r>
        <w:t>Los cachés pickle locales no están cifrados ni verificados por integridad.</w:t>
      </w:r>
    </w:p>
    <w:p>
      <w:pPr>
        <w:pStyle w:val="Heading1"/>
      </w:pPr>
      <w:r>
        <w:t>9. Capa de asistentes GPT en ChatGPT</w:t>
      </w:r>
    </w:p>
    <w:p>
      <w:r>
        <w:t>Tres GPTs personalizados publicados en ChatGPT exponen los motores de evaluación sin necesidad de que el usuario abra Streamlit. Los tres consumen un mismo backend FastAPI desplegado en Render; el usuario sube el DOCX dentro del chat y recibe un XLSX descargable.</w:t>
      </w:r>
    </w:p>
    <w:tbl>
      <w:tblPr>
        <w:tblStyle w:val="TableGrid"/>
        <w:tblW w:type="auto" w:w="0"/>
        <w:jc w:val="center"/>
        <w:tblLook w:firstColumn="1" w:firstRow="1" w:lastColumn="0" w:lastRow="0" w:noHBand="0" w:noVBand="1" w:val="04A0"/>
      </w:tblPr>
      <w:tblGrid>
        <w:gridCol w:w="2520"/>
        <w:gridCol w:w="2520"/>
        <w:gridCol w:w="2520"/>
        <w:gridCol w:w="2520"/>
      </w:tblGrid>
      <w:tr>
        <w:trPr>
          <w:cantSplit/>
          <w:tblHeader w:val="true"/>
        </w:trPr>
        <w:tc>
          <w:tcPr>
            <w:tcW w:type="dxa" w:w="2448"/>
            <w:vAlign w:val="top"/>
            <w:shd w:fill="002F6C"/>
          </w:tcPr>
          <w:p>
            <w:pPr>
              <w:spacing w:after="60"/>
            </w:pPr>
            <w:r/>
            <w:r>
              <w:rPr>
                <w:b/>
                <w:color w:val="FFFFFF"/>
              </w:rPr>
              <w:t>Asistente</w:t>
            </w:r>
          </w:p>
        </w:tc>
        <w:tc>
          <w:tcPr>
            <w:tcW w:type="dxa" w:w="2880"/>
            <w:vAlign w:val="top"/>
            <w:shd w:fill="002F6C"/>
          </w:tcPr>
          <w:p>
            <w:pPr>
              <w:spacing w:after="60"/>
            </w:pPr>
            <w:r/>
            <w:r>
              <w:rPr>
                <w:b/>
                <w:color w:val="FFFFFF"/>
              </w:rPr>
              <w:t>Motor y rúbrica</w:t>
            </w:r>
          </w:p>
        </w:tc>
        <w:tc>
          <w:tcPr>
            <w:tcW w:type="dxa" w:w="2304"/>
            <w:vAlign w:val="top"/>
            <w:shd w:fill="002F6C"/>
          </w:tcPr>
          <w:p>
            <w:pPr>
              <w:spacing w:after="60"/>
            </w:pPr>
            <w:r/>
            <w:r>
              <w:rPr>
                <w:b/>
                <w:color w:val="FFFFFF"/>
              </w:rPr>
              <w:t>Escala</w:t>
            </w:r>
          </w:p>
        </w:tc>
        <w:tc>
          <w:tcPr>
            <w:tcW w:type="dxa" w:w="2160"/>
            <w:vAlign w:val="top"/>
            <w:shd w:fill="002F6C"/>
          </w:tcPr>
          <w:p>
            <w:pPr>
              <w:spacing w:after="60"/>
            </w:pPr>
            <w:r/>
            <w:r>
              <w:rPr>
                <w:b/>
                <w:color w:val="FFFFFF"/>
              </w:rPr>
              <w:t>Endpoints</w:t>
            </w:r>
          </w:p>
        </w:tc>
      </w:tr>
      <w:tr>
        <w:trPr>
          <w:cantSplit/>
        </w:trPr>
        <w:tc>
          <w:tcPr>
            <w:tcW w:type="dxa" w:w="2448"/>
            <w:vAlign w:val="top"/>
          </w:tcPr>
          <w:p>
            <w:pPr>
              <w:spacing w:after="60"/>
            </w:pPr>
            <w:r/>
            <w:r>
              <w:rPr>
                <w:b w:val="0"/>
              </w:rPr>
              <w:t>ILO PRODOC Quality Appraisal (Tab 1 v3)</w:t>
            </w:r>
          </w:p>
        </w:tc>
        <w:tc>
          <w:tcPr>
            <w:tcW w:type="dxa" w:w="2880"/>
            <w:vAlign w:val="top"/>
          </w:tcPr>
          <w:p>
            <w:pPr>
              <w:spacing w:after="60"/>
            </w:pPr>
            <w:r/>
            <w:r>
              <w:rPr>
                <w:b w:val="0"/>
              </w:rPr>
              <w:t>tab1_v3_core.py + Rubrica_Tab1_Detallada_Full_v3.xlsx</w:t>
            </w:r>
          </w:p>
        </w:tc>
        <w:tc>
          <w:tcPr>
            <w:tcW w:type="dxa" w:w="2304"/>
            <w:vAlign w:val="top"/>
          </w:tcPr>
          <w:p>
            <w:pPr>
              <w:spacing w:after="60"/>
            </w:pPr>
            <w:r/>
            <w:r>
              <w:rPr>
                <w:b w:val="0"/>
              </w:rPr>
              <w:t>Yes / Partial / No / Not Found / N/A sobre 76 criterios en 5 secciones</w:t>
            </w:r>
          </w:p>
        </w:tc>
        <w:tc>
          <w:tcPr>
            <w:tcW w:type="dxa" w:w="2160"/>
            <w:vAlign w:val="top"/>
          </w:tcPr>
          <w:p>
            <w:pPr>
              <w:spacing w:after="60"/>
            </w:pPr>
            <w:r/>
            <w:r>
              <w:rPr>
                <w:b w:val="0"/>
              </w:rPr>
              <w:t>POST /v3/jobs, GET /v3/jobs/{id}, GET /v3/jobs/{id}/result</w:t>
            </w:r>
          </w:p>
        </w:tc>
      </w:tr>
      <w:tr>
        <w:trPr>
          <w:cantSplit/>
        </w:trPr>
        <w:tc>
          <w:tcPr>
            <w:tcW w:type="dxa" w:w="2448"/>
            <w:vAlign w:val="top"/>
          </w:tcPr>
          <w:p>
            <w:pPr>
              <w:spacing w:after="60"/>
            </w:pPr>
            <w:r/>
            <w:r>
              <w:rPr>
                <w:b w:val="0"/>
              </w:rPr>
              <w:t>OIT - Diagnóstico de Atributos Específicos (Tab 2)</w:t>
            </w:r>
          </w:p>
        </w:tc>
        <w:tc>
          <w:tcPr>
            <w:tcW w:type="dxa" w:w="2880"/>
            <w:vAlign w:val="top"/>
          </w:tcPr>
          <w:p>
            <w:pPr>
              <w:spacing w:after="60"/>
            </w:pPr>
            <w:r/>
            <w:r>
              <w:rPr>
                <w:b w:val="0"/>
              </w:rPr>
              <w:t>tab2_core.py + Rubricas_6ago2025.xlsx</w:t>
            </w:r>
          </w:p>
        </w:tc>
        <w:tc>
          <w:tcPr>
            <w:tcW w:type="dxa" w:w="2304"/>
            <w:vAlign w:val="top"/>
          </w:tcPr>
          <w:p>
            <w:pPr>
              <w:spacing w:after="60"/>
            </w:pPr>
            <w:r/>
            <w:r>
              <w:rPr>
                <w:b w:val="0"/>
              </w:rPr>
              <w:t>1 a 5 por criterio</w:t>
            </w:r>
          </w:p>
        </w:tc>
        <w:tc>
          <w:tcPr>
            <w:tcW w:type="dxa" w:w="2160"/>
            <w:vAlign w:val="top"/>
          </w:tcPr>
          <w:p>
            <w:pPr>
              <w:spacing w:after="60"/>
            </w:pPr>
            <w:r/>
            <w:r>
              <w:rPr>
                <w:b w:val="0"/>
              </w:rPr>
              <w:t>POST /attributes/jobs, GET /attributes/jobs/{id}, GET /attributes/jobs/{id}/result</w:t>
            </w:r>
          </w:p>
        </w:tc>
      </w:tr>
      <w:tr>
        <w:trPr>
          <w:cantSplit/>
        </w:trPr>
        <w:tc>
          <w:tcPr>
            <w:tcW w:type="dxa" w:w="2448"/>
            <w:vAlign w:val="top"/>
          </w:tcPr>
          <w:p>
            <w:pPr>
              <w:spacing w:after="60"/>
            </w:pPr>
            <w:r/>
            <w:r>
              <w:rPr>
                <w:b w:val="0"/>
              </w:rPr>
              <w:t>OIT - Diagnóstico de Sostenibilidad del Proyecto (Tab 3)</w:t>
            </w:r>
          </w:p>
        </w:tc>
        <w:tc>
          <w:tcPr>
            <w:tcW w:type="dxa" w:w="2880"/>
            <w:vAlign w:val="top"/>
          </w:tcPr>
          <w:p>
            <w:pPr>
              <w:spacing w:after="60"/>
            </w:pPr>
            <w:r/>
            <w:r>
              <w:rPr>
                <w:b w:val="0"/>
              </w:rPr>
              <w:t>sustainability_core.py + Evaluación de sostenibilidad del proyecto_rubric_9feb26.xlsx</w:t>
            </w:r>
          </w:p>
        </w:tc>
        <w:tc>
          <w:tcPr>
            <w:tcW w:type="dxa" w:w="2304"/>
            <w:vAlign w:val="top"/>
          </w:tcPr>
          <w:p>
            <w:pPr>
              <w:spacing w:after="60"/>
            </w:pPr>
            <w:r/>
            <w:r>
              <w:rPr>
                <w:b w:val="0"/>
              </w:rPr>
              <w:t>0 a 3 por indicador, en 28 indicadores y 3 dimensiones</w:t>
            </w:r>
          </w:p>
        </w:tc>
        <w:tc>
          <w:tcPr>
            <w:tcW w:type="dxa" w:w="2160"/>
            <w:vAlign w:val="top"/>
          </w:tcPr>
          <w:p>
            <w:pPr>
              <w:spacing w:after="60"/>
            </w:pPr>
            <w:r/>
            <w:r>
              <w:rPr>
                <w:b w:val="0"/>
              </w:rPr>
              <w:t>POST /sustainability/jobs, GET /sustainability/jobs/{id}, GET /sustainability/jobs/{id}/result</w:t>
            </w:r>
          </w:p>
        </w:tc>
      </w:tr>
    </w:tbl>
    <w:p/>
    <w:p>
      <w:pPr>
        <w:pStyle w:val="Heading2"/>
      </w:pPr>
      <w:r>
        <w:t>9.1 Enlaces de acceso publicados</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3456"/>
            <w:vAlign w:val="top"/>
            <w:shd w:fill="002F6C"/>
          </w:tcPr>
          <w:p>
            <w:pPr>
              <w:spacing w:after="60"/>
            </w:pPr>
            <w:r/>
            <w:r>
              <w:rPr>
                <w:b/>
                <w:color w:val="FFFFFF"/>
              </w:rPr>
              <w:t>Asistente</w:t>
            </w:r>
          </w:p>
        </w:tc>
        <w:tc>
          <w:tcPr>
            <w:tcW w:type="dxa" w:w="6336"/>
            <w:vAlign w:val="top"/>
            <w:shd w:fill="002F6C"/>
          </w:tcPr>
          <w:p>
            <w:pPr>
              <w:spacing w:after="60"/>
            </w:pPr>
            <w:r/>
            <w:r>
              <w:rPr>
                <w:b/>
                <w:color w:val="FFFFFF"/>
              </w:rPr>
              <w:t>Enlace</w:t>
            </w:r>
          </w:p>
        </w:tc>
      </w:tr>
      <w:tr>
        <w:trPr>
          <w:cantSplit/>
        </w:trPr>
        <w:tc>
          <w:tcPr>
            <w:tcW w:type="dxa" w:w="3456"/>
            <w:vAlign w:val="top"/>
          </w:tcPr>
          <w:p>
            <w:pPr>
              <w:spacing w:after="60"/>
            </w:pPr>
            <w:r/>
            <w:r>
              <w:rPr>
                <w:b w:val="0"/>
              </w:rPr>
              <w:t>Valoración Preliminar de Calidad (Tab 1 v3)</w:t>
            </w:r>
          </w:p>
        </w:tc>
        <w:tc>
          <w:tcPr>
            <w:tcW w:type="dxa" w:w="6336"/>
            <w:vAlign w:val="top"/>
          </w:tcPr>
          <w:p>
            <w:pPr>
              <w:spacing w:after="60"/>
            </w:pPr>
            <w:r/>
            <w:r>
              <w:rPr>
                <w:b w:val="0"/>
              </w:rPr>
              <w:t>https://chatgpt.com/g/g-6a2643b11e708191adc1c03e64260a25-ilo-prodoc-quality-appraisal</w:t>
            </w:r>
          </w:p>
        </w:tc>
      </w:tr>
      <w:tr>
        <w:trPr>
          <w:cantSplit/>
        </w:trPr>
        <w:tc>
          <w:tcPr>
            <w:tcW w:type="dxa" w:w="3456"/>
            <w:vAlign w:val="top"/>
          </w:tcPr>
          <w:p>
            <w:pPr>
              <w:spacing w:after="60"/>
            </w:pPr>
            <w:r/>
            <w:r>
              <w:rPr>
                <w:b w:val="0"/>
              </w:rPr>
              <w:t>Diagnóstico de Atributos Específicos (Tab 2)</w:t>
            </w:r>
          </w:p>
        </w:tc>
        <w:tc>
          <w:tcPr>
            <w:tcW w:type="dxa" w:w="6336"/>
            <w:vAlign w:val="top"/>
          </w:tcPr>
          <w:p>
            <w:pPr>
              <w:spacing w:after="60"/>
            </w:pPr>
            <w:r/>
            <w:r>
              <w:rPr>
                <w:b w:val="0"/>
              </w:rPr>
              <w:t>https://chatgpt.com/g/g-6a43cc82d4d08191bf6e60357453e336-oit-diagnostico-de-atributos-especificos</w:t>
            </w:r>
          </w:p>
        </w:tc>
      </w:tr>
      <w:tr>
        <w:trPr>
          <w:cantSplit/>
        </w:trPr>
        <w:tc>
          <w:tcPr>
            <w:tcW w:type="dxa" w:w="3456"/>
            <w:vAlign w:val="top"/>
          </w:tcPr>
          <w:p>
            <w:pPr>
              <w:spacing w:after="60"/>
            </w:pPr>
            <w:r/>
            <w:r>
              <w:rPr>
                <w:b w:val="0"/>
              </w:rPr>
              <w:t>Diagnóstico de Sostenibilidad (Tab 3)</w:t>
            </w:r>
          </w:p>
        </w:tc>
        <w:tc>
          <w:tcPr>
            <w:tcW w:type="dxa" w:w="6336"/>
            <w:vAlign w:val="top"/>
          </w:tcPr>
          <w:p>
            <w:pPr>
              <w:spacing w:after="60"/>
            </w:pPr>
            <w:r/>
            <w:r>
              <w:rPr>
                <w:b w:val="0"/>
              </w:rPr>
              <w:t>https://chatgpt.com/g/g-6a43d24307b88191bb362632f133c0f3-oit-diagnostico-de-sostenibilidad-del-proyecto</w:t>
            </w:r>
          </w:p>
        </w:tc>
      </w:tr>
      <w:tr>
        <w:trPr>
          <w:cantSplit/>
        </w:trPr>
        <w:tc>
          <w:tcPr>
            <w:tcW w:type="dxa" w:w="3456"/>
            <w:vAlign w:val="top"/>
          </w:tcPr>
          <w:p>
            <w:pPr>
              <w:spacing w:after="60"/>
            </w:pPr>
            <w:r/>
            <w:r>
              <w:rPr>
                <w:b w:val="0"/>
              </w:rPr>
              <w:t>Backend compartido (FastAPI en Render)</w:t>
            </w:r>
          </w:p>
        </w:tc>
        <w:tc>
          <w:tcPr>
            <w:tcW w:type="dxa" w:w="6336"/>
            <w:vAlign w:val="top"/>
          </w:tcPr>
          <w:p>
            <w:pPr>
              <w:spacing w:after="60"/>
            </w:pPr>
            <w:r/>
            <w:r>
              <w:rPr>
                <w:b w:val="0"/>
              </w:rPr>
              <w:t>https://ilo-prodoc-appraisal-v3.onrender.com</w:t>
            </w:r>
          </w:p>
        </w:tc>
      </w:tr>
    </w:tbl>
    <w:p/>
    <w:p>
      <w:r>
        <w:t>Los tres GPTs están configurados como "Anyone with a link": no figuran en el directorio público de GPTs, pero cualquier persona que reciba el enlace y tenga una cuenta de ChatGPT puede abrirlos y ejecutar evaluaciones. El enlace funciona como credencial al portador: reenviarlo transfiere el acceso.</w:t>
      </w:r>
    </w:p>
    <w:p>
      <w:pPr>
        <w:pStyle w:val="ListBullet"/>
      </w:pPr>
      <w:r>
        <w:t>No hay lista de personas autorizadas ni verificación de identidad: el backend no registra quién lanzó cada evaluación.</w:t>
      </w:r>
    </w:p>
    <w:p>
      <w:pPr>
        <w:pStyle w:val="ListBullet"/>
      </w:pPr>
      <w:r>
        <w:t>El consumo de la API se factura contra una única OPENAI_API_KEY compartida por los tres asistentes, de modo que un enlace difundido fuera del círculo previsto se traduce en gasto no atribuible.</w:t>
      </w:r>
    </w:p>
    <w:p>
      <w:pPr>
        <w:pStyle w:val="ListBullet"/>
      </w:pPr>
      <w:r>
        <w:t>La única forma de revocar el acceso es cambiar la configuración de compartición del GPT o republicarlo para generar un enlace nuevo, y redistribuirlo.</w:t>
      </w:r>
    </w:p>
    <w:p>
      <w:pPr>
        <w:pStyle w:val="ListBullet"/>
      </w:pPr>
      <w:r>
        <w:t>La distribución de los enlaces es, en la práctica, el único control de acceso: debe gestionarse con el mismo cuidado que una credencial.</w:t>
      </w:r>
    </w:p>
    <w:p>
      <w:pPr>
        <w:pStyle w:val="Heading2"/>
      </w:pPr>
      <w:r>
        <w:t>9.2 Ciclo de vida de un trabajo de evaluación</w:t>
      </w:r>
    </w:p>
    <w:p>
      <w:pPr>
        <w:ind w:left="360" w:hanging="360"/>
      </w:pPr>
      <w:r>
        <w:t>1. El usuario sube un DOCX en el chat de ChatGPT y describe el alcance deseado.</w:t>
      </w:r>
    </w:p>
    <w:p>
      <w:pPr>
        <w:ind w:left="360" w:hanging="360"/>
      </w:pPr>
      <w:r>
        <w:t>2. El GPT llama al endpoint POST correspondiente, pasando la referencia del archivo alojado en los servidores de OpenAI y los filtros solicitados.</w:t>
      </w:r>
    </w:p>
    <w:p>
      <w:pPr>
        <w:ind w:left="360" w:hanging="360"/>
      </w:pPr>
      <w:r>
        <w:t>3. El backend descarga el archivo, extrae el texto, carga la rúbrica desde disco y lanza las llamadas al modelo en paralelo.</w:t>
      </w:r>
    </w:p>
    <w:p>
      <w:pPr>
        <w:ind w:left="360" w:hanging="360"/>
      </w:pPr>
      <w:r>
        <w:t>4. El GPT sondea GET /{familia}/jobs/{id} hasta que el estado pasa a succeeded o failed.</w:t>
      </w:r>
    </w:p>
    <w:p>
      <w:pPr>
        <w:ind w:left="360" w:hanging="360"/>
      </w:pPr>
      <w:r>
        <w:t>5. Con el trabajo terminado, el GPT llama a GET /{familia}/jobs/{id}/result y entrega al usuario un resumen narrativo más el XLSX en base64.</w:t>
      </w:r>
    </w:p>
    <w:p>
      <w:r>
        <w:t>El estado de los trabajos vive en el diccionario JOBS de gpt_action_api.py, protegido por threading.Lock. Es almacenamiento en memoria del proceso: un reinicio o redespliegue del servicio pierde los trabajos en curso. Para uso institucional sostenido debe migrarse a Redis o equivalente.</w:t>
      </w:r>
    </w:p>
    <w:p>
      <w:pPr>
        <w:pStyle w:val="Heading2"/>
      </w:pPr>
      <w:r>
        <w:t>9.3 Paralelismo y esquema de estabilidad</w:t>
      </w:r>
    </w:p>
    <w:tbl>
      <w:tblPr>
        <w:tblStyle w:val="TableGrid"/>
        <w:tblW w:type="auto" w:w="0"/>
        <w:jc w:val="center"/>
        <w:tblLook w:firstColumn="1" w:firstRow="1" w:lastColumn="0" w:lastRow="0" w:noHBand="0" w:noVBand="1" w:val="04A0"/>
      </w:tblPr>
      <w:tblGrid>
        <w:gridCol w:w="2520"/>
        <w:gridCol w:w="2520"/>
        <w:gridCol w:w="2520"/>
        <w:gridCol w:w="2520"/>
      </w:tblGrid>
      <w:tr>
        <w:trPr>
          <w:cantSplit/>
          <w:tblHeader w:val="true"/>
        </w:trPr>
        <w:tc>
          <w:tcPr>
            <w:tcW w:type="dxa" w:w="2304"/>
            <w:vAlign w:val="top"/>
            <w:shd w:fill="002F6C"/>
          </w:tcPr>
          <w:p>
            <w:pPr>
              <w:spacing w:after="60"/>
            </w:pPr>
            <w:r/>
            <w:r>
              <w:rPr>
                <w:b/>
                <w:color w:val="FFFFFF"/>
              </w:rPr>
              <w:t>Motor</w:t>
            </w:r>
          </w:p>
        </w:tc>
        <w:tc>
          <w:tcPr>
            <w:tcW w:type="dxa" w:w="3744"/>
            <w:vAlign w:val="top"/>
            <w:shd w:fill="002F6C"/>
          </w:tcPr>
          <w:p>
            <w:pPr>
              <w:spacing w:after="60"/>
            </w:pPr>
            <w:r/>
            <w:r>
              <w:rPr>
                <w:b/>
                <w:color w:val="FFFFFF"/>
              </w:rPr>
              <w:t>Modelo</w:t>
            </w:r>
          </w:p>
        </w:tc>
        <w:tc>
          <w:tcPr>
            <w:tcW w:type="dxa" w:w="1584"/>
            <w:vAlign w:val="top"/>
            <w:shd w:fill="002F6C"/>
          </w:tcPr>
          <w:p>
            <w:pPr>
              <w:spacing w:after="60"/>
            </w:pPr>
            <w:r/>
            <w:r>
              <w:rPr>
                <w:b/>
                <w:color w:val="FFFFFF"/>
              </w:rPr>
              <w:t>MAX_WORKERS</w:t>
            </w:r>
          </w:p>
        </w:tc>
        <w:tc>
          <w:tcPr>
            <w:tcW w:type="dxa" w:w="2160"/>
            <w:vAlign w:val="top"/>
            <w:shd w:fill="002F6C"/>
          </w:tcPr>
          <w:p>
            <w:pPr>
              <w:spacing w:after="60"/>
            </w:pPr>
            <w:r/>
            <w:r>
              <w:rPr>
                <w:b/>
                <w:color w:val="FFFFFF"/>
              </w:rPr>
              <w:t>Corridas por criterio</w:t>
            </w:r>
          </w:p>
        </w:tc>
      </w:tr>
      <w:tr>
        <w:trPr>
          <w:cantSplit/>
        </w:trPr>
        <w:tc>
          <w:tcPr>
            <w:tcW w:type="dxa" w:w="2304"/>
            <w:vAlign w:val="top"/>
          </w:tcPr>
          <w:p>
            <w:pPr>
              <w:spacing w:after="60"/>
            </w:pPr>
            <w:r/>
            <w:r>
              <w:rPr>
                <w:b w:val="0"/>
              </w:rPr>
              <w:t>tab1_v3_core.py</w:t>
            </w:r>
          </w:p>
        </w:tc>
        <w:tc>
          <w:tcPr>
            <w:tcW w:type="dxa" w:w="3744"/>
            <w:vAlign w:val="top"/>
          </w:tcPr>
          <w:p>
            <w:pPr>
              <w:spacing w:after="60"/>
            </w:pPr>
            <w:r/>
            <w:r>
              <w:rPr>
                <w:b w:val="0"/>
              </w:rPr>
              <w:t>gpt-5-mini con esfuerzo de razonamiento adaptativo (medium/minimal según subjetividad del criterio)</w:t>
            </w:r>
          </w:p>
        </w:tc>
        <w:tc>
          <w:tcPr>
            <w:tcW w:type="dxa" w:w="1584"/>
            <w:vAlign w:val="top"/>
          </w:tcPr>
          <w:p>
            <w:pPr>
              <w:spacing w:after="60"/>
            </w:pPr>
            <w:r/>
            <w:r>
              <w:rPr>
                <w:b w:val="0"/>
              </w:rPr>
              <w:t>48</w:t>
            </w:r>
          </w:p>
        </w:tc>
        <w:tc>
          <w:tcPr>
            <w:tcW w:type="dxa" w:w="2160"/>
            <w:vAlign w:val="top"/>
          </w:tcPr>
          <w:p>
            <w:pPr>
              <w:spacing w:after="60"/>
            </w:pPr>
            <w:r/>
            <w:r>
              <w:rPr>
                <w:b w:val="0"/>
              </w:rPr>
              <w:t>10 (STABILITY_REPEATS), con umbral de estabilidad de 80%</w:t>
            </w:r>
          </w:p>
        </w:tc>
      </w:tr>
      <w:tr>
        <w:trPr>
          <w:cantSplit/>
        </w:trPr>
        <w:tc>
          <w:tcPr>
            <w:tcW w:type="dxa" w:w="2304"/>
            <w:vAlign w:val="top"/>
          </w:tcPr>
          <w:p>
            <w:pPr>
              <w:spacing w:after="60"/>
            </w:pPr>
            <w:r/>
            <w:r>
              <w:rPr>
                <w:b w:val="0"/>
              </w:rPr>
              <w:t>tab2_core.py</w:t>
            </w:r>
          </w:p>
        </w:tc>
        <w:tc>
          <w:tcPr>
            <w:tcW w:type="dxa" w:w="3744"/>
            <w:vAlign w:val="top"/>
          </w:tcPr>
          <w:p>
            <w:pPr>
              <w:spacing w:after="60"/>
            </w:pPr>
            <w:r/>
            <w:r>
              <w:rPr>
                <w:b w:val="0"/>
              </w:rPr>
              <w:t>gpt-5-mini</w:t>
            </w:r>
          </w:p>
        </w:tc>
        <w:tc>
          <w:tcPr>
            <w:tcW w:type="dxa" w:w="1584"/>
            <w:vAlign w:val="top"/>
          </w:tcPr>
          <w:p>
            <w:pPr>
              <w:spacing w:after="60"/>
            </w:pPr>
            <w:r/>
            <w:r>
              <w:rPr>
                <w:b w:val="0"/>
              </w:rPr>
              <w:t>8</w:t>
            </w:r>
          </w:p>
        </w:tc>
        <w:tc>
          <w:tcPr>
            <w:tcW w:type="dxa" w:w="2160"/>
            <w:vAlign w:val="top"/>
          </w:tcPr>
          <w:p>
            <w:pPr>
              <w:spacing w:after="60"/>
            </w:pPr>
            <w:r/>
            <w:r>
              <w:rPr>
                <w:b w:val="0"/>
              </w:rPr>
              <w:t>5 (STABILITY_REPEATS), consolidadas por moda con porcentaje de estabilidad</w:t>
            </w:r>
          </w:p>
        </w:tc>
      </w:tr>
      <w:tr>
        <w:trPr>
          <w:cantSplit/>
        </w:trPr>
        <w:tc>
          <w:tcPr>
            <w:tcW w:type="dxa" w:w="2304"/>
            <w:vAlign w:val="top"/>
          </w:tcPr>
          <w:p>
            <w:pPr>
              <w:spacing w:after="60"/>
            </w:pPr>
            <w:r/>
            <w:r>
              <w:rPr>
                <w:b w:val="0"/>
              </w:rPr>
              <w:t>sustainability_core.py</w:t>
            </w:r>
          </w:p>
        </w:tc>
        <w:tc>
          <w:tcPr>
            <w:tcW w:type="dxa" w:w="3744"/>
            <w:vAlign w:val="top"/>
          </w:tcPr>
          <w:p>
            <w:pPr>
              <w:spacing w:after="60"/>
            </w:pPr>
            <w:r/>
            <w:r>
              <w:rPr>
                <w:b w:val="0"/>
              </w:rPr>
              <w:t>gpt-5-mini</w:t>
            </w:r>
          </w:p>
        </w:tc>
        <w:tc>
          <w:tcPr>
            <w:tcW w:type="dxa" w:w="1584"/>
            <w:vAlign w:val="top"/>
          </w:tcPr>
          <w:p>
            <w:pPr>
              <w:spacing w:after="60"/>
            </w:pPr>
            <w:r/>
            <w:r>
              <w:rPr>
                <w:b w:val="0"/>
              </w:rPr>
              <w:t>8</w:t>
            </w:r>
          </w:p>
        </w:tc>
        <w:tc>
          <w:tcPr>
            <w:tcW w:type="dxa" w:w="2160"/>
            <w:vAlign w:val="top"/>
          </w:tcPr>
          <w:p>
            <w:pPr>
              <w:spacing w:after="60"/>
            </w:pPr>
            <w:r/>
            <w:r>
              <w:rPr>
                <w:b w:val="0"/>
              </w:rPr>
              <w:t>5 (STABILITY_REPEATS), consolidadas por moda con porcentaje de estabilidad</w:t>
            </w:r>
          </w:p>
        </w:tc>
      </w:tr>
    </w:tbl>
    <w:p/>
    <w:p>
      <w:r>
        <w:t>Los tres motores repiten cada evaluación y consolidan las corridas al valor modal, reportando qué porcentaje de corridas coincidió con la moda. Ese porcentaje viaja al XLSX y permite distinguir un criterio evaluado con consenso de uno inestable.</w:t>
      </w:r>
    </w:p>
    <w:p>
      <w:r>
        <w:t>La implementación difiere: tab2_core.py y sustainability_core.py usan el módulo compartido stability.py, mientras que tab1_v3_core.py trae su propio agregador (aggregate_repeated_criterion_results) con 10 repeticiones y un umbral de estabilidad de 80%, por debajo del cual el criterio se marca como inestable. Una valoración completa de los 76 criterios implica por tanto del orden de 760 llamadas al modelo, lo que domina su costo y su duración.</w:t>
      </w:r>
    </w:p>
    <w:p>
      <w:pPr>
        <w:pStyle w:val="Heading2"/>
      </w:pPr>
      <w:r>
        <w:t>9.4 Despliegue del backend</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2880"/>
            <w:vAlign w:val="top"/>
            <w:shd w:fill="002F6C"/>
          </w:tcPr>
          <w:p>
            <w:pPr>
              <w:spacing w:after="60"/>
            </w:pPr>
            <w:r/>
            <w:r>
              <w:rPr>
                <w:b/>
                <w:color w:val="FFFFFF"/>
              </w:rPr>
              <w:t>Elemento</w:t>
            </w:r>
          </w:p>
        </w:tc>
        <w:tc>
          <w:tcPr>
            <w:tcW w:type="dxa" w:w="6912"/>
            <w:vAlign w:val="top"/>
            <w:shd w:fill="002F6C"/>
          </w:tcPr>
          <w:p>
            <w:pPr>
              <w:spacing w:after="60"/>
            </w:pPr>
            <w:r/>
            <w:r>
              <w:rPr>
                <w:b/>
                <w:color w:val="FFFFFF"/>
              </w:rPr>
              <w:t>Valor</w:t>
            </w:r>
          </w:p>
        </w:tc>
      </w:tr>
      <w:tr>
        <w:trPr>
          <w:cantSplit/>
        </w:trPr>
        <w:tc>
          <w:tcPr>
            <w:tcW w:type="dxa" w:w="2880"/>
            <w:vAlign w:val="top"/>
          </w:tcPr>
          <w:p>
            <w:pPr>
              <w:spacing w:after="60"/>
            </w:pPr>
            <w:r/>
            <w:r>
              <w:rPr>
                <w:b w:val="0"/>
              </w:rPr>
              <w:t>Plataforma</w:t>
            </w:r>
          </w:p>
        </w:tc>
        <w:tc>
          <w:tcPr>
            <w:tcW w:type="dxa" w:w="6912"/>
            <w:vAlign w:val="top"/>
          </w:tcPr>
          <w:p>
            <w:pPr>
              <w:spacing w:after="60"/>
            </w:pPr>
            <w:r/>
            <w:r>
              <w:rPr>
                <w:b w:val="0"/>
              </w:rPr>
              <w:t>Render.com, plan free</w:t>
            </w:r>
          </w:p>
        </w:tc>
      </w:tr>
      <w:tr>
        <w:trPr>
          <w:cantSplit/>
        </w:trPr>
        <w:tc>
          <w:tcPr>
            <w:tcW w:type="dxa" w:w="2880"/>
            <w:vAlign w:val="top"/>
          </w:tcPr>
          <w:p>
            <w:pPr>
              <w:spacing w:after="60"/>
            </w:pPr>
            <w:r/>
            <w:r>
              <w:rPr>
                <w:b w:val="0"/>
              </w:rPr>
              <w:t>Servicio</w:t>
            </w:r>
          </w:p>
        </w:tc>
        <w:tc>
          <w:tcPr>
            <w:tcW w:type="dxa" w:w="6912"/>
            <w:vAlign w:val="top"/>
          </w:tcPr>
          <w:p>
            <w:pPr>
              <w:spacing w:after="60"/>
            </w:pPr>
            <w:r/>
            <w:r>
              <w:rPr>
                <w:b w:val="0"/>
              </w:rPr>
              <w:t>ilo-prodoc-appraisal-v3, definido en render.yaml como Blueprint</w:t>
            </w:r>
          </w:p>
        </w:tc>
      </w:tr>
      <w:tr>
        <w:trPr>
          <w:cantSplit/>
        </w:trPr>
        <w:tc>
          <w:tcPr>
            <w:tcW w:type="dxa" w:w="2880"/>
            <w:vAlign w:val="top"/>
          </w:tcPr>
          <w:p>
            <w:pPr>
              <w:spacing w:after="60"/>
            </w:pPr>
            <w:r/>
            <w:r>
              <w:rPr>
                <w:b w:val="0"/>
              </w:rPr>
              <w:t>Runtime</w:t>
            </w:r>
          </w:p>
        </w:tc>
        <w:tc>
          <w:tcPr>
            <w:tcW w:type="dxa" w:w="6912"/>
            <w:vAlign w:val="top"/>
          </w:tcPr>
          <w:p>
            <w:pPr>
              <w:spacing w:after="60"/>
            </w:pPr>
            <w:r/>
            <w:r>
              <w:rPr>
                <w:b w:val="0"/>
              </w:rPr>
              <w:t>Docker, imagen construida desde Dockerfile.gpt-action sobre Python 3.10-slim</w:t>
            </w:r>
          </w:p>
        </w:tc>
      </w:tr>
      <w:tr>
        <w:trPr>
          <w:cantSplit/>
        </w:trPr>
        <w:tc>
          <w:tcPr>
            <w:tcW w:type="dxa" w:w="2880"/>
            <w:vAlign w:val="top"/>
          </w:tcPr>
          <w:p>
            <w:pPr>
              <w:spacing w:after="60"/>
            </w:pPr>
            <w:r/>
            <w:r>
              <w:rPr>
                <w:b w:val="0"/>
              </w:rPr>
              <w:t>Framework</w:t>
            </w:r>
          </w:p>
        </w:tc>
        <w:tc>
          <w:tcPr>
            <w:tcW w:type="dxa" w:w="6912"/>
            <w:vAlign w:val="top"/>
          </w:tcPr>
          <w:p>
            <w:pPr>
              <w:spacing w:after="60"/>
            </w:pPr>
            <w:r/>
            <w:r>
              <w:rPr>
                <w:b w:val="0"/>
              </w:rPr>
              <w:t>FastAPI con uvicorn[standard]; dependencias en requirements.gpt-action.txt</w:t>
            </w:r>
          </w:p>
        </w:tc>
      </w:tr>
      <w:tr>
        <w:trPr>
          <w:cantSplit/>
        </w:trPr>
        <w:tc>
          <w:tcPr>
            <w:tcW w:type="dxa" w:w="2880"/>
            <w:vAlign w:val="top"/>
          </w:tcPr>
          <w:p>
            <w:pPr>
              <w:spacing w:after="60"/>
            </w:pPr>
            <w:r/>
            <w:r>
              <w:rPr>
                <w:b w:val="0"/>
              </w:rPr>
              <w:t>Health check</w:t>
            </w:r>
          </w:p>
        </w:tc>
        <w:tc>
          <w:tcPr>
            <w:tcW w:type="dxa" w:w="6912"/>
            <w:vAlign w:val="top"/>
          </w:tcPr>
          <w:p>
            <w:pPr>
              <w:spacing w:after="60"/>
            </w:pPr>
            <w:r/>
            <w:r>
              <w:rPr>
                <w:b w:val="0"/>
              </w:rPr>
              <w:t>GET /health, configurado como healthCheckPath en render.yaml</w:t>
            </w:r>
          </w:p>
        </w:tc>
      </w:tr>
      <w:tr>
        <w:trPr>
          <w:cantSplit/>
        </w:trPr>
        <w:tc>
          <w:tcPr>
            <w:tcW w:type="dxa" w:w="2880"/>
            <w:vAlign w:val="top"/>
          </w:tcPr>
          <w:p>
            <w:pPr>
              <w:spacing w:after="60"/>
            </w:pPr>
            <w:r/>
            <w:r>
              <w:rPr>
                <w:b w:val="0"/>
              </w:rPr>
              <w:t>CI/CD</w:t>
            </w:r>
          </w:p>
        </w:tc>
        <w:tc>
          <w:tcPr>
            <w:tcW w:type="dxa" w:w="6912"/>
            <w:vAlign w:val="top"/>
          </w:tcPr>
          <w:p>
            <w:pPr>
              <w:spacing w:after="60"/>
            </w:pPr>
            <w:r/>
            <w:r>
              <w:rPr>
                <w:b w:val="0"/>
              </w:rPr>
              <w:t>Redespliegue automático al hacer push a la rama main</w:t>
            </w:r>
          </w:p>
        </w:tc>
      </w:tr>
      <w:tr>
        <w:trPr>
          <w:cantSplit/>
        </w:trPr>
        <w:tc>
          <w:tcPr>
            <w:tcW w:type="dxa" w:w="2880"/>
            <w:vAlign w:val="top"/>
          </w:tcPr>
          <w:p>
            <w:pPr>
              <w:spacing w:after="60"/>
            </w:pPr>
            <w:r/>
            <w:r>
              <w:rPr>
                <w:b w:val="0"/>
              </w:rPr>
              <w:t>Especificación para ChatGPT</w:t>
            </w:r>
          </w:p>
        </w:tc>
        <w:tc>
          <w:tcPr>
            <w:tcW w:type="dxa" w:w="6912"/>
            <w:vAlign w:val="top"/>
          </w:tcPr>
          <w:p>
            <w:pPr>
              <w:spacing w:after="60"/>
            </w:pPr>
            <w:r/>
            <w:r>
              <w:rPr>
                <w:b w:val="0"/>
              </w:rPr>
              <w:t>openapi_gpt_action_v3.yaml, openapi_gpt_action_tab2.yaml y openapi_gpt_action_sustainability.yaml</w:t>
            </w:r>
          </w:p>
        </w:tc>
      </w:tr>
    </w:tbl>
    <w:p/>
    <w:p>
      <w:r>
        <w:t>El plan free de Render suspende el servicio tras un período de inactividad; la primera petición después de la suspensión tarda más de lo habitual mientras el contenedor arranca. Es el comportamiento esperado, no una falla.</w:t>
      </w:r>
    </w:p>
    <w:p>
      <w:pPr>
        <w:pStyle w:val="Heading2"/>
      </w:pPr>
      <w:r>
        <w:t>9.5 Riesgos técnicos específicos de esta capa</w:t>
      </w:r>
    </w:p>
    <w:p>
      <w:pPr>
        <w:pStyle w:val="ListBullet"/>
      </w:pPr>
      <w:r>
        <w:t>El estado de trabajos es en memoria: un redespliegue durante una evaluación la pierde sin posibilidad de recuperación.</w:t>
      </w:r>
    </w:p>
    <w:p>
      <w:pPr>
        <w:pStyle w:val="ListBullet"/>
      </w:pPr>
      <w:r>
        <w:t>El plan free de Render impone latencia de arranque en frío y no ofrece garantías de disponibilidad.</w:t>
      </w:r>
    </w:p>
    <w:p>
      <w:pPr>
        <w:pStyle w:val="ListBullet"/>
      </w:pPr>
      <w:r>
        <w:t>Los documentos suben primero a los servidores de OpenAI y luego los descarga el backend; ambos tránsitos deben considerarse en el análisis de confidencialidad.</w:t>
      </w:r>
    </w:p>
    <w:p>
      <w:pPr>
        <w:pStyle w:val="ListBullet"/>
      </w:pPr>
      <w:r>
        <w:t>Las rúbricas viven en el sistema de archivos de la imagen Docker: actualizarlas exige reconstruir y redesplegar, no basta con reemplazar un archivo.</w:t>
      </w:r>
    </w:p>
    <w:p>
      <w:pPr>
        <w:pStyle w:val="ListBullet"/>
      </w:pPr>
      <w:r>
        <w:t>Los tres GPTs comparten un único backend y una única clave de API: una interrupción afecta simultáneamente a los tres.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2F6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72C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2F6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