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F6C"/>
          <w:sz w:val="40"/>
        </w:rPr>
        <w:t>DOCUMENTACIÓN DE CONFIGURACIÓN Y SEGURIDAD</w:t>
      </w:r>
    </w:p>
    <w:p>
      <w:pPr>
        <w:jc w:val="center"/>
      </w:pPr>
      <w:r>
        <w:rPr>
          <w:b/>
          <w:color w:val="002F6C"/>
          <w:sz w:val="24"/>
        </w:rPr>
        <w:t>Caja de Herramientas para el Mejor Desempeño de los Proyectos</w:t>
      </w:r>
    </w:p>
    <w:p>
      <w:pPr>
        <w:jc w:val="center"/>
      </w:pPr>
      <w:r>
        <w:t>Variables, secretos, acceso y protección de datos</w:t>
        <w:br/>
        <w:t>Fuente técnica: oli_v6_deploy.py + gpt_action_api.py</w:t>
        <w:br/>
        <w:t>Actualizado: 15 de julio de 2026</w:t>
      </w:r>
    </w:p>
    <w:p/>
    <w:p>
      <w:pPr>
        <w:pStyle w:val="Heading1"/>
      </w:pPr>
      <w:r>
        <w:t>1. Configuración obligatoria</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top"/>
            <w:shd w:fill="002F6C"/>
          </w:tcPr>
          <w:p>
            <w:pPr>
              <w:spacing w:after="60"/>
            </w:pPr>
            <w:r/>
            <w:r>
              <w:rPr>
                <w:b/>
                <w:color w:val="FFFFFF"/>
              </w:rPr>
              <w:t>Elemento</w:t>
            </w:r>
          </w:p>
        </w:tc>
        <w:tc>
          <w:tcPr>
            <w:tcW w:type="dxa" w:w="6912"/>
            <w:vAlign w:val="top"/>
            <w:shd w:fill="002F6C"/>
          </w:tcPr>
          <w:p>
            <w:pPr>
              <w:spacing w:after="60"/>
            </w:pPr>
            <w:r/>
            <w:r>
              <w:rPr>
                <w:b/>
                <w:color w:val="FFFFFF"/>
              </w:rPr>
              <w:t>Valor esperado</w:t>
            </w:r>
          </w:p>
        </w:tc>
      </w:tr>
      <w:tr>
        <w:trPr>
          <w:cantSplit/>
        </w:trPr>
        <w:tc>
          <w:tcPr>
            <w:tcW w:type="dxa" w:w="2880"/>
            <w:vAlign w:val="top"/>
          </w:tcPr>
          <w:p>
            <w:pPr>
              <w:spacing w:after="60"/>
            </w:pPr>
            <w:r/>
            <w:r>
              <w:rPr>
                <w:b w:val="0"/>
              </w:rPr>
              <w:t>Comando local</w:t>
            </w:r>
          </w:p>
        </w:tc>
        <w:tc>
          <w:tcPr>
            <w:tcW w:type="dxa" w:w="6912"/>
            <w:vAlign w:val="top"/>
          </w:tcPr>
          <w:p>
            <w:pPr>
              <w:spacing w:after="60"/>
            </w:pPr>
            <w:r/>
            <w:r>
              <w:rPr>
                <w:b w:val="0"/>
              </w:rPr>
              <w:t>streamlit run oli_v6_deploy.py</w:t>
            </w:r>
          </w:p>
        </w:tc>
      </w:tr>
      <w:tr>
        <w:trPr>
          <w:cantSplit/>
        </w:trPr>
        <w:tc>
          <w:tcPr>
            <w:tcW w:type="dxa" w:w="2880"/>
            <w:vAlign w:val="top"/>
          </w:tcPr>
          <w:p>
            <w:pPr>
              <w:spacing w:after="60"/>
            </w:pPr>
            <w:r/>
            <w:r>
              <w:rPr>
                <w:b w:val="0"/>
              </w:rPr>
              <w:t>Variable de IA</w:t>
            </w:r>
          </w:p>
        </w:tc>
        <w:tc>
          <w:tcPr>
            <w:tcW w:type="dxa" w:w="6912"/>
            <w:vAlign w:val="top"/>
          </w:tcPr>
          <w:p>
            <w:pPr>
              <w:spacing w:after="60"/>
            </w:pPr>
            <w:r/>
            <w:r>
              <w:rPr>
                <w:b w:val="0"/>
              </w:rPr>
              <w:t>OPENAI_API_KEY disponible como variable de entorno.</w:t>
            </w:r>
          </w:p>
        </w:tc>
      </w:tr>
      <w:tr>
        <w:trPr>
          <w:cantSplit/>
        </w:trPr>
        <w:tc>
          <w:tcPr>
            <w:tcW w:type="dxa" w:w="2880"/>
            <w:vAlign w:val="top"/>
          </w:tcPr>
          <w:p>
            <w:pPr>
              <w:spacing w:after="60"/>
            </w:pPr>
            <w:r/>
            <w:r>
              <w:rPr>
                <w:b w:val="0"/>
              </w:rPr>
              <w:t>Modo producción</w:t>
            </w:r>
          </w:p>
        </w:tc>
        <w:tc>
          <w:tcPr>
            <w:tcW w:type="dxa" w:w="6912"/>
            <w:vAlign w:val="top"/>
          </w:tcPr>
          <w:p>
            <w:pPr>
              <w:spacing w:after="60"/>
            </w:pPr>
            <w:r/>
            <w:r>
              <w:rPr>
                <w:b w:val="0"/>
              </w:rPr>
              <w:t>STREAMLIT_ENV=production cuando las rutas se toman de st.secrets.</w:t>
            </w:r>
          </w:p>
        </w:tc>
      </w:tr>
      <w:tr>
        <w:trPr>
          <w:cantSplit/>
        </w:trPr>
        <w:tc>
          <w:tcPr>
            <w:tcW w:type="dxa" w:w="2880"/>
            <w:vAlign w:val="top"/>
          </w:tcPr>
          <w:p>
            <w:pPr>
              <w:spacing w:after="60"/>
            </w:pPr>
            <w:r/>
            <w:r>
              <w:rPr>
                <w:b w:val="0"/>
              </w:rPr>
              <w:t>Directorio de ejecución</w:t>
            </w:r>
          </w:p>
        </w:tc>
        <w:tc>
          <w:tcPr>
            <w:tcW w:type="dxa" w:w="6912"/>
            <w:vAlign w:val="top"/>
          </w:tcPr>
          <w:p>
            <w:pPr>
              <w:spacing w:after="60"/>
            </w:pPr>
            <w:r/>
            <w:r>
              <w:rPr>
                <w:b w:val="0"/>
              </w:rPr>
              <w:t>Directorio que contiene los Excel, CSV y .pt requeridos, salvo que se usen rutas de producción.</w:t>
            </w:r>
          </w:p>
        </w:tc>
      </w:tr>
      <w:tr>
        <w:trPr>
          <w:cantSplit/>
        </w:trPr>
        <w:tc>
          <w:tcPr>
            <w:tcW w:type="dxa" w:w="2880"/>
            <w:vAlign w:val="top"/>
          </w:tcPr>
          <w:p>
            <w:pPr>
              <w:spacing w:after="60"/>
            </w:pPr>
            <w:r/>
            <w:r>
              <w:rPr>
                <w:b w:val="0"/>
              </w:rPr>
              <w:t>Dependencias</w:t>
            </w:r>
          </w:p>
        </w:tc>
        <w:tc>
          <w:tcPr>
            <w:tcW w:type="dxa" w:w="6912"/>
            <w:vAlign w:val="top"/>
          </w:tcPr>
          <w:p>
            <w:pPr>
              <w:spacing w:after="60"/>
            </w:pPr>
            <w:r/>
            <w:r>
              <w:rPr>
                <w:b w:val="0"/>
              </w:rPr>
              <w:t>Instaladas desde requirements.txt.</w:t>
            </w:r>
          </w:p>
        </w:tc>
      </w:tr>
    </w:tbl>
    <w:p/>
    <w:p>
      <w:pPr>
        <w:pStyle w:val="Heading1"/>
      </w:pPr>
      <w:r>
        <w:t>2. Secretos y rutas</w:t>
      </w:r>
    </w:p>
    <w:p>
      <w:r>
        <w:t>El código lee OPENAI_API_KEY con os.getenv. En Streamlit Cloud u otro hosting, la clave debe exponerse como variable de entorno efectiva para el proceso Python.</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top"/>
            <w:shd w:fill="002F6C"/>
          </w:tcPr>
          <w:p>
            <w:pPr>
              <w:spacing w:after="60"/>
            </w:pPr>
            <w:r/>
            <w:r>
              <w:rPr>
                <w:b/>
                <w:color w:val="FFFFFF"/>
              </w:rPr>
              <w:t>Nombre</w:t>
            </w:r>
          </w:p>
        </w:tc>
        <w:tc>
          <w:tcPr>
            <w:tcW w:type="dxa" w:w="2592"/>
            <w:vAlign w:val="top"/>
            <w:shd w:fill="002F6C"/>
          </w:tcPr>
          <w:p>
            <w:pPr>
              <w:spacing w:after="60"/>
            </w:pPr>
            <w:r/>
            <w:r>
              <w:rPr>
                <w:b/>
                <w:color w:val="FFFFFF"/>
              </w:rPr>
              <w:t>Cuándo se usa</w:t>
            </w:r>
          </w:p>
        </w:tc>
        <w:tc>
          <w:tcPr>
            <w:tcW w:type="dxa" w:w="4320"/>
            <w:vAlign w:val="top"/>
            <w:shd w:fill="002F6C"/>
          </w:tcPr>
          <w:p>
            <w:pPr>
              <w:spacing w:after="60"/>
            </w:pPr>
            <w:r/>
            <w:r>
              <w:rPr>
                <w:b/>
                <w:color w:val="FFFFFF"/>
              </w:rPr>
              <w:t>Contenido esperado</w:t>
            </w:r>
          </w:p>
        </w:tc>
      </w:tr>
      <w:tr>
        <w:trPr>
          <w:cantSplit/>
        </w:trPr>
        <w:tc>
          <w:tcPr>
            <w:tcW w:type="dxa" w:w="2880"/>
            <w:vAlign w:val="top"/>
          </w:tcPr>
          <w:p>
            <w:pPr>
              <w:spacing w:after="60"/>
            </w:pPr>
            <w:r/>
            <w:r>
              <w:rPr>
                <w:b w:val="0"/>
              </w:rPr>
              <w:t>df_path</w:t>
            </w:r>
          </w:p>
        </w:tc>
        <w:tc>
          <w:tcPr>
            <w:tcW w:type="dxa" w:w="2592"/>
            <w:vAlign w:val="top"/>
          </w:tcPr>
          <w:p>
            <w:pPr>
              <w:spacing w:after="60"/>
            </w:pPr>
            <w:r/>
            <w:r>
              <w:rPr>
                <w:b w:val="0"/>
              </w:rPr>
              <w:t>Producción</w:t>
            </w:r>
          </w:p>
        </w:tc>
        <w:tc>
          <w:tcPr>
            <w:tcW w:type="dxa" w:w="4320"/>
            <w:vAlign w:val="top"/>
          </w:tcPr>
          <w:p>
            <w:pPr>
              <w:spacing w:after="60"/>
            </w:pPr>
            <w:r/>
            <w:r>
              <w:rPr>
                <w:b w:val="0"/>
              </w:rPr>
              <w:t>Ruta accesible a df_complete_all_full.xlsx.</w:t>
            </w:r>
          </w:p>
        </w:tc>
      </w:tr>
      <w:tr>
        <w:trPr>
          <w:cantSplit/>
        </w:trPr>
        <w:tc>
          <w:tcPr>
            <w:tcW w:type="dxa" w:w="2880"/>
            <w:vAlign w:val="top"/>
          </w:tcPr>
          <w:p>
            <w:pPr>
              <w:spacing w:after="60"/>
            </w:pPr>
            <w:r/>
            <w:r>
              <w:rPr>
                <w:b w:val="0"/>
              </w:rPr>
              <w:t>df_raw_path</w:t>
            </w:r>
          </w:p>
        </w:tc>
        <w:tc>
          <w:tcPr>
            <w:tcW w:type="dxa" w:w="2592"/>
            <w:vAlign w:val="top"/>
          </w:tcPr>
          <w:p>
            <w:pPr>
              <w:spacing w:after="60"/>
            </w:pPr>
            <w:r/>
            <w:r>
              <w:rPr>
                <w:b w:val="0"/>
              </w:rPr>
              <w:t>Producción</w:t>
            </w:r>
          </w:p>
        </w:tc>
        <w:tc>
          <w:tcPr>
            <w:tcW w:type="dxa" w:w="4320"/>
            <w:vAlign w:val="top"/>
          </w:tcPr>
          <w:p>
            <w:pPr>
              <w:spacing w:after="60"/>
            </w:pPr>
            <w:r/>
            <w:r>
              <w:rPr>
                <w:b w:val="0"/>
              </w:rPr>
              <w:t>Ruta accesible a df_split_actions.xlsx.</w:t>
            </w:r>
          </w:p>
        </w:tc>
      </w:tr>
      <w:tr>
        <w:trPr>
          <w:cantSplit/>
        </w:trPr>
        <w:tc>
          <w:tcPr>
            <w:tcW w:type="dxa" w:w="2880"/>
            <w:vAlign w:val="top"/>
          </w:tcPr>
          <w:p>
            <w:pPr>
              <w:spacing w:after="60"/>
            </w:pPr>
            <w:r/>
            <w:r>
              <w:rPr>
                <w:b w:val="0"/>
              </w:rPr>
              <w:t>embeddings_path</w:t>
            </w:r>
          </w:p>
        </w:tc>
        <w:tc>
          <w:tcPr>
            <w:tcW w:type="dxa" w:w="2592"/>
            <w:vAlign w:val="top"/>
          </w:tcPr>
          <w:p>
            <w:pPr>
              <w:spacing w:after="60"/>
            </w:pPr>
            <w:r/>
            <w:r>
              <w:rPr>
                <w:b w:val="0"/>
              </w:rPr>
              <w:t>Producción</w:t>
            </w:r>
          </w:p>
        </w:tc>
        <w:tc>
          <w:tcPr>
            <w:tcW w:type="dxa" w:w="4320"/>
            <w:vAlign w:val="top"/>
          </w:tcPr>
          <w:p>
            <w:pPr>
              <w:spacing w:after="60"/>
            </w:pPr>
            <w:r/>
            <w:r>
              <w:rPr>
                <w:b w:val="0"/>
              </w:rPr>
              <w:t>Ruta accesible a emb_Recomm_rec_cl_4.pt.</w:t>
            </w:r>
          </w:p>
        </w:tc>
      </w:tr>
      <w:tr>
        <w:trPr>
          <w:cantSplit/>
        </w:trPr>
        <w:tc>
          <w:tcPr>
            <w:tcW w:type="dxa" w:w="2880"/>
            <w:vAlign w:val="top"/>
          </w:tcPr>
          <w:p>
            <w:pPr>
              <w:spacing w:after="60"/>
            </w:pPr>
            <w:r/>
            <w:r>
              <w:rPr>
                <w:b w:val="0"/>
              </w:rPr>
              <w:t>structured_embeddings_path</w:t>
            </w:r>
          </w:p>
        </w:tc>
        <w:tc>
          <w:tcPr>
            <w:tcW w:type="dxa" w:w="2592"/>
            <w:vAlign w:val="top"/>
          </w:tcPr>
          <w:p>
            <w:pPr>
              <w:spacing w:after="60"/>
            </w:pPr>
            <w:r/>
            <w:r>
              <w:rPr>
                <w:b w:val="0"/>
              </w:rPr>
              <w:t>Producción</w:t>
            </w:r>
          </w:p>
        </w:tc>
        <w:tc>
          <w:tcPr>
            <w:tcW w:type="dxa" w:w="4320"/>
            <w:vAlign w:val="top"/>
          </w:tcPr>
          <w:p>
            <w:pPr>
              <w:spacing w:after="60"/>
            </w:pPr>
            <w:r/>
            <w:r>
              <w:rPr>
                <w:b w:val="0"/>
              </w:rPr>
              <w:t>Ruta accesible a Recommendation_RAG_Metadata.pt.</w:t>
            </w:r>
          </w:p>
        </w:tc>
      </w:tr>
      <w:tr>
        <w:trPr>
          <w:cantSplit/>
        </w:trPr>
        <w:tc>
          <w:tcPr>
            <w:tcW w:type="dxa" w:w="2880"/>
            <w:vAlign w:val="top"/>
          </w:tcPr>
          <w:p>
            <w:pPr>
              <w:spacing w:after="60"/>
            </w:pPr>
            <w:r/>
            <w:r>
              <w:rPr>
                <w:b w:val="0"/>
              </w:rPr>
              <w:t>analyzed_recommendations_path</w:t>
            </w:r>
          </w:p>
        </w:tc>
        <w:tc>
          <w:tcPr>
            <w:tcW w:type="dxa" w:w="2592"/>
            <w:vAlign w:val="top"/>
          </w:tcPr>
          <w:p>
            <w:pPr>
              <w:spacing w:after="60"/>
            </w:pPr>
            <w:r/>
            <w:r>
              <w:rPr>
                <w:b w:val="0"/>
              </w:rPr>
              <w:t>Producción opcional</w:t>
            </w:r>
          </w:p>
        </w:tc>
        <w:tc>
          <w:tcPr>
            <w:tcW w:type="dxa" w:w="4320"/>
            <w:vAlign w:val="top"/>
          </w:tcPr>
          <w:p>
            <w:pPr>
              <w:spacing w:after="60"/>
            </w:pPr>
            <w:r/>
            <w:r>
              <w:rPr>
                <w:b w:val="0"/>
              </w:rPr>
              <w:t>Ruta accesible a analyzed_recommendations_plans_v5.csv.</w:t>
            </w:r>
          </w:p>
        </w:tc>
      </w:tr>
      <w:tr>
        <w:trPr>
          <w:cantSplit/>
        </w:trPr>
        <w:tc>
          <w:tcPr>
            <w:tcW w:type="dxa" w:w="2880"/>
            <w:vAlign w:val="top"/>
          </w:tcPr>
          <w:p>
            <w:pPr>
              <w:spacing w:after="60"/>
            </w:pPr>
            <w:r/>
            <w:r>
              <w:rPr>
                <w:b w:val="0"/>
              </w:rPr>
              <w:t>lessons_embeddings_path</w:t>
            </w:r>
          </w:p>
        </w:tc>
        <w:tc>
          <w:tcPr>
            <w:tcW w:type="dxa" w:w="2592"/>
            <w:vAlign w:val="top"/>
          </w:tcPr>
          <w:p>
            <w:pPr>
              <w:spacing w:after="60"/>
            </w:pPr>
            <w:r/>
            <w:r>
              <w:rPr>
                <w:b w:val="0"/>
              </w:rPr>
              <w:t>Producción para helper no activo</w:t>
            </w:r>
          </w:p>
        </w:tc>
        <w:tc>
          <w:tcPr>
            <w:tcW w:type="dxa" w:w="4320"/>
            <w:vAlign w:val="top"/>
          </w:tcPr>
          <w:p>
            <w:pPr>
              <w:spacing w:after="60"/>
            </w:pPr>
            <w:r/>
            <w:r>
              <w:rPr>
                <w:b w:val="0"/>
              </w:rPr>
              <w:t>Ruta accesible a emb_LL_ll_cl_4.pt si se reconecta la función de lecciones.</w:t>
            </w:r>
          </w:p>
        </w:tc>
      </w:tr>
      <w:tr>
        <w:trPr>
          <w:cantSplit/>
        </w:trPr>
        <w:tc>
          <w:tcPr>
            <w:tcW w:type="dxa" w:w="2880"/>
            <w:vAlign w:val="top"/>
          </w:tcPr>
          <w:p>
            <w:pPr>
              <w:spacing w:after="60"/>
            </w:pPr>
            <w:r/>
            <w:r>
              <w:rPr>
                <w:b w:val="0"/>
              </w:rPr>
              <w:t>structured_lessons_path</w:t>
            </w:r>
          </w:p>
        </w:tc>
        <w:tc>
          <w:tcPr>
            <w:tcW w:type="dxa" w:w="2592"/>
            <w:vAlign w:val="top"/>
          </w:tcPr>
          <w:p>
            <w:pPr>
              <w:spacing w:after="60"/>
            </w:pPr>
            <w:r/>
            <w:r>
              <w:rPr>
                <w:b w:val="0"/>
              </w:rPr>
              <w:t>Producción para helper no activo</w:t>
            </w:r>
          </w:p>
        </w:tc>
        <w:tc>
          <w:tcPr>
            <w:tcW w:type="dxa" w:w="4320"/>
            <w:vAlign w:val="top"/>
          </w:tcPr>
          <w:p>
            <w:pPr>
              <w:spacing w:after="60"/>
            </w:pPr>
            <w:r/>
            <w:r>
              <w:rPr>
                <w:b w:val="0"/>
              </w:rPr>
              <w:t>Ruta accesible a lessons_metadata.pt si se reconecta la función de lecciones.</w:t>
            </w:r>
          </w:p>
        </w:tc>
      </w:tr>
    </w:tbl>
    <w:p/>
    <w:p>
      <w:pPr>
        <w:pStyle w:val="Heading1"/>
      </w:pPr>
      <w:r>
        <w:t>3. Control de acceso</w:t>
      </w:r>
    </w:p>
    <w:p>
      <w:r>
        <w:t>oli_v6_deploy.py no implementa usuarios, roles, contraseñas, permisos por funcionalidad, auditoría, aislamiento por tenant, escaneo de archivos cargados ni redacción de secretos. El control debe aplicarse fuera de la app, en Streamlit Cloud, servidor institucional, proxy, red privada o mecanismo equivalente.</w:t>
      </w:r>
    </w:p>
    <w:p>
      <w:pPr>
        <w:pStyle w:val="ListBullet"/>
      </w:pPr>
      <w:r>
        <w:t>Solo usuarios autorizados deben poder abrir la aplicación.</w:t>
      </w:r>
    </w:p>
    <w:p>
      <w:pPr>
        <w:pStyle w:val="ListBullet"/>
      </w:pPr>
      <w:r>
        <w:t>El repositorio y los archivos de datos deben tener permisos separados: lectura para operación, escritura solo para mantenimiento.</w:t>
      </w:r>
    </w:p>
    <w:p>
      <w:pPr>
        <w:pStyle w:val="ListBullet"/>
      </w:pPr>
      <w:r>
        <w:t>El acceso a OPENAI_API_KEY debe limitarse al entorno de ejecución y administradores técnicos.</w:t>
      </w:r>
    </w:p>
    <w:p>
      <w:pPr>
        <w:pStyle w:val="ListBullet"/>
      </w:pPr>
      <w:r>
        <w:t>Las descargas generadas por la app son responsabilidad del usuario que las produce.</w:t>
      </w:r>
    </w:p>
    <w:p>
      <w:pPr>
        <w:pStyle w:val="Heading1"/>
      </w:pPr>
      <w:r>
        <w:t>4. Seguridad de datos</w:t>
      </w:r>
    </w:p>
    <w:p>
      <w:pPr>
        <w:pStyle w:val="ListBullet"/>
      </w:pPr>
      <w:r>
        <w:t>Los documentos subidos se procesan en memoria y mediante archivos temporales; los temporales se eliminan al finalizar la extracción cuando el flujo llega a limpieza.</w:t>
      </w:r>
    </w:p>
    <w:p>
      <w:pPr>
        <w:pStyle w:val="ListBullet"/>
      </w:pPr>
      <w:r>
        <w:t>El contenido de documentos, preguntas y evidencias puede enviarse a OpenAI para generar evaluaciones y respuestas.</w:t>
      </w:r>
    </w:p>
    <w:p>
      <w:pPr>
        <w:pStyle w:val="ListBullet"/>
      </w:pPr>
      <w:r>
        <w:t>st.session_state conserva texto extraído y resultados durante la sesión activa.</w:t>
      </w:r>
    </w:p>
    <w:p>
      <w:pPr>
        <w:pStyle w:val="ListBullet"/>
      </w:pPr>
      <w:r>
        <w:t>Los archivos descargables XLSX/ZIP pueden contener citas textuales, razonamientos y evidencia del documento fuente.</w:t>
      </w:r>
    </w:p>
    <w:p>
      <w:pPr>
        <w:pStyle w:val="ListBullet"/>
      </w:pPr>
      <w:r>
        <w:t>Los cachés pickle locales, incluidas embeddings_cache.pkl y analysis_cache.pkl, no están cifrados ni verificados por integridad.</w:t>
      </w:r>
    </w:p>
    <w:p>
      <w:pPr>
        <w:pStyle w:val="ListBullet"/>
      </w:pPr>
      <w:r>
        <w:t>La aplicación no cifra salidas locales ni implementa retención de datos; estas políticas deben definirse en el entorno institucional.</w:t>
      </w:r>
    </w:p>
    <w:p>
      <w:pPr>
        <w:pStyle w:val="Heading2"/>
      </w:pPr>
      <w:r>
        <w:t>4.1 Capas de caché activas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448"/>
            <w:vAlign w:val="top"/>
            <w:shd w:fill="002F6C"/>
          </w:tcPr>
          <w:p>
            <w:pPr>
              <w:spacing w:after="60"/>
            </w:pPr>
            <w:r/>
            <w:r>
              <w:rPr>
                <w:b/>
                <w:color w:val="FFFFFF"/>
              </w:rPr>
              <w:t>Capa</w:t>
            </w:r>
          </w:p>
        </w:tc>
        <w:tc>
          <w:tcPr>
            <w:tcW w:type="dxa" w:w="3312"/>
            <w:vAlign w:val="top"/>
            <w:shd w:fill="002F6C"/>
          </w:tcPr>
          <w:p>
            <w:pPr>
              <w:spacing w:after="60"/>
            </w:pPr>
            <w:r/>
            <w:r>
              <w:rPr>
                <w:b/>
                <w:color w:val="FFFFFF"/>
              </w:rPr>
              <w:t>Ubicación</w:t>
            </w:r>
          </w:p>
        </w:tc>
        <w:tc>
          <w:tcPr>
            <w:tcW w:type="dxa" w:w="4032"/>
            <w:vAlign w:val="top"/>
            <w:shd w:fill="002F6C"/>
          </w:tcPr>
          <w:p>
            <w:pPr>
              <w:spacing w:after="60"/>
            </w:pPr>
            <w:r/>
            <w:r>
              <w:rPr>
                <w:b/>
                <w:color w:val="FFFFFF"/>
              </w:rPr>
              <w:t>Riesgo operativo</w:t>
            </w:r>
          </w:p>
        </w:tc>
      </w:tr>
      <w:tr>
        <w:trPr>
          <w:cantSplit/>
        </w:trPr>
        <w:tc>
          <w:tcPr>
            <w:tcW w:type="dxa" w:w="2448"/>
            <w:vAlign w:val="top"/>
          </w:tcPr>
          <w:p>
            <w:pPr>
              <w:spacing w:after="60"/>
            </w:pPr>
            <w:r/>
            <w:r>
              <w:rPr>
                <w:b w:val="0"/>
              </w:rPr>
              <w:t>st.cache_data</w:t>
            </w:r>
          </w:p>
        </w:tc>
        <w:tc>
          <w:tcPr>
            <w:tcW w:type="dxa" w:w="3312"/>
            <w:vAlign w:val="top"/>
          </w:tcPr>
          <w:p>
            <w:pPr>
              <w:spacing w:after="60"/>
            </w:pPr>
            <w:r/>
            <w:r>
              <w:rPr>
                <w:b w:val="0"/>
              </w:rPr>
              <w:t>Memoria/proceso Streamlit</w:t>
            </w:r>
          </w:p>
        </w:tc>
        <w:tc>
          <w:tcPr>
            <w:tcW w:type="dxa" w:w="4032"/>
            <w:vAlign w:val="top"/>
          </w:tcPr>
          <w:p>
            <w:pPr>
              <w:spacing w:after="60"/>
            </w:pPr>
            <w:r/>
            <w:r>
              <w:rPr>
                <w:b w:val="0"/>
              </w:rPr>
              <w:t>Puede mantener archivos, rúbricas o datos anteriores hasta limpiar caché o reiniciar.</w:t>
            </w:r>
          </w:p>
        </w:tc>
      </w:tr>
      <w:tr>
        <w:trPr>
          <w:cantSplit/>
        </w:trPr>
        <w:tc>
          <w:tcPr>
            <w:tcW w:type="dxa" w:w="2448"/>
            <w:vAlign w:val="top"/>
          </w:tcPr>
          <w:p>
            <w:pPr>
              <w:spacing w:after="60"/>
            </w:pPr>
            <w:r/>
            <w:r>
              <w:rPr>
                <w:b w:val="0"/>
              </w:rPr>
              <w:t>Tab 4</w:t>
            </w:r>
          </w:p>
        </w:tc>
        <w:tc>
          <w:tcPr>
            <w:tcW w:type="dxa" w:w="3312"/>
            <w:vAlign w:val="top"/>
          </w:tcPr>
          <w:p>
            <w:pPr>
              <w:spacing w:after="60"/>
            </w:pPr>
            <w:r/>
            <w:r>
              <w:rPr>
                <w:b w:val="0"/>
              </w:rPr>
              <w:t>st.session_state</w:t>
            </w:r>
          </w:p>
        </w:tc>
        <w:tc>
          <w:tcPr>
            <w:tcW w:type="dxa" w:w="4032"/>
            <w:vAlign w:val="top"/>
          </w:tcPr>
          <w:p>
            <w:pPr>
              <w:spacing w:after="60"/>
            </w:pPr>
            <w:r/>
            <w:r>
              <w:rPr>
                <w:b w:val="0"/>
              </w:rPr>
              <w:t>Guarda documentos, fragmentos y embeddings por sesión; cambios con el mismo nombre de archivo pueden no detectarse.</w:t>
            </w:r>
          </w:p>
        </w:tc>
      </w:tr>
      <w:tr>
        <w:trPr>
          <w:cantSplit/>
        </w:trPr>
        <w:tc>
          <w:tcPr>
            <w:tcW w:type="dxa" w:w="2448"/>
            <w:vAlign w:val="top"/>
          </w:tcPr>
          <w:p>
            <w:pPr>
              <w:spacing w:after="60"/>
            </w:pPr>
            <w:r/>
            <w:r>
              <w:rPr>
                <w:b w:val="0"/>
              </w:rPr>
              <w:t>Tabs 5 y 6</w:t>
            </w:r>
          </w:p>
        </w:tc>
        <w:tc>
          <w:tcPr>
            <w:tcW w:type="dxa" w:w="3312"/>
            <w:vAlign w:val="top"/>
          </w:tcPr>
          <w:p>
            <w:pPr>
              <w:spacing w:after="60"/>
            </w:pPr>
            <w:r/>
            <w:r>
              <w:rPr>
                <w:b w:val="0"/>
              </w:rPr>
              <w:t>embeddings_cache.pkl</w:t>
            </w:r>
          </w:p>
        </w:tc>
        <w:tc>
          <w:tcPr>
            <w:tcW w:type="dxa" w:w="4032"/>
            <w:vAlign w:val="top"/>
          </w:tcPr>
          <w:p>
            <w:pPr>
              <w:spacing w:after="60"/>
            </w:pPr>
            <w:r/>
            <w:r>
              <w:rPr>
                <w:b w:val="0"/>
              </w:rPr>
              <w:t>Persistente local, sin cifrado ni control de integridad.</w:t>
            </w:r>
          </w:p>
        </w:tc>
      </w:tr>
      <w:tr>
        <w:trPr>
          <w:cantSplit/>
        </w:trPr>
        <w:tc>
          <w:tcPr>
            <w:tcW w:type="dxa" w:w="2448"/>
            <w:vAlign w:val="top"/>
          </w:tcPr>
          <w:p>
            <w:pPr>
              <w:spacing w:after="60"/>
            </w:pPr>
            <w:r/>
            <w:r>
              <w:rPr>
                <w:b w:val="0"/>
              </w:rPr>
              <w:t>Análisis profundo</w:t>
            </w:r>
          </w:p>
        </w:tc>
        <w:tc>
          <w:tcPr>
            <w:tcW w:type="dxa" w:w="3312"/>
            <w:vAlign w:val="top"/>
          </w:tcPr>
          <w:p>
            <w:pPr>
              <w:spacing w:after="60"/>
            </w:pPr>
            <w:r/>
            <w:r>
              <w:rPr>
                <w:b w:val="0"/>
              </w:rPr>
              <w:t>analysis_cache.pkl</w:t>
            </w:r>
          </w:p>
        </w:tc>
        <w:tc>
          <w:tcPr>
            <w:tcW w:type="dxa" w:w="4032"/>
            <w:vAlign w:val="top"/>
          </w:tcPr>
          <w:p>
            <w:pPr>
              <w:spacing w:after="60"/>
            </w:pPr>
            <w:r/>
            <w:r>
              <w:rPr>
                <w:b w:val="0"/>
              </w:rPr>
              <w:t>Persistente local, sin cifrado ni control de integridad.</w:t>
            </w:r>
          </w:p>
        </w:tc>
      </w:tr>
      <w:tr>
        <w:trPr>
          <w:cantSplit/>
        </w:trPr>
        <w:tc>
          <w:tcPr>
            <w:tcW w:type="dxa" w:w="2448"/>
            <w:vAlign w:val="top"/>
          </w:tcPr>
          <w:p>
            <w:pPr>
              <w:spacing w:after="60"/>
            </w:pPr>
            <w:r/>
            <w:r>
              <w:rPr>
                <w:b w:val="0"/>
              </w:rPr>
              <w:t>SimpleHierarchicalStore</w:t>
            </w:r>
          </w:p>
        </w:tc>
        <w:tc>
          <w:tcPr>
            <w:tcW w:type="dxa" w:w="3312"/>
            <w:vAlign w:val="top"/>
          </w:tcPr>
          <w:p>
            <w:pPr>
              <w:spacing w:after="60"/>
            </w:pPr>
            <w:r/>
            <w:r>
              <w:rPr>
                <w:b w:val="0"/>
              </w:rPr>
              <w:t>~/document_store/embedding_cache.pkl</w:t>
            </w:r>
          </w:p>
        </w:tc>
        <w:tc>
          <w:tcPr>
            <w:tcW w:type="dxa" w:w="4032"/>
            <w:vAlign w:val="top"/>
          </w:tcPr>
          <w:p>
            <w:pPr>
              <w:spacing w:after="60"/>
            </w:pPr>
            <w:r/>
            <w:r>
              <w:rPr>
                <w:b w:val="0"/>
              </w:rPr>
              <w:t>Helper heredado para evaluación jerárquica; no es el mecanismo principal de Tab 4.</w:t>
            </w:r>
          </w:p>
        </w:tc>
      </w:tr>
    </w:tbl>
    <w:p/>
    <w:p>
      <w:pPr>
        <w:pStyle w:val="Heading1"/>
      </w:pPr>
      <w:r>
        <w:t>5. Parámetros de operación segura</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168"/>
            <w:vAlign w:val="top"/>
            <w:shd w:fill="002F6C"/>
          </w:tcPr>
          <w:p>
            <w:pPr>
              <w:spacing w:after="60"/>
            </w:pPr>
            <w:r/>
            <w:r>
              <w:rPr>
                <w:b/>
                <w:color w:val="FFFFFF"/>
              </w:rPr>
              <w:t>Parámetro</w:t>
            </w:r>
          </w:p>
        </w:tc>
        <w:tc>
          <w:tcPr>
            <w:tcW w:type="dxa" w:w="2304"/>
            <w:vAlign w:val="top"/>
            <w:shd w:fill="002F6C"/>
          </w:tcPr>
          <w:p>
            <w:pPr>
              <w:spacing w:after="60"/>
            </w:pPr>
            <w:r/>
            <w:r>
              <w:rPr>
                <w:b/>
                <w:color w:val="FFFFFF"/>
              </w:rPr>
              <w:t>Valor en código</w:t>
            </w:r>
          </w:p>
        </w:tc>
        <w:tc>
          <w:tcPr>
            <w:tcW w:type="dxa" w:w="4320"/>
            <w:vAlign w:val="top"/>
            <w:shd w:fill="002F6C"/>
          </w:tcPr>
          <w:p>
            <w:pPr>
              <w:spacing w:after="60"/>
            </w:pPr>
            <w:r/>
            <w:r>
              <w:rPr>
                <w:b/>
                <w:color w:val="FFFFFF"/>
              </w:rPr>
              <w:t>Impacto</w:t>
            </w:r>
          </w:p>
        </w:tc>
      </w:tr>
      <w:tr>
        <w:trPr>
          <w:cantSplit/>
        </w:trPr>
        <w:tc>
          <w:tcPr>
            <w:tcW w:type="dxa" w:w="3168"/>
            <w:vAlign w:val="top"/>
          </w:tcPr>
          <w:p>
            <w:pPr>
              <w:spacing w:after="60"/>
            </w:pPr>
            <w:r/>
            <w:r>
              <w:rPr>
                <w:b w:val="0"/>
              </w:rPr>
              <w:t>MAX_WORKERS global para valoración preliminar</w:t>
            </w:r>
          </w:p>
        </w:tc>
        <w:tc>
          <w:tcPr>
            <w:tcW w:type="dxa" w:w="2304"/>
            <w:vAlign w:val="top"/>
          </w:tcPr>
          <w:p>
            <w:pPr>
              <w:spacing w:after="60"/>
            </w:pPr>
            <w:r/>
            <w:r>
              <w:rPr>
                <w:b w:val="0"/>
              </w:rPr>
              <w:t>48</w:t>
            </w:r>
          </w:p>
        </w:tc>
        <w:tc>
          <w:tcPr>
            <w:tcW w:type="dxa" w:w="4320"/>
            <w:vAlign w:val="top"/>
          </w:tcPr>
          <w:p>
            <w:pPr>
              <w:spacing w:after="60"/>
            </w:pPr>
            <w:r/>
            <w:r>
              <w:rPr>
                <w:b w:val="0"/>
              </w:rPr>
              <w:t>Alta concurrencia para preguntas; puede exigir límites de API suficientes.</w:t>
            </w:r>
          </w:p>
        </w:tc>
      </w:tr>
      <w:tr>
        <w:trPr>
          <w:cantSplit/>
        </w:trPr>
        <w:tc>
          <w:tcPr>
            <w:tcW w:type="dxa" w:w="3168"/>
            <w:vAlign w:val="top"/>
          </w:tcPr>
          <w:p>
            <w:pPr>
              <w:spacing w:after="60"/>
            </w:pPr>
            <w:r/>
            <w:r>
              <w:rPr>
                <w:b w:val="0"/>
              </w:rPr>
              <w:t>MAX_WORKERS Tab 2</w:t>
            </w:r>
          </w:p>
        </w:tc>
        <w:tc>
          <w:tcPr>
            <w:tcW w:type="dxa" w:w="2304"/>
            <w:vAlign w:val="top"/>
          </w:tcPr>
          <w:p>
            <w:pPr>
              <w:spacing w:after="60"/>
            </w:pPr>
            <w:r/>
            <w:r>
              <w:rPr>
                <w:b w:val="0"/>
              </w:rPr>
              <w:t>3</w:t>
            </w:r>
          </w:p>
        </w:tc>
        <w:tc>
          <w:tcPr>
            <w:tcW w:type="dxa" w:w="4320"/>
            <w:vAlign w:val="top"/>
          </w:tcPr>
          <w:p>
            <w:pPr>
              <w:spacing w:after="60"/>
            </w:pPr>
            <w:r/>
            <w:r>
              <w:rPr>
                <w:b w:val="0"/>
              </w:rPr>
              <w:t>Reduce riesgo de rate limit en evaluación por rúbricas.</w:t>
            </w:r>
          </w:p>
        </w:tc>
      </w:tr>
      <w:tr>
        <w:trPr>
          <w:cantSplit/>
        </w:trPr>
        <w:tc>
          <w:tcPr>
            <w:tcW w:type="dxa" w:w="3168"/>
            <w:vAlign w:val="top"/>
          </w:tcPr>
          <w:p>
            <w:pPr>
              <w:spacing w:after="60"/>
            </w:pPr>
            <w:r/>
            <w:r>
              <w:rPr>
                <w:b w:val="0"/>
              </w:rPr>
              <w:t>MAX_WORKERS Tab 3</w:t>
            </w:r>
          </w:p>
        </w:tc>
        <w:tc>
          <w:tcPr>
            <w:tcW w:type="dxa" w:w="2304"/>
            <w:vAlign w:val="top"/>
          </w:tcPr>
          <w:p>
            <w:pPr>
              <w:spacing w:after="60"/>
            </w:pPr>
            <w:r/>
            <w:r>
              <w:rPr>
                <w:b w:val="0"/>
              </w:rPr>
              <w:t>8</w:t>
            </w:r>
          </w:p>
        </w:tc>
        <w:tc>
          <w:tcPr>
            <w:tcW w:type="dxa" w:w="4320"/>
            <w:vAlign w:val="top"/>
          </w:tcPr>
          <w:p>
            <w:pPr>
              <w:spacing w:after="60"/>
            </w:pPr>
            <w:r/>
            <w:r>
              <w:rPr>
                <w:b w:val="0"/>
              </w:rPr>
              <w:t>Procesa criterios de sostenibilidad en paralelo.</w:t>
            </w:r>
          </w:p>
        </w:tc>
      </w:tr>
      <w:tr>
        <w:trPr>
          <w:cantSplit/>
        </w:trPr>
        <w:tc>
          <w:tcPr>
            <w:tcW w:type="dxa" w:w="3168"/>
            <w:vAlign w:val="top"/>
          </w:tcPr>
          <w:p>
            <w:pPr>
              <w:spacing w:after="60"/>
            </w:pPr>
            <w:r/>
            <w:r>
              <w:rPr>
                <w:b w:val="0"/>
              </w:rPr>
              <w:t>Chat RAG</w:t>
            </w:r>
          </w:p>
        </w:tc>
        <w:tc>
          <w:tcPr>
            <w:tcW w:type="dxa" w:w="2304"/>
            <w:vAlign w:val="top"/>
          </w:tcPr>
          <w:p>
            <w:pPr>
              <w:spacing w:after="60"/>
            </w:pPr>
            <w:r/>
            <w:r>
              <w:rPr>
                <w:b w:val="0"/>
              </w:rPr>
              <w:t>&gt;100,000 caracteres</w:t>
            </w:r>
          </w:p>
        </w:tc>
        <w:tc>
          <w:tcPr>
            <w:tcW w:type="dxa" w:w="4320"/>
            <w:vAlign w:val="top"/>
          </w:tcPr>
          <w:p>
            <w:pPr>
              <w:spacing w:after="60"/>
            </w:pPr>
            <w:r/>
            <w:r>
              <w:rPr>
                <w:b w:val="0"/>
              </w:rPr>
              <w:t>Evita enviar documentos grandes completos en cada consulta.</w:t>
            </w:r>
          </w:p>
        </w:tc>
      </w:tr>
      <w:tr>
        <w:trPr>
          <w:cantSplit/>
        </w:trPr>
        <w:tc>
          <w:tcPr>
            <w:tcW w:type="dxa" w:w="3168"/>
            <w:vAlign w:val="top"/>
          </w:tcPr>
          <w:p>
            <w:pPr>
              <w:spacing w:after="60"/>
            </w:pPr>
            <w:r/>
            <w:r>
              <w:rPr>
                <w:b w:val="0"/>
              </w:rPr>
              <w:t>Token limit</w:t>
            </w:r>
          </w:p>
        </w:tc>
        <w:tc>
          <w:tcPr>
            <w:tcW w:type="dxa" w:w="2304"/>
            <w:vAlign w:val="top"/>
          </w:tcPr>
          <w:p>
            <w:pPr>
              <w:spacing w:after="60"/>
            </w:pPr>
            <w:r/>
            <w:r>
              <w:rPr>
                <w:b w:val="0"/>
              </w:rPr>
              <w:t>110,000 tokens</w:t>
            </w:r>
          </w:p>
        </w:tc>
        <w:tc>
          <w:tcPr>
            <w:tcW w:type="dxa" w:w="4320"/>
            <w:vAlign w:val="top"/>
          </w:tcPr>
          <w:p>
            <w:pPr>
              <w:spacing w:after="60"/>
            </w:pPr>
            <w:r/>
            <w:r>
              <w:rPr>
                <w:b w:val="0"/>
              </w:rPr>
              <w:t>Recorta documentos muy extensos antes de llamar al modelo.</w:t>
            </w:r>
          </w:p>
        </w:tc>
      </w:tr>
      <w:tr>
        <w:trPr>
          <w:cantSplit/>
        </w:trPr>
        <w:tc>
          <w:tcPr>
            <w:tcW w:type="dxa" w:w="3168"/>
            <w:vAlign w:val="top"/>
          </w:tcPr>
          <w:p>
            <w:pPr>
              <w:spacing w:after="60"/>
            </w:pPr>
            <w:r/>
            <w:r>
              <w:rPr>
                <w:b w:val="0"/>
              </w:rPr>
              <w:t>Clasificación batch</w:t>
            </w:r>
          </w:p>
        </w:tc>
        <w:tc>
          <w:tcPr>
            <w:tcW w:type="dxa" w:w="2304"/>
            <w:vAlign w:val="top"/>
          </w:tcPr>
          <w:p>
            <w:pPr>
              <w:spacing w:after="60"/>
            </w:pPr>
            <w:r/>
            <w:r>
              <w:rPr>
                <w:b w:val="0"/>
              </w:rPr>
              <w:t>20 textos por lote lógico</w:t>
            </w:r>
          </w:p>
        </w:tc>
        <w:tc>
          <w:tcPr>
            <w:tcW w:type="dxa" w:w="4320"/>
            <w:vAlign w:val="top"/>
          </w:tcPr>
          <w:p>
            <w:pPr>
              <w:spacing w:after="60"/>
            </w:pPr>
            <w:r/>
            <w:r>
              <w:rPr>
                <w:b w:val="0"/>
              </w:rPr>
              <w:t>Controla generación de embeddings de recomendaciones únicas.</w:t>
            </w:r>
          </w:p>
        </w:tc>
      </w:tr>
    </w:tbl>
    <w:p/>
    <w:p>
      <w:pPr>
        <w:pStyle w:val="Heading1"/>
      </w:pPr>
      <w:r>
        <w:t>6. Lista de verificación antes de producción</w:t>
      </w:r>
    </w:p>
    <w:p>
      <w:pPr>
        <w:pStyle w:val="ListBullet"/>
      </w:pPr>
      <w:r>
        <w:t>Confirmar que OPENAI_API_KEY existe en el proceso runtime y que la cuenta tiene presupuesto suficiente.</w:t>
      </w:r>
    </w:p>
    <w:p>
      <w:pPr>
        <w:pStyle w:val="ListBullet"/>
      </w:pPr>
      <w:r>
        <w:t>Confirmar que todos los archivos de datos obligatorios abren con pandas/torch en el entorno de producción.</w:t>
      </w:r>
    </w:p>
    <w:p>
      <w:pPr>
        <w:pStyle w:val="ListBullet"/>
      </w:pPr>
      <w:r>
        <w:t>Configurar acceso privado a la app en el hosting.</w:t>
      </w:r>
    </w:p>
    <w:p>
      <w:pPr>
        <w:pStyle w:val="ListBullet"/>
      </w:pPr>
      <w:r>
        <w:t>Ejecutar una prueba por pestaña con documentos no sensibles.</w:t>
      </w:r>
    </w:p>
    <w:p>
      <w:pPr>
        <w:pStyle w:val="ListBullet"/>
      </w:pPr>
      <w:r>
        <w:t>Verificar que las descargas se generan, se abren y no exponen más información de la necesaria.</w:t>
      </w:r>
    </w:p>
    <w:p>
      <w:pPr>
        <w:pStyle w:val="ListBullet"/>
      </w:pPr>
      <w:r>
        <w:t>Documentar internamente quién puede reemplazar archivos de datos y quién puede desplegar código.</w:t>
      </w:r>
    </w:p>
    <w:p>
      <w:pPr>
        <w:pStyle w:val="Heading1"/>
      </w:pPr>
      <w:r>
        <w:t>7. Respuesta a incidentes</w:t>
      </w:r>
    </w:p>
    <w:p>
      <w:pPr>
        <w:ind w:left="360" w:hanging="360"/>
      </w:pPr>
      <w:r>
        <w:t>1. Deshabilitar el acceso externo a la app desde el hosting o proxy.</w:t>
      </w:r>
    </w:p>
    <w:p>
      <w:pPr>
        <w:ind w:left="360" w:hanging="360"/>
      </w:pPr>
      <w:r>
        <w:t>2. Revocar y rotar OPENAI_API_KEY si se sospecha exposición.</w:t>
      </w:r>
    </w:p>
    <w:p>
      <w:pPr>
        <w:ind w:left="360" w:hanging="360"/>
      </w:pPr>
      <w:r>
        <w:t>3. Conservar copias de archivos descargados o logs disponibles solo si la política institucional lo permite.</w:t>
      </w:r>
    </w:p>
    <w:p>
      <w:pPr>
        <w:ind w:left="360" w:hanging="360"/>
      </w:pPr>
      <w:r>
        <w:t>4. Restaurar archivos de datos desde respaldo verificado.</w:t>
      </w:r>
    </w:p>
    <w:p>
      <w:pPr>
        <w:ind w:left="360" w:hanging="360"/>
      </w:pPr>
      <w:r>
        <w:t>5. Reactivar la app después de una prueba completa de Tabs 1 a 6.</w:t>
      </w:r>
    </w:p>
    <w:p>
      <w:pPr>
        <w:pStyle w:val="Heading1"/>
      </w:pPr>
      <w:r>
        <w:t>8. Configuración y seguridad de los asistentes GPT</w:t>
      </w:r>
    </w:p>
    <w:p>
      <w:r>
        <w:t>El backend FastAPI que sirve a los tres GPTs tiene su propio modelo de configuración y de control de acceso, distinto del de la app Streamlit. A diferencia de oli_v6_deploy.py, este backend sí implementa autenticación.</w:t>
      </w:r>
    </w:p>
    <w:p>
      <w:pPr>
        <w:pStyle w:val="Heading2"/>
      </w:pPr>
      <w:r>
        <w:t>8.1 Variables de entorno del backend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top"/>
            <w:shd w:fill="002F6C"/>
          </w:tcPr>
          <w:p>
            <w:pPr>
              <w:spacing w:after="60"/>
            </w:pPr>
            <w:r/>
            <w:r>
              <w:rPr>
                <w:b/>
                <w:color w:val="FFFFFF"/>
              </w:rPr>
              <w:t>Variable</w:t>
            </w:r>
          </w:p>
        </w:tc>
        <w:tc>
          <w:tcPr>
            <w:tcW w:type="dxa" w:w="4032"/>
            <w:vAlign w:val="top"/>
            <w:shd w:fill="002F6C"/>
          </w:tcPr>
          <w:p>
            <w:pPr>
              <w:spacing w:after="60"/>
            </w:pPr>
            <w:r/>
            <w:r>
              <w:rPr>
                <w:b/>
                <w:color w:val="FFFFFF"/>
              </w:rPr>
              <w:t>Uso</w:t>
            </w:r>
          </w:p>
        </w:tc>
        <w:tc>
          <w:tcPr>
            <w:tcW w:type="dxa" w:w="2880"/>
            <w:vAlign w:val="top"/>
            <w:shd w:fill="002F6C"/>
          </w:tcPr>
          <w:p>
            <w:pPr>
              <w:spacing w:after="60"/>
            </w:pPr>
            <w:r/>
            <w:r>
              <w:rPr>
                <w:b/>
                <w:color w:val="FFFFFF"/>
              </w:rPr>
              <w:t>Dónde se configura</w:t>
            </w:r>
          </w:p>
        </w:tc>
      </w:tr>
      <w:tr>
        <w:trPr>
          <w:cantSplit/>
        </w:trPr>
        <w:tc>
          <w:tcPr>
            <w:tcW w:type="dxa" w:w="2880"/>
            <w:vAlign w:val="top"/>
          </w:tcPr>
          <w:p>
            <w:pPr>
              <w:spacing w:after="60"/>
            </w:pPr>
            <w:r/>
            <w:r>
              <w:rPr>
                <w:b w:val="0"/>
              </w:rPr>
              <w:t>OPENAI_API_KEY</w:t>
            </w:r>
          </w:p>
        </w:tc>
        <w:tc>
          <w:tcPr>
            <w:tcW w:type="dxa" w:w="4032"/>
            <w:vAlign w:val="top"/>
          </w:tcPr>
          <w:p>
            <w:pPr>
              <w:spacing w:after="60"/>
            </w:pPr>
            <w:r/>
            <w:r>
              <w:rPr>
                <w:b w:val="0"/>
              </w:rPr>
              <w:t>Autenticación del cliente OpenAI para todas las llamadas de evaluación.</w:t>
            </w:r>
          </w:p>
        </w:tc>
        <w:tc>
          <w:tcPr>
            <w:tcW w:type="dxa" w:w="2880"/>
            <w:vAlign w:val="top"/>
          </w:tcPr>
          <w:p>
            <w:pPr>
              <w:spacing w:after="60"/>
            </w:pPr>
            <w:r/>
            <w:r>
              <w:rPr>
                <w:b w:val="0"/>
              </w:rPr>
              <w:t>Panel de Render, marcada como sync:false en render.yaml para no versionarla.</w:t>
            </w:r>
          </w:p>
        </w:tc>
      </w:tr>
      <w:tr>
        <w:trPr>
          <w:cantSplit/>
        </w:trPr>
        <w:tc>
          <w:tcPr>
            <w:tcW w:type="dxa" w:w="2880"/>
            <w:vAlign w:val="top"/>
          </w:tcPr>
          <w:p>
            <w:pPr>
              <w:spacing w:after="60"/>
            </w:pPr>
            <w:r/>
            <w:r>
              <w:rPr>
                <w:b w:val="0"/>
              </w:rPr>
              <w:t>ILO_GPT_ACTION_API_KEY</w:t>
            </w:r>
          </w:p>
        </w:tc>
        <w:tc>
          <w:tcPr>
            <w:tcW w:type="dxa" w:w="4032"/>
            <w:vAlign w:val="top"/>
          </w:tcPr>
          <w:p>
            <w:pPr>
              <w:spacing w:after="60"/>
            </w:pPr>
            <w:r/>
            <w:r>
              <w:rPr>
                <w:b w:val="0"/>
              </w:rPr>
              <w:t>Valor esperado de la cabecera X-API-Key; protege todos los endpoints de trabajos.</w:t>
            </w:r>
          </w:p>
        </w:tc>
        <w:tc>
          <w:tcPr>
            <w:tcW w:type="dxa" w:w="2880"/>
            <w:vAlign w:val="top"/>
          </w:tcPr>
          <w:p>
            <w:pPr>
              <w:spacing w:after="60"/>
            </w:pPr>
            <w:r/>
            <w:r>
              <w:rPr>
                <w:b w:val="0"/>
              </w:rPr>
              <w:t>Panel de Render, marcada como sync:false; el mismo valor se carga en la Action de cada GPT.</w:t>
            </w:r>
          </w:p>
        </w:tc>
      </w:tr>
    </w:tbl>
    <w:p/>
    <w:p>
      <w:r>
        <w:t>Ambas variables deben existir en el proceso runtime. render.yaml las declara sin valor, de modo que Render las solicita en el primer despliegue y nunca quedan en el repositorio.</w:t>
      </w:r>
    </w:p>
    <w:p>
      <w:pPr>
        <w:pStyle w:val="Heading2"/>
      </w:pPr>
      <w:r>
        <w:t>8.2 Control de acceso en tres capas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304"/>
            <w:vAlign w:val="top"/>
            <w:shd w:fill="002F6C"/>
          </w:tcPr>
          <w:p>
            <w:pPr>
              <w:spacing w:after="60"/>
            </w:pPr>
            <w:r/>
            <w:r>
              <w:rPr>
                <w:b/>
                <w:color w:val="FFFFFF"/>
              </w:rPr>
              <w:t>Capa</w:t>
            </w:r>
          </w:p>
        </w:tc>
        <w:tc>
          <w:tcPr>
            <w:tcW w:type="dxa" w:w="4320"/>
            <w:vAlign w:val="top"/>
            <w:shd w:fill="002F6C"/>
          </w:tcPr>
          <w:p>
            <w:pPr>
              <w:spacing w:after="60"/>
            </w:pPr>
            <w:r/>
            <w:r>
              <w:rPr>
                <w:b/>
                <w:color w:val="FFFFFF"/>
              </w:rPr>
              <w:t>Mecanismo</w:t>
            </w:r>
          </w:p>
        </w:tc>
        <w:tc>
          <w:tcPr>
            <w:tcW w:type="dxa" w:w="3168"/>
            <w:vAlign w:val="top"/>
            <w:shd w:fill="002F6C"/>
          </w:tcPr>
          <w:p>
            <w:pPr>
              <w:spacing w:after="60"/>
            </w:pPr>
            <w:r/>
            <w:r>
              <w:rPr>
                <w:b/>
                <w:color w:val="FFFFFF"/>
              </w:rPr>
              <w:t>Qué protege</w:t>
            </w:r>
          </w:p>
        </w:tc>
      </w:tr>
      <w:tr>
        <w:trPr>
          <w:cantSplit/>
        </w:trPr>
        <w:tc>
          <w:tcPr>
            <w:tcW w:type="dxa" w:w="2304"/>
            <w:vAlign w:val="top"/>
          </w:tcPr>
          <w:p>
            <w:pPr>
              <w:spacing w:after="60"/>
            </w:pPr>
            <w:r/>
            <w:r>
              <w:rPr>
                <w:b w:val="0"/>
              </w:rPr>
              <w:t>Acceso al GPT</w:t>
            </w:r>
          </w:p>
        </w:tc>
        <w:tc>
          <w:tcPr>
            <w:tcW w:type="dxa" w:w="4320"/>
            <w:vAlign w:val="top"/>
          </w:tcPr>
          <w:p>
            <w:pPr>
              <w:spacing w:after="60"/>
            </w:pPr>
            <w:r/>
            <w:r>
              <w:rPr>
                <w:b w:val="0"/>
              </w:rPr>
              <w:t>Enlace privado de ChatGPT: sólo abre quien tiene el enlace, y requiere cuenta de ChatGPT.</w:t>
            </w:r>
          </w:p>
        </w:tc>
        <w:tc>
          <w:tcPr>
            <w:tcW w:type="dxa" w:w="3168"/>
            <w:vAlign w:val="top"/>
          </w:tcPr>
          <w:p>
            <w:pPr>
              <w:spacing w:after="60"/>
            </w:pPr>
            <w:r/>
            <w:r>
              <w:rPr>
                <w:b w:val="0"/>
              </w:rPr>
              <w:t>Quién puede usar el asistente.</w:t>
            </w:r>
          </w:p>
        </w:tc>
      </w:tr>
      <w:tr>
        <w:trPr>
          <w:cantSplit/>
        </w:trPr>
        <w:tc>
          <w:tcPr>
            <w:tcW w:type="dxa" w:w="2304"/>
            <w:vAlign w:val="top"/>
          </w:tcPr>
          <w:p>
            <w:pPr>
              <w:spacing w:after="60"/>
            </w:pPr>
            <w:r/>
            <w:r>
              <w:rPr>
                <w:b w:val="0"/>
              </w:rPr>
              <w:t>Acceso a la API</w:t>
            </w:r>
          </w:p>
        </w:tc>
        <w:tc>
          <w:tcPr>
            <w:tcW w:type="dxa" w:w="4320"/>
            <w:vAlign w:val="top"/>
          </w:tcPr>
          <w:p>
            <w:pPr>
              <w:spacing w:after="60"/>
            </w:pPr>
            <w:r/>
            <w:r>
              <w:rPr>
                <w:b w:val="0"/>
              </w:rPr>
              <w:t>Cabecera X-API-Key comparada contra ILO_GPT_ACTION_API_KEY en require_api_key.</w:t>
            </w:r>
          </w:p>
        </w:tc>
        <w:tc>
          <w:tcPr>
            <w:tcW w:type="dxa" w:w="3168"/>
            <w:vAlign w:val="top"/>
          </w:tcPr>
          <w:p>
            <w:pPr>
              <w:spacing w:after="60"/>
            </w:pPr>
            <w:r/>
            <w:r>
              <w:rPr>
                <w:b w:val="0"/>
              </w:rPr>
              <w:t>Quién puede lanzar evaluaciones contra el backend.</w:t>
            </w:r>
          </w:p>
        </w:tc>
      </w:tr>
      <w:tr>
        <w:trPr>
          <w:cantSplit/>
        </w:trPr>
        <w:tc>
          <w:tcPr>
            <w:tcW w:type="dxa" w:w="2304"/>
            <w:vAlign w:val="top"/>
          </w:tcPr>
          <w:p>
            <w:pPr>
              <w:spacing w:after="60"/>
            </w:pPr>
            <w:r/>
            <w:r>
              <w:rPr>
                <w:b w:val="0"/>
              </w:rPr>
              <w:t>Endpoints abiertos</w:t>
            </w:r>
          </w:p>
        </w:tc>
        <w:tc>
          <w:tcPr>
            <w:tcW w:type="dxa" w:w="4320"/>
            <w:vAlign w:val="top"/>
          </w:tcPr>
          <w:p>
            <w:pPr>
              <w:spacing w:after="60"/>
            </w:pPr>
            <w:r/>
            <w:r>
              <w:rPr>
                <w:b w:val="0"/>
              </w:rPr>
              <w:t>/health y /privacy no requieren autenticación, por requisito de Render y de ChatGPT respectivamente.</w:t>
            </w:r>
          </w:p>
        </w:tc>
        <w:tc>
          <w:tcPr>
            <w:tcW w:type="dxa" w:w="3168"/>
            <w:vAlign w:val="top"/>
          </w:tcPr>
          <w:p>
            <w:pPr>
              <w:spacing w:after="60"/>
            </w:pPr>
            <w:r/>
            <w:r>
              <w:rPr>
                <w:b w:val="0"/>
              </w:rPr>
              <w:t>No exponen datos: sólo estado del servicio y texto de política.</w:t>
            </w:r>
          </w:p>
        </w:tc>
      </w:tr>
    </w:tbl>
    <w:p/>
    <w:p>
      <w:pPr>
        <w:pStyle w:val="ListBullet"/>
      </w:pPr>
      <w:r>
        <w:t>La distribución de los enlaces de los GPTs es el control de acceso efectivo para las personas usuarias: debe gestionarse como se gestionaría una lista de distribución.</w:t>
      </w:r>
    </w:p>
    <w:p>
      <w:pPr>
        <w:pStyle w:val="ListBullet"/>
      </w:pPr>
      <w:r>
        <w:t>ILO_GPT_ACTION_API_KEY es un secreto compartido entre el backend y las tres Actions; rotarla obliga a actualizar los tres GPTs.</w:t>
      </w:r>
    </w:p>
    <w:p>
      <w:pPr>
        <w:pStyle w:val="ListBullet"/>
      </w:pPr>
      <w:r>
        <w:t>No hay usuarios, roles ni auditoría por persona: el backend no distingue quién lanzó cada evaluación.</w:t>
      </w:r>
    </w:p>
    <w:p>
      <w:pPr>
        <w:pStyle w:val="Heading2"/>
      </w:pPr>
      <w:r>
        <w:t>8.3 Seguridad de datos en el flujo GPT</w:t>
      </w:r>
    </w:p>
    <w:p>
      <w:pPr>
        <w:pStyle w:val="ListBullet"/>
      </w:pPr>
      <w:r>
        <w:t>El documento se sube primero a los servidores de OpenAI, dentro de la conversación de ChatGPT, y luego el backend lo descarga para procesarlo. Ambos tránsitos deben considerarse al clasificar la sensibilidad del documento.</w:t>
      </w:r>
    </w:p>
    <w:p>
      <w:pPr>
        <w:pStyle w:val="ListBullet"/>
      </w:pPr>
      <w:r>
        <w:t>El texto extraído y los fragmentos de evidencia se envían a la API de OpenAI durante la evaluación.</w:t>
      </w:r>
    </w:p>
    <w:p>
      <w:pPr>
        <w:pStyle w:val="ListBullet"/>
      </w:pPr>
      <w:r>
        <w:t>El backend no persiste el documento: lo procesa y lo descarta al terminar el trabajo.</w:t>
      </w:r>
    </w:p>
    <w:p>
      <w:pPr>
        <w:pStyle w:val="ListBullet"/>
      </w:pPr>
      <w:r>
        <w:t>Los resultados viven en memoria del proceso hasta el reinicio; no hay base de datos ni registro histórico.</w:t>
      </w:r>
    </w:p>
    <w:p>
      <w:pPr>
        <w:pStyle w:val="ListBullet"/>
      </w:pPr>
      <w:r>
        <w:t>El XLSX entregado contiene citas textuales del documento original y debe manejarse con la misma confidencialidad que el documento fuente.</w:t>
      </w:r>
    </w:p>
    <w:p>
      <w:pPr>
        <w:pStyle w:val="ListBullet"/>
      </w:pPr>
      <w:r>
        <w:t>La conversación de ChatGPT queda en la cuenta del usuario, con el documento adjunto: la retención depende de la configuración de la cuenta y del plan de ChatGPT usado.</w:t>
      </w:r>
    </w:p>
    <w:p>
      <w:pPr>
        <w:pStyle w:val="Heading2"/>
      </w:pPr>
      <w:r>
        <w:t>8.4 Parámetros de operación del backend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top"/>
            <w:shd w:fill="002F6C"/>
          </w:tcPr>
          <w:p>
            <w:pPr>
              <w:spacing w:after="60"/>
            </w:pPr>
            <w:r/>
            <w:r>
              <w:rPr>
                <w:b/>
                <w:color w:val="FFFFFF"/>
              </w:rPr>
              <w:t>Parámetro</w:t>
            </w:r>
          </w:p>
        </w:tc>
        <w:tc>
          <w:tcPr>
            <w:tcW w:type="dxa" w:w="1728"/>
            <w:vAlign w:val="top"/>
            <w:shd w:fill="002F6C"/>
          </w:tcPr>
          <w:p>
            <w:pPr>
              <w:spacing w:after="60"/>
            </w:pPr>
            <w:r/>
            <w:r>
              <w:rPr>
                <w:b/>
                <w:color w:val="FFFFFF"/>
              </w:rPr>
              <w:t>Valor</w:t>
            </w:r>
          </w:p>
        </w:tc>
        <w:tc>
          <w:tcPr>
            <w:tcW w:type="dxa" w:w="5184"/>
            <w:vAlign w:val="top"/>
            <w:shd w:fill="002F6C"/>
          </w:tcPr>
          <w:p>
            <w:pPr>
              <w:spacing w:after="60"/>
            </w:pPr>
            <w:r/>
            <w:r>
              <w:rPr>
                <w:b/>
                <w:color w:val="FFFFFF"/>
              </w:rPr>
              <w:t>Impacto</w:t>
            </w:r>
          </w:p>
        </w:tc>
      </w:tr>
      <w:tr>
        <w:trPr>
          <w:cantSplit/>
        </w:trPr>
        <w:tc>
          <w:tcPr>
            <w:tcW w:type="dxa" w:w="2880"/>
            <w:vAlign w:val="top"/>
          </w:tcPr>
          <w:p>
            <w:pPr>
              <w:spacing w:after="60"/>
            </w:pPr>
            <w:r/>
            <w:r>
              <w:rPr>
                <w:b w:val="0"/>
              </w:rPr>
              <w:t>MAX_WORKERS tab1_v3_core</w:t>
            </w:r>
          </w:p>
        </w:tc>
        <w:tc>
          <w:tcPr>
            <w:tcW w:type="dxa" w:w="1728"/>
            <w:vAlign w:val="top"/>
          </w:tcPr>
          <w:p>
            <w:pPr>
              <w:spacing w:after="60"/>
            </w:pPr>
            <w:r/>
            <w:r>
              <w:rPr>
                <w:b w:val="0"/>
              </w:rPr>
              <w:t>48</w:t>
            </w:r>
          </w:p>
        </w:tc>
        <w:tc>
          <w:tcPr>
            <w:tcW w:type="dxa" w:w="5184"/>
            <w:vAlign w:val="top"/>
          </w:tcPr>
          <w:p>
            <w:pPr>
              <w:spacing w:after="60"/>
            </w:pPr>
            <w:r/>
            <w:r>
              <w:rPr>
                <w:b w:val="0"/>
              </w:rPr>
              <w:t>Alta concurrencia sobre 76 criterios, multiplicada por las 10 corridas de estabilidad; exige límites de API holgados en la cuenta OpenAI.</w:t>
            </w:r>
          </w:p>
        </w:tc>
      </w:tr>
      <w:tr>
        <w:trPr>
          <w:cantSplit/>
        </w:trPr>
        <w:tc>
          <w:tcPr>
            <w:tcW w:type="dxa" w:w="2880"/>
            <w:vAlign w:val="top"/>
          </w:tcPr>
          <w:p>
            <w:pPr>
              <w:spacing w:after="60"/>
            </w:pPr>
            <w:r/>
            <w:r>
              <w:rPr>
                <w:b w:val="0"/>
              </w:rPr>
              <w:t>MAX_WORKERS tab2_core</w:t>
            </w:r>
          </w:p>
        </w:tc>
        <w:tc>
          <w:tcPr>
            <w:tcW w:type="dxa" w:w="1728"/>
            <w:vAlign w:val="top"/>
          </w:tcPr>
          <w:p>
            <w:pPr>
              <w:spacing w:after="60"/>
            </w:pPr>
            <w:r/>
            <w:r>
              <w:rPr>
                <w:b w:val="0"/>
              </w:rPr>
              <w:t>8</w:t>
            </w:r>
          </w:p>
        </w:tc>
        <w:tc>
          <w:tcPr>
            <w:tcW w:type="dxa" w:w="5184"/>
            <w:vAlign w:val="top"/>
          </w:tcPr>
          <w:p>
            <w:pPr>
              <w:spacing w:after="60"/>
            </w:pPr>
            <w:r/>
            <w:r>
              <w:rPr>
                <w:b w:val="0"/>
              </w:rPr>
              <w:t>Concurrencia moderada, multiplicada por las 5 corridas de estabilidad.</w:t>
            </w:r>
          </w:p>
        </w:tc>
      </w:tr>
      <w:tr>
        <w:trPr>
          <w:cantSplit/>
        </w:trPr>
        <w:tc>
          <w:tcPr>
            <w:tcW w:type="dxa" w:w="2880"/>
            <w:vAlign w:val="top"/>
          </w:tcPr>
          <w:p>
            <w:pPr>
              <w:spacing w:after="60"/>
            </w:pPr>
            <w:r/>
            <w:r>
              <w:rPr>
                <w:b w:val="0"/>
              </w:rPr>
              <w:t>MAX_WORKERS sustainability_core</w:t>
            </w:r>
          </w:p>
        </w:tc>
        <w:tc>
          <w:tcPr>
            <w:tcW w:type="dxa" w:w="1728"/>
            <w:vAlign w:val="top"/>
          </w:tcPr>
          <w:p>
            <w:pPr>
              <w:spacing w:after="60"/>
            </w:pPr>
            <w:r/>
            <w:r>
              <w:rPr>
                <w:b w:val="0"/>
              </w:rPr>
              <w:t>8</w:t>
            </w:r>
          </w:p>
        </w:tc>
        <w:tc>
          <w:tcPr>
            <w:tcW w:type="dxa" w:w="5184"/>
            <w:vAlign w:val="top"/>
          </w:tcPr>
          <w:p>
            <w:pPr>
              <w:spacing w:after="60"/>
            </w:pPr>
            <w:r/>
            <w:r>
              <w:rPr>
                <w:b w:val="0"/>
              </w:rPr>
              <w:t>Concurrencia moderada, multiplicada por las 5 corridas de estabilidad.</w:t>
            </w:r>
          </w:p>
        </w:tc>
      </w:tr>
      <w:tr>
        <w:trPr>
          <w:cantSplit/>
        </w:trPr>
        <w:tc>
          <w:tcPr>
            <w:tcW w:type="dxa" w:w="2880"/>
            <w:vAlign w:val="top"/>
          </w:tcPr>
          <w:p>
            <w:pPr>
              <w:spacing w:after="60"/>
            </w:pPr>
            <w:r/>
            <w:r>
              <w:rPr>
                <w:b w:val="0"/>
              </w:rPr>
              <w:t>STABILITY_REPEATS tab1_v3_core</w:t>
            </w:r>
          </w:p>
        </w:tc>
        <w:tc>
          <w:tcPr>
            <w:tcW w:type="dxa" w:w="1728"/>
            <w:vAlign w:val="top"/>
          </w:tcPr>
          <w:p>
            <w:pPr>
              <w:spacing w:after="60"/>
            </w:pPr>
            <w:r/>
            <w:r>
              <w:rPr>
                <w:b w:val="0"/>
              </w:rPr>
              <w:t>10</w:t>
            </w:r>
          </w:p>
        </w:tc>
        <w:tc>
          <w:tcPr>
            <w:tcW w:type="dxa" w:w="5184"/>
            <w:vAlign w:val="top"/>
          </w:tcPr>
          <w:p>
            <w:pPr>
              <w:spacing w:after="60"/>
            </w:pPr>
            <w:r/>
            <w:r>
              <w:rPr>
                <w:b w:val="0"/>
              </w:rPr>
              <w:t>Cada criterio se evalúa diez veces; una valoración completa implica del orden de 760 llamadas al modelo. Es el flujo más caro de los tres.</w:t>
            </w:r>
          </w:p>
        </w:tc>
      </w:tr>
      <w:tr>
        <w:trPr>
          <w:cantSplit/>
        </w:trPr>
        <w:tc>
          <w:tcPr>
            <w:tcW w:type="dxa" w:w="2880"/>
            <w:vAlign w:val="top"/>
          </w:tcPr>
          <w:p>
            <w:pPr>
              <w:spacing w:after="60"/>
            </w:pPr>
            <w:r/>
            <w:r>
              <w:rPr>
                <w:b w:val="0"/>
              </w:rPr>
              <w:t>STABILITY_REPEATS tab2 y sostenibilidad</w:t>
            </w:r>
          </w:p>
        </w:tc>
        <w:tc>
          <w:tcPr>
            <w:tcW w:type="dxa" w:w="1728"/>
            <w:vAlign w:val="top"/>
          </w:tcPr>
          <w:p>
            <w:pPr>
              <w:spacing w:after="60"/>
            </w:pPr>
            <w:r/>
            <w:r>
              <w:rPr>
                <w:b w:val="0"/>
              </w:rPr>
              <w:t>5</w:t>
            </w:r>
          </w:p>
        </w:tc>
        <w:tc>
          <w:tcPr>
            <w:tcW w:type="dxa" w:w="5184"/>
            <w:vAlign w:val="top"/>
          </w:tcPr>
          <w:p>
            <w:pPr>
              <w:spacing w:after="60"/>
            </w:pPr>
            <w:r/>
            <w:r>
              <w:rPr>
                <w:b w:val="0"/>
              </w:rPr>
              <w:t>Cada criterio se evalúa cinco veces; multiplica por cinco el costo y la duración de esas dos evaluaciones.</w:t>
            </w:r>
          </w:p>
        </w:tc>
      </w:tr>
      <w:tr>
        <w:trPr>
          <w:cantSplit/>
        </w:trPr>
        <w:tc>
          <w:tcPr>
            <w:tcW w:type="dxa" w:w="2880"/>
            <w:vAlign w:val="top"/>
          </w:tcPr>
          <w:p>
            <w:pPr>
              <w:spacing w:after="60"/>
            </w:pPr>
            <w:r/>
            <w:r>
              <w:rPr>
                <w:b w:val="0"/>
              </w:rPr>
              <w:t>STABILITY_THRESHOLD_PCT tab1_v3_core</w:t>
            </w:r>
          </w:p>
        </w:tc>
        <w:tc>
          <w:tcPr>
            <w:tcW w:type="dxa" w:w="1728"/>
            <w:vAlign w:val="top"/>
          </w:tcPr>
          <w:p>
            <w:pPr>
              <w:spacing w:after="60"/>
            </w:pPr>
            <w:r/>
            <w:r>
              <w:rPr>
                <w:b w:val="0"/>
              </w:rPr>
              <w:t>80.0</w:t>
            </w:r>
          </w:p>
        </w:tc>
        <w:tc>
          <w:tcPr>
            <w:tcW w:type="dxa" w:w="5184"/>
            <w:vAlign w:val="top"/>
          </w:tcPr>
          <w:p>
            <w:pPr>
              <w:spacing w:after="60"/>
            </w:pPr>
            <w:r/>
            <w:r>
              <w:rPr>
                <w:b w:val="0"/>
              </w:rPr>
              <w:t>Por debajo de ese porcentaje de coincidencia entre corridas, el criterio se marca como inestable y merece revisión humana.</w:t>
            </w:r>
          </w:p>
        </w:tc>
      </w:tr>
      <w:tr>
        <w:trPr>
          <w:cantSplit/>
        </w:trPr>
        <w:tc>
          <w:tcPr>
            <w:tcW w:type="dxa" w:w="2880"/>
            <w:vAlign w:val="top"/>
          </w:tcPr>
          <w:p>
            <w:pPr>
              <w:spacing w:after="60"/>
            </w:pPr>
            <w:r/>
            <w:r>
              <w:rPr>
                <w:b w:val="0"/>
              </w:rPr>
              <w:t>Modelo de los tres motores</w:t>
            </w:r>
          </w:p>
        </w:tc>
        <w:tc>
          <w:tcPr>
            <w:tcW w:type="dxa" w:w="1728"/>
            <w:vAlign w:val="top"/>
          </w:tcPr>
          <w:p>
            <w:pPr>
              <w:spacing w:after="60"/>
            </w:pPr>
            <w:r/>
            <w:r>
              <w:rPr>
                <w:b w:val="0"/>
              </w:rPr>
              <w:t>gpt-5-mini</w:t>
            </w:r>
          </w:p>
        </w:tc>
        <w:tc>
          <w:tcPr>
            <w:tcW w:type="dxa" w:w="5184"/>
            <w:vAlign w:val="top"/>
          </w:tcPr>
          <w:p>
            <w:pPr>
              <w:spacing w:after="60"/>
            </w:pPr>
            <w:r/>
            <w:r>
              <w:rPr>
                <w:b w:val="0"/>
              </w:rPr>
              <w:t>Costo por evaluación dominado por este modelo y por el número de repeticiones; tab1_v3 varía el esfuerzo de razonamiento según la subjetividad del criterio.</w:t>
            </w:r>
          </w:p>
        </w:tc>
      </w:tr>
      <w:tr>
        <w:trPr>
          <w:cantSplit/>
        </w:trPr>
        <w:tc>
          <w:tcPr>
            <w:tcW w:type="dxa" w:w="2880"/>
            <w:vAlign w:val="top"/>
          </w:tcPr>
          <w:p>
            <w:pPr>
              <w:spacing w:after="60"/>
            </w:pPr>
            <w:r/>
            <w:r>
              <w:rPr>
                <w:b w:val="0"/>
              </w:rPr>
              <w:t>Plan de Render</w:t>
            </w:r>
          </w:p>
        </w:tc>
        <w:tc>
          <w:tcPr>
            <w:tcW w:type="dxa" w:w="1728"/>
            <w:vAlign w:val="top"/>
          </w:tcPr>
          <w:p>
            <w:pPr>
              <w:spacing w:after="60"/>
            </w:pPr>
            <w:r/>
            <w:r>
              <w:rPr>
                <w:b w:val="0"/>
              </w:rPr>
              <w:t>free</w:t>
            </w:r>
          </w:p>
        </w:tc>
        <w:tc>
          <w:tcPr>
            <w:tcW w:type="dxa" w:w="5184"/>
            <w:vAlign w:val="top"/>
          </w:tcPr>
          <w:p>
            <w:pPr>
              <w:spacing w:after="60"/>
            </w:pPr>
            <w:r/>
            <w:r>
              <w:rPr>
                <w:b w:val="0"/>
              </w:rPr>
              <w:t>El servicio se suspende por inactividad; la primera petición tras la suspensión sufre latencia de arranque en frío.</w:t>
            </w:r>
          </w:p>
        </w:tc>
      </w:tr>
    </w:tbl>
    <w:p/>
    <w:p>
      <w:pPr>
        <w:pStyle w:val="Heading2"/>
      </w:pPr>
      <w:r>
        <w:t>8.5 Lista de verificación del backend antes de producción</w:t>
      </w:r>
    </w:p>
    <w:p>
      <w:pPr>
        <w:pStyle w:val="ListBullet"/>
      </w:pPr>
      <w:r>
        <w:t>Confirmar que OPENAI_API_KEY e ILO_GPT_ACTION_API_KEY están cargadas en Render y que la cuenta OpenAI tiene presupuesto.</w:t>
      </w:r>
    </w:p>
    <w:p>
      <w:pPr>
        <w:pStyle w:val="ListBullet"/>
      </w:pPr>
      <w:r>
        <w:t>Confirmar que GET /health responde correctamente.</w:t>
      </w:r>
    </w:p>
    <w:p>
      <w:pPr>
        <w:pStyle w:val="ListBullet"/>
      </w:pPr>
      <w:r>
        <w:t>Confirmar que los tres archivos de rúbrica están presentes en la imagen desplegada.</w:t>
      </w:r>
    </w:p>
    <w:p>
      <w:pPr>
        <w:pStyle w:val="ListBullet"/>
      </w:pPr>
      <w:r>
        <w:t>Lanzar una evaluación corta por cada uno de los tres GPTs con un documento no sensible.</w:t>
      </w:r>
    </w:p>
    <w:p>
      <w:pPr>
        <w:pStyle w:val="ListBullet"/>
      </w:pPr>
      <w:r>
        <w:t>Verificar que la Action de cada GPT tiene cargada la clave correcta y apunta al servidor correcto.</w:t>
      </w:r>
    </w:p>
    <w:p>
      <w:pPr>
        <w:pStyle w:val="ListBullet"/>
      </w:pPr>
      <w:r>
        <w:t>Confirmar que /privacy responde: ChatGPT lo exige para mantener publicado un GPT con Action.</w:t>
      </w:r>
    </w:p>
    <w:p>
      <w:pPr>
        <w:pStyle w:val="ListBullet"/>
      </w:pPr>
      <w:r>
        <w:t>Documentar internamente quién distribuye los enlaces de los GPTs y quién puede rotar la clave de API.</w:t>
      </w:r>
    </w:p>
    <w:p>
      <w:pPr>
        <w:pStyle w:val="Heading2"/>
      </w:pPr>
      <w:r>
        <w:t>8.6 Respuesta a incidentes en la capa GPT</w:t>
      </w:r>
    </w:p>
    <w:p>
      <w:pPr>
        <w:ind w:left="360" w:hanging="360"/>
      </w:pPr>
      <w:r>
        <w:t>1. Si se sospecha uso indebido, rotar ILO_GPT_ACTION_API_KEY en Render: eso invalida de inmediato las tres Actions hasta que se actualicen.</w:t>
      </w:r>
    </w:p>
    <w:p>
      <w:pPr>
        <w:ind w:left="360" w:hanging="360"/>
      </w:pPr>
      <w:r>
        <w:t>2. Si se sospecha exposición de la clave de OpenAI, rotarla en el panel de OpenAI y actualizarla en Render.</w:t>
      </w:r>
    </w:p>
    <w:p>
      <w:pPr>
        <w:ind w:left="360" w:hanging="360"/>
      </w:pPr>
      <w:r>
        <w:t>3. Si el problema es de disponibilidad, revisar el estado del servicio en Render y los logs del contenedor.</w:t>
      </w:r>
    </w:p>
    <w:p>
      <w:pPr>
        <w:ind w:left="360" w:hanging="360"/>
      </w:pPr>
      <w:r>
        <w:t>4. Si un enlace de GPT se difundió fuera del círculo previsto, republicar el GPT para generar un enlace nuevo y redistribuirlo.</w:t>
      </w:r>
    </w:p>
    <w:p>
      <w:pPr>
        <w:ind w:left="360" w:hanging="360"/>
      </w:pPr>
      <w:r>
        <w:t>5. Restaurar el servicio redesplegando desde la rama main y verificar con una evaluación de prueba por asistente.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F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2C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2F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