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F6C"/>
          <w:sz w:val="40"/>
        </w:rPr>
        <w:t>INFORMACIÓN ADICIONAL DE CIERRE</w:t>
      </w:r>
    </w:p>
    <w:p>
      <w:pPr>
        <w:jc w:val="center"/>
      </w:pPr>
      <w:r>
        <w:rPr>
          <w:b/>
          <w:color w:val="002F6C"/>
          <w:sz w:val="24"/>
        </w:rPr>
        <w:t>Caja de Herramientas para el Mejor Desempeño de los Proyectos</w:t>
      </w:r>
    </w:p>
    <w:p>
      <w:pPr>
        <w:jc w:val="center"/>
      </w:pPr>
      <w:r>
        <w:t>Contacto, mantenimiento y recomendaciones futuras</w:t>
        <w:br/>
        <w:t>Fuente técnica: oli_v6_deploy.py + gpt_action_api.py</w:t>
        <w:br/>
        <w:t>Actualizado: 15 de julio de 2026</w:t>
      </w:r>
    </w:p>
    <w:p/>
    <w:p>
      <w:pPr>
        <w:pStyle w:val="Heading1"/>
      </w:pPr>
      <w:r>
        <w:t>1. Transferencia operativa</w:t>
      </w:r>
    </w:p>
    <w:p>
      <w:r>
        <w:t>La operación diaria debe quedar en manos del equipo ILO. El desarrollador original queda como soporte de último recurso para dudas técnicas que no puedan resolverse con esta documentación, revisión del código y pruebas locales.</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3024"/>
            <w:vAlign w:val="top"/>
            <w:shd w:fill="002F6C"/>
          </w:tcPr>
          <w:p>
            <w:pPr>
              <w:spacing w:after="60"/>
            </w:pPr>
            <w:r/>
            <w:r>
              <w:rPr>
                <w:b/>
                <w:color w:val="FFFFFF"/>
              </w:rPr>
              <w:t>Rol</w:t>
            </w:r>
          </w:p>
        </w:tc>
        <w:tc>
          <w:tcPr>
            <w:tcW w:type="dxa" w:w="6768"/>
            <w:vAlign w:val="top"/>
            <w:shd w:fill="002F6C"/>
          </w:tcPr>
          <w:p>
            <w:pPr>
              <w:spacing w:after="60"/>
            </w:pPr>
            <w:r/>
            <w:r>
              <w:rPr>
                <w:b/>
                <w:color w:val="FFFFFF"/>
              </w:rPr>
              <w:t>Responsabilidad</w:t>
            </w:r>
          </w:p>
        </w:tc>
      </w:tr>
      <w:tr>
        <w:trPr>
          <w:cantSplit/>
        </w:trPr>
        <w:tc>
          <w:tcPr>
            <w:tcW w:type="dxa" w:w="3024"/>
            <w:vAlign w:val="top"/>
          </w:tcPr>
          <w:p>
            <w:pPr>
              <w:spacing w:after="60"/>
            </w:pPr>
            <w:r/>
            <w:r>
              <w:rPr>
                <w:b w:val="0"/>
              </w:rPr>
              <w:t>Equipo ILO propietario</w:t>
            </w:r>
          </w:p>
        </w:tc>
        <w:tc>
          <w:tcPr>
            <w:tcW w:type="dxa" w:w="6768"/>
            <w:vAlign w:val="top"/>
          </w:tcPr>
          <w:p>
            <w:pPr>
              <w:spacing w:after="60"/>
            </w:pPr>
            <w:r/>
            <w:r>
              <w:rPr>
                <w:b w:val="0"/>
              </w:rPr>
              <w:t>Administrar acceso, datos, ejecución, resultados y decisiones metodológicas.</w:t>
            </w:r>
          </w:p>
        </w:tc>
      </w:tr>
      <w:tr>
        <w:trPr>
          <w:cantSplit/>
        </w:trPr>
        <w:tc>
          <w:tcPr>
            <w:tcW w:type="dxa" w:w="3024"/>
            <w:vAlign w:val="top"/>
          </w:tcPr>
          <w:p>
            <w:pPr>
              <w:spacing w:after="60"/>
            </w:pPr>
            <w:r/>
            <w:r>
              <w:rPr>
                <w:b w:val="0"/>
              </w:rPr>
              <w:t>Administrador técnico ILO</w:t>
            </w:r>
          </w:p>
        </w:tc>
        <w:tc>
          <w:tcPr>
            <w:tcW w:type="dxa" w:w="6768"/>
            <w:vAlign w:val="top"/>
          </w:tcPr>
          <w:p>
            <w:pPr>
              <w:spacing w:after="60"/>
            </w:pPr>
            <w:r/>
            <w:r>
              <w:rPr>
                <w:b w:val="0"/>
              </w:rPr>
              <w:t>Gestionar despliegue, variables de entorno, archivos de datos y respaldos.</w:t>
            </w:r>
          </w:p>
        </w:tc>
      </w:tr>
      <w:tr>
        <w:trPr>
          <w:cantSplit/>
        </w:trPr>
        <w:tc>
          <w:tcPr>
            <w:tcW w:type="dxa" w:w="3024"/>
            <w:vAlign w:val="top"/>
          </w:tcPr>
          <w:p>
            <w:pPr>
              <w:spacing w:after="60"/>
            </w:pPr>
            <w:r/>
            <w:r>
              <w:rPr>
                <w:b w:val="0"/>
              </w:rPr>
              <w:t>Usuarios analistas</w:t>
            </w:r>
          </w:p>
        </w:tc>
        <w:tc>
          <w:tcPr>
            <w:tcW w:type="dxa" w:w="6768"/>
            <w:vAlign w:val="top"/>
          </w:tcPr>
          <w:p>
            <w:pPr>
              <w:spacing w:after="60"/>
            </w:pPr>
            <w:r/>
            <w:r>
              <w:rPr>
                <w:b w:val="0"/>
              </w:rPr>
              <w:t>Ejecutar flujos, revisar evidencia, descargar resultados y aplicar juicio técnico.</w:t>
            </w:r>
          </w:p>
        </w:tc>
      </w:tr>
      <w:tr>
        <w:trPr>
          <w:cantSplit/>
        </w:trPr>
        <w:tc>
          <w:tcPr>
            <w:tcW w:type="dxa" w:w="3024"/>
            <w:vAlign w:val="top"/>
          </w:tcPr>
          <w:p>
            <w:pPr>
              <w:spacing w:after="60"/>
            </w:pPr>
            <w:r/>
            <w:r>
              <w:rPr>
                <w:b w:val="0"/>
              </w:rPr>
              <w:t>Desarrollador original</w:t>
            </w:r>
          </w:p>
        </w:tc>
        <w:tc>
          <w:tcPr>
            <w:tcW w:type="dxa" w:w="6768"/>
            <w:vAlign w:val="top"/>
          </w:tcPr>
          <w:p>
            <w:pPr>
              <w:spacing w:after="60"/>
            </w:pPr>
            <w:r/>
            <w:r>
              <w:rPr>
                <w:b w:val="0"/>
              </w:rPr>
              <w:t>Soporte excepcional para arquitectura, debugging complejo o cambios que excedan mantenimiento ordinario.</w:t>
            </w:r>
          </w:p>
        </w:tc>
      </w:tr>
    </w:tbl>
    <w:p/>
    <w:p>
      <w:pPr>
        <w:pStyle w:val="Heading1"/>
      </w:pPr>
      <w:r>
        <w:t>2. Contacto de último recurso</w:t>
      </w:r>
    </w:p>
    <w:p>
      <w:pPr>
        <w:pStyle w:val="ListBullet"/>
      </w:pPr>
      <w:r>
        <w:t>Canal heredado de la documentación previa: ageidv@gmail.com.</w:t>
      </w:r>
    </w:p>
    <w:p>
      <w:pPr>
        <w:pStyle w:val="ListBullet"/>
      </w:pPr>
      <w:r>
        <w:t>Uso recomendado: solo después de reproducir el problema localmente, revisar logs/mensajes de la app y aislar la pestaña o función afectada.</w:t>
      </w:r>
    </w:p>
    <w:p>
      <w:pPr>
        <w:pStyle w:val="ListBullet"/>
      </w:pPr>
      <w:r>
        <w:t>Incluir al contactar: fecha, pestaña, archivo de entrada no sensible o muestra, pasos para reproducir, mensaje de error y captura de pantalla si la política interna lo permite.</w:t>
      </w:r>
    </w:p>
    <w:p>
      <w:pPr>
        <w:pStyle w:val="Heading1"/>
      </w:pPr>
      <w:r>
        <w:t>3. Rutina de mantenimiento</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3168"/>
            <w:vAlign w:val="top"/>
            <w:shd w:fill="002F6C"/>
          </w:tcPr>
          <w:p>
            <w:pPr>
              <w:spacing w:after="60"/>
            </w:pPr>
            <w:r/>
            <w:r>
              <w:rPr>
                <w:b/>
                <w:color w:val="FFFFFF"/>
              </w:rPr>
              <w:t>Frecuencia</w:t>
            </w:r>
          </w:p>
        </w:tc>
        <w:tc>
          <w:tcPr>
            <w:tcW w:type="dxa" w:w="6624"/>
            <w:vAlign w:val="top"/>
            <w:shd w:fill="002F6C"/>
          </w:tcPr>
          <w:p>
            <w:pPr>
              <w:spacing w:after="60"/>
            </w:pPr>
            <w:r/>
            <w:r>
              <w:rPr>
                <w:b/>
                <w:color w:val="FFFFFF"/>
              </w:rPr>
              <w:t>Actividad</w:t>
            </w:r>
          </w:p>
        </w:tc>
      </w:tr>
      <w:tr>
        <w:trPr>
          <w:cantSplit/>
        </w:trPr>
        <w:tc>
          <w:tcPr>
            <w:tcW w:type="dxa" w:w="3168"/>
            <w:vAlign w:val="top"/>
          </w:tcPr>
          <w:p>
            <w:pPr>
              <w:spacing w:after="60"/>
            </w:pPr>
            <w:r/>
            <w:r>
              <w:rPr>
                <w:b w:val="0"/>
              </w:rPr>
              <w:t>Semanal durante operación activa</w:t>
            </w:r>
          </w:p>
        </w:tc>
        <w:tc>
          <w:tcPr>
            <w:tcW w:type="dxa" w:w="6624"/>
            <w:vAlign w:val="top"/>
          </w:tcPr>
          <w:p>
            <w:pPr>
              <w:spacing w:after="60"/>
            </w:pPr>
            <w:r/>
            <w:r>
              <w:rPr>
                <w:b w:val="0"/>
              </w:rPr>
              <w:t>Confirmar que la app abre, OPENAI_API_KEY funciona y un documento de prueba procesa en Tab 4.</w:t>
            </w:r>
          </w:p>
        </w:tc>
      </w:tr>
      <w:tr>
        <w:trPr>
          <w:cantSplit/>
        </w:trPr>
        <w:tc>
          <w:tcPr>
            <w:tcW w:type="dxa" w:w="3168"/>
            <w:vAlign w:val="top"/>
          </w:tcPr>
          <w:p>
            <w:pPr>
              <w:spacing w:after="60"/>
            </w:pPr>
            <w:r/>
            <w:r>
              <w:rPr>
                <w:b w:val="0"/>
              </w:rPr>
              <w:t>Mensual</w:t>
            </w:r>
          </w:p>
        </w:tc>
        <w:tc>
          <w:tcPr>
            <w:tcW w:type="dxa" w:w="6624"/>
            <w:vAlign w:val="top"/>
          </w:tcPr>
          <w:p>
            <w:pPr>
              <w:spacing w:after="60"/>
            </w:pPr>
            <w:r/>
            <w:r>
              <w:rPr>
                <w:b w:val="0"/>
              </w:rPr>
              <w:t>Probar una muestra en Tabs 1, 2, 3, 5 y 6; verificar que descargas abren.</w:t>
            </w:r>
          </w:p>
        </w:tc>
      </w:tr>
      <w:tr>
        <w:trPr>
          <w:cantSplit/>
        </w:trPr>
        <w:tc>
          <w:tcPr>
            <w:tcW w:type="dxa" w:w="3168"/>
            <w:vAlign w:val="top"/>
          </w:tcPr>
          <w:p>
            <w:pPr>
              <w:spacing w:after="60"/>
            </w:pPr>
            <w:r/>
            <w:r>
              <w:rPr>
                <w:b w:val="0"/>
              </w:rPr>
              <w:t>Antes de cada actualización de datos</w:t>
            </w:r>
          </w:p>
        </w:tc>
        <w:tc>
          <w:tcPr>
            <w:tcW w:type="dxa" w:w="6624"/>
            <w:vAlign w:val="top"/>
          </w:tcPr>
          <w:p>
            <w:pPr>
              <w:spacing w:after="60"/>
            </w:pPr>
            <w:r/>
            <w:r>
              <w:rPr>
                <w:b w:val="0"/>
              </w:rPr>
              <w:t>Respaldar Excel, CSV, .pt y cachés relevantes.</w:t>
            </w:r>
          </w:p>
        </w:tc>
      </w:tr>
      <w:tr>
        <w:trPr>
          <w:cantSplit/>
        </w:trPr>
        <w:tc>
          <w:tcPr>
            <w:tcW w:type="dxa" w:w="3168"/>
            <w:vAlign w:val="top"/>
          </w:tcPr>
          <w:p>
            <w:pPr>
              <w:spacing w:after="60"/>
            </w:pPr>
            <w:r/>
            <w:r>
              <w:rPr>
                <w:b w:val="0"/>
              </w:rPr>
              <w:t>Después de cada actualización de código</w:t>
            </w:r>
          </w:p>
        </w:tc>
        <w:tc>
          <w:tcPr>
            <w:tcW w:type="dxa" w:w="6624"/>
            <w:vAlign w:val="top"/>
          </w:tcPr>
          <w:p>
            <w:pPr>
              <w:spacing w:after="60"/>
            </w:pPr>
            <w:r/>
            <w:r>
              <w:rPr>
                <w:b w:val="0"/>
              </w:rPr>
              <w:t>Ejecutar pruebas manuales por pestaña y test_two_part_parsing.py si cambió lógica de preguntas.</w:t>
            </w:r>
          </w:p>
        </w:tc>
      </w:tr>
      <w:tr>
        <w:trPr>
          <w:cantSplit/>
        </w:trPr>
        <w:tc>
          <w:tcPr>
            <w:tcW w:type="dxa" w:w="3168"/>
            <w:vAlign w:val="top"/>
          </w:tcPr>
          <w:p>
            <w:pPr>
              <w:spacing w:after="60"/>
            </w:pPr>
            <w:r/>
            <w:r>
              <w:rPr>
                <w:b w:val="0"/>
              </w:rPr>
              <w:t>Cada 6-12 meses</w:t>
            </w:r>
          </w:p>
        </w:tc>
        <w:tc>
          <w:tcPr>
            <w:tcW w:type="dxa" w:w="6624"/>
            <w:vAlign w:val="top"/>
          </w:tcPr>
          <w:p>
            <w:pPr>
              <w:spacing w:after="60"/>
            </w:pPr>
            <w:r/>
            <w:r>
              <w:rPr>
                <w:b w:val="0"/>
              </w:rPr>
              <w:t>Revisar modelos OpenAI, costos, límites, dependencias y compatibilidad de Streamlit.</w:t>
            </w:r>
          </w:p>
        </w:tc>
      </w:tr>
    </w:tbl>
    <w:p/>
    <w:p>
      <w:pPr>
        <w:pStyle w:val="Heading1"/>
      </w:pPr>
      <w:r>
        <w:t>4. Recomendaciones para futuras actualizaciones</w:t>
      </w:r>
    </w:p>
    <w:p>
      <w:pPr>
        <w:pStyle w:val="ListBullet"/>
      </w:pPr>
      <w:r>
        <w:t>Separar gradualmente el monolito en módulos: carga de datos, extracción documental, clientes IA, evaluación y UI.</w:t>
      </w:r>
    </w:p>
    <w:p>
      <w:pPr>
        <w:pStyle w:val="ListBullet"/>
      </w:pPr>
      <w:r>
        <w:t>Eliminar bloques comentados obsoletos después de confirmar que no son necesarios.</w:t>
      </w:r>
    </w:p>
    <w:p>
      <w:pPr>
        <w:pStyle w:val="ListBullet"/>
      </w:pPr>
      <w:r>
        <w:t>Consolidar la doble inicialización de load_extended_data y load_embeddings.</w:t>
      </w:r>
    </w:p>
    <w:p>
      <w:pPr>
        <w:pStyle w:val="ListBullet"/>
      </w:pPr>
      <w:r>
        <w:t>Revisar si load_embeddings debe seguir ejecutándose en arranque si la búsqueda visible de recomendaciones permanece comentada.</w:t>
      </w:r>
    </w:p>
    <w:p>
      <w:pPr>
        <w:pStyle w:val="ListBullet"/>
      </w:pPr>
      <w:r>
        <w:t>Corregir Tab 4 si ILO necesita citas por sección/página: debe usar extractor jerárquico, no solo python-docx paragraphs.</w:t>
      </w:r>
    </w:p>
    <w:p>
      <w:pPr>
        <w:pStyle w:val="ListBullet"/>
      </w:pPr>
      <w:r>
        <w:t>Conectar el selector de modelo de análisis profundo a run_row_analysis o retirarlo de la UI.</w:t>
      </w:r>
    </w:p>
    <w:p>
      <w:pPr>
        <w:pStyle w:val="ListBullet"/>
      </w:pPr>
      <w:r>
        <w:t>Agregar pruebas unitarias para parse_two_part_question, _apply_critic_gate_and_render, clasificación y exportación XLSX.</w:t>
      </w:r>
    </w:p>
    <w:p>
      <w:pPr>
        <w:pStyle w:val="ListBullet"/>
      </w:pPr>
      <w:r>
        <w:t>Agregar pruebas unitarias para detect_transversal_matter y _apply_transversal_gate_and_render si la regla A/B se vuelve crítica para reportes institucionales.</w:t>
      </w:r>
    </w:p>
    <w:p>
      <w:pPr>
        <w:pStyle w:val="ListBullet"/>
      </w:pPr>
      <w:r>
        <w:t>Crear un set pequeño de documentos de prueba no sensibles para validación reproducible.</w:t>
      </w:r>
    </w:p>
    <w:p>
      <w:pPr>
        <w:pStyle w:val="ListBullet"/>
      </w:pPr>
      <w:r>
        <w:t>Documentar cambios de esquema de cada Excel junto con fecha y responsable ILO.</w:t>
      </w:r>
    </w:p>
    <w:p>
      <w:pPr>
        <w:pStyle w:val="ListBullet"/>
      </w:pPr>
      <w:r>
        <w:t>Si se mantienen las variantes core y recommendations, sincronizar cambios desde oli_v6_deploy.py y probar cada variante por separado.</w:t>
      </w:r>
    </w:p>
    <w:p>
      <w:pPr>
        <w:pStyle w:val="Heading1"/>
      </w:pPr>
      <w:r>
        <w:t>5. Recomendaciones de IA y costos</w:t>
      </w:r>
    </w:p>
    <w:p>
      <w:pPr>
        <w:pStyle w:val="ListBullet"/>
      </w:pPr>
      <w:r>
        <w:t>Mantener gpt-5-mini como modelo principal mientras sus resultados sean consistentes con validación humana.</w:t>
      </w:r>
    </w:p>
    <w:p>
      <w:pPr>
        <w:pStyle w:val="ListBullet"/>
      </w:pPr>
      <w:r>
        <w:t>Usar LLM Verification en clasificación solo para subconjuntos donde la precisión adicional justifique costo y tiempo.</w:t>
      </w:r>
    </w:p>
    <w:p>
      <w:pPr>
        <w:pStyle w:val="ListBullet"/>
      </w:pPr>
      <w:r>
        <w:t>Usar filtros previos y límites de filas antes de análisis profundo de recomendaciones.</w:t>
      </w:r>
    </w:p>
    <w:p>
      <w:pPr>
        <w:pStyle w:val="ListBullet"/>
      </w:pPr>
      <w:r>
        <w:t>Conservar cachés embeddings_cache.pkl y analysis_cache.pkl cuando se procesan lotes recurrentes; eliminarlos solo si se sospecha corrupción o cambio sustantivo de datos.</w:t>
      </w:r>
    </w:p>
    <w:p>
      <w:pPr>
        <w:pStyle w:val="ListBullet"/>
      </w:pPr>
      <w:r>
        <w:t>Revisar si el índice FAISS de recomendaciones cargado por load_embeddings sigue siendo necesario en la app principal, porque la interfaz activa de búsqueda de recomendaciones está comentada y las pestañas de clasificación no lo usan aunque la carga se ejecuta en arranque.</w:t>
      </w:r>
    </w:p>
    <w:p>
      <w:pPr>
        <w:pStyle w:val="ListBullet"/>
      </w:pPr>
      <w:r>
        <w:t>Registrar internamente estimaciones de costo por flujo con generate_cost_report.py si se institucionaliza uso frecuente.</w:t>
      </w:r>
    </w:p>
    <w:p>
      <w:pPr>
        <w:pStyle w:val="Heading1"/>
      </w:pPr>
      <w:r>
        <w:t>6. Criterios de aceptación de cambios</w:t>
      </w:r>
    </w:p>
    <w:p>
      <w:pPr>
        <w:pStyle w:val="ListBullet"/>
      </w:pPr>
      <w:r>
        <w:t>La app inicia sin errores con streamlit run oli_v6_deploy.py.</w:t>
      </w:r>
    </w:p>
    <w:p>
      <w:pPr>
        <w:pStyle w:val="ListBullet"/>
      </w:pPr>
      <w:r>
        <w:t>Tab 1 procesa un DOCX de prueba, genera tabla y descarga ZIP.</w:t>
      </w:r>
    </w:p>
    <w:p>
      <w:pPr>
        <w:pStyle w:val="ListBullet"/>
      </w:pPr>
      <w:r>
        <w:t>Tab 1 reconoce al menos un tema transversal y muestra la línea de auditoría de criterios transversales A/B en el razonamiento.</w:t>
      </w:r>
    </w:p>
    <w:p>
      <w:pPr>
        <w:pStyle w:val="ListBullet"/>
      </w:pPr>
      <w:r>
        <w:t>Tab 2 evalúa al menos un criterio seleccionado y descarga ZIP.</w:t>
      </w:r>
    </w:p>
    <w:p>
      <w:pPr>
        <w:pStyle w:val="ListBullet"/>
      </w:pPr>
      <w:r>
        <w:t>Tab 3 genera resultados y gráficos para una muestra.</w:t>
      </w:r>
    </w:p>
    <w:p>
      <w:pPr>
        <w:pStyle w:val="ListBullet"/>
      </w:pPr>
      <w:r>
        <w:t>Tab 4 responde sobre un TXT pequeño y un DOCX grande.</w:t>
      </w:r>
    </w:p>
    <w:p>
      <w:pPr>
        <w:pStyle w:val="ListBullet"/>
      </w:pPr>
      <w:r>
        <w:t>Tab 4 se prueba reemplazando un archivo por otro con el mismo nombre para confirmar el procedimiento operativo de reinicio o renombrado.</w:t>
      </w:r>
    </w:p>
    <w:p>
      <w:pPr>
        <w:pStyle w:val="ListBullet"/>
      </w:pPr>
      <w:r>
        <w:t>Tabs 5 y 6 clasifican una muestra limitada y muestran treemaps.</w:t>
      </w:r>
    </w:p>
    <w:p>
      <w:pPr>
        <w:pStyle w:val="ListBullet"/>
      </w:pPr>
      <w:r>
        <w:t>No aparecen campos por completar, credenciales reales ni rutas personales innecesarias en documentación de entrega.</w:t>
      </w:r>
    </w:p>
    <w:p>
      <w:pPr>
        <w:pStyle w:val="Heading1"/>
      </w:pPr>
      <w:r>
        <w:t>7. Paquete mínimo de handoff</w:t>
      </w:r>
    </w:p>
    <w:p>
      <w:pPr>
        <w:pStyle w:val="ListBullet"/>
      </w:pPr>
      <w:r>
        <w:t>Código principal: oli_v6_deploy.py.</w:t>
      </w:r>
    </w:p>
    <w:p>
      <w:pPr>
        <w:pStyle w:val="ListBullet"/>
      </w:pPr>
      <w:r>
        <w:t>Dependencias: requirements.txt.</w:t>
      </w:r>
    </w:p>
    <w:p>
      <w:pPr>
        <w:pStyle w:val="ListBullet"/>
      </w:pPr>
      <w:r>
        <w:t>Documentación actualizada: los seis archivos DOCX en documentation.</w:t>
      </w:r>
    </w:p>
    <w:p>
      <w:pPr>
        <w:pStyle w:val="ListBullet"/>
      </w:pPr>
      <w:r>
        <w:t>Datos y rúbricas activos listados en la documentación de base de datos.</w:t>
      </w:r>
    </w:p>
    <w:p>
      <w:pPr>
        <w:pStyle w:val="ListBullet"/>
      </w:pPr>
      <w:r>
        <w:t>Instrucciones internas de despliegue del hosting elegido por ILO.</w:t>
      </w:r>
    </w:p>
    <w:p>
      <w:pPr>
        <w:pStyle w:val="ListBullet"/>
      </w:pPr>
      <w:r>
        <w:t>Registro ILO de responsables de acceso, datos y despliegue.</w:t>
      </w:r>
    </w:p>
    <w:p>
      <w:pPr>
        <w:pStyle w:val="Heading1"/>
      </w:pPr>
      <w:r>
        <w:t>8. Transferencia y mantenimiento de los asistentes GPT</w:t>
      </w:r>
    </w:p>
    <w:p>
      <w:r>
        <w:t>Los tres asistentes GPT publicados en ChatGPT y su backend FastAPI forman un entregable separado de la app Streamlit, con su propio ciclo de mantenimiento, sus propias credenciales y su propio modo de fallo.</w:t>
      </w:r>
    </w:p>
    <w:p>
      <w:pPr>
        <w:pStyle w:val="Heading2"/>
      </w:pPr>
      <w:r>
        <w:t>8.1 Activos a transferir</w:t>
      </w:r>
    </w:p>
    <w:tbl>
      <w:tblPr>
        <w:tblStyle w:val="TableGrid"/>
        <w:tblW w:type="auto" w:w="0"/>
        <w:jc w:val="center"/>
        <w:tblLook w:firstColumn="1" w:firstRow="1" w:lastColumn="0" w:lastRow="0" w:noHBand="0" w:noVBand="1" w:val="04A0"/>
      </w:tblPr>
      <w:tblGrid>
        <w:gridCol w:w="3360"/>
        <w:gridCol w:w="3360"/>
        <w:gridCol w:w="3360"/>
      </w:tblGrid>
      <w:tr>
        <w:trPr>
          <w:cantSplit/>
          <w:tblHeader w:val="true"/>
        </w:trPr>
        <w:tc>
          <w:tcPr>
            <w:tcW w:type="dxa" w:w="2592"/>
            <w:vAlign w:val="top"/>
            <w:shd w:fill="002F6C"/>
          </w:tcPr>
          <w:p>
            <w:pPr>
              <w:spacing w:after="60"/>
            </w:pPr>
            <w:r/>
            <w:r>
              <w:rPr>
                <w:b/>
                <w:color w:val="FFFFFF"/>
              </w:rPr>
              <w:t>Activo</w:t>
            </w:r>
          </w:p>
        </w:tc>
        <w:tc>
          <w:tcPr>
            <w:tcW w:type="dxa" w:w="3168"/>
            <w:vAlign w:val="top"/>
            <w:shd w:fill="002F6C"/>
          </w:tcPr>
          <w:p>
            <w:pPr>
              <w:spacing w:after="60"/>
            </w:pPr>
            <w:r/>
            <w:r>
              <w:rPr>
                <w:b/>
                <w:color w:val="FFFFFF"/>
              </w:rPr>
              <w:t>Dónde vive</w:t>
            </w:r>
          </w:p>
        </w:tc>
        <w:tc>
          <w:tcPr>
            <w:tcW w:type="dxa" w:w="4032"/>
            <w:vAlign w:val="top"/>
            <w:shd w:fill="002F6C"/>
          </w:tcPr>
          <w:p>
            <w:pPr>
              <w:spacing w:after="60"/>
            </w:pPr>
            <w:r/>
            <w:r>
              <w:rPr>
                <w:b/>
                <w:color w:val="FFFFFF"/>
              </w:rPr>
              <w:t>Quién debe controlarlo</w:t>
            </w:r>
          </w:p>
        </w:tc>
      </w:tr>
      <w:tr>
        <w:trPr>
          <w:cantSplit/>
        </w:trPr>
        <w:tc>
          <w:tcPr>
            <w:tcW w:type="dxa" w:w="2592"/>
            <w:vAlign w:val="top"/>
          </w:tcPr>
          <w:p>
            <w:pPr>
              <w:spacing w:after="60"/>
            </w:pPr>
            <w:r/>
            <w:r>
              <w:rPr>
                <w:b w:val="0"/>
              </w:rPr>
              <w:t>Los tres GPTs publicados</w:t>
            </w:r>
          </w:p>
        </w:tc>
        <w:tc>
          <w:tcPr>
            <w:tcW w:type="dxa" w:w="3168"/>
            <w:vAlign w:val="top"/>
          </w:tcPr>
          <w:p>
            <w:pPr>
              <w:spacing w:after="60"/>
            </w:pPr>
            <w:r/>
            <w:r>
              <w:rPr>
                <w:b w:val="0"/>
              </w:rPr>
              <w:t>Cuenta de ChatGPT donde fueron creados</w:t>
            </w:r>
          </w:p>
        </w:tc>
        <w:tc>
          <w:tcPr>
            <w:tcW w:type="dxa" w:w="4032"/>
            <w:vAlign w:val="top"/>
          </w:tcPr>
          <w:p>
            <w:pPr>
              <w:spacing w:after="60"/>
            </w:pPr>
            <w:r/>
            <w:r>
              <w:rPr>
                <w:b w:val="0"/>
              </w:rPr>
              <w:t>Debe migrarse a una cuenta institucional de la OIT; mientras siga en una cuenta personal, la continuidad depende de esa cuenta.</w:t>
            </w:r>
          </w:p>
        </w:tc>
      </w:tr>
      <w:tr>
        <w:trPr>
          <w:cantSplit/>
        </w:trPr>
        <w:tc>
          <w:tcPr>
            <w:tcW w:type="dxa" w:w="2592"/>
            <w:vAlign w:val="top"/>
          </w:tcPr>
          <w:p>
            <w:pPr>
              <w:spacing w:after="60"/>
            </w:pPr>
            <w:r/>
            <w:r>
              <w:rPr>
                <w:b w:val="0"/>
              </w:rPr>
              <w:t>Servicio backend</w:t>
            </w:r>
          </w:p>
        </w:tc>
        <w:tc>
          <w:tcPr>
            <w:tcW w:type="dxa" w:w="3168"/>
            <w:vAlign w:val="top"/>
          </w:tcPr>
          <w:p>
            <w:pPr>
              <w:spacing w:after="60"/>
            </w:pPr>
            <w:r/>
            <w:r>
              <w:rPr>
                <w:b w:val="0"/>
              </w:rPr>
              <w:t>Render.com, servicio ilo-prodoc-appraisal-v3</w:t>
            </w:r>
          </w:p>
        </w:tc>
        <w:tc>
          <w:tcPr>
            <w:tcW w:type="dxa" w:w="4032"/>
            <w:vAlign w:val="top"/>
          </w:tcPr>
          <w:p>
            <w:pPr>
              <w:spacing w:after="60"/>
            </w:pPr>
            <w:r/>
            <w:r>
              <w:rPr>
                <w:b w:val="0"/>
              </w:rPr>
              <w:t>Administrador técnico OIT.</w:t>
            </w:r>
          </w:p>
        </w:tc>
      </w:tr>
      <w:tr>
        <w:trPr>
          <w:cantSplit/>
        </w:trPr>
        <w:tc>
          <w:tcPr>
            <w:tcW w:type="dxa" w:w="2592"/>
            <w:vAlign w:val="top"/>
          </w:tcPr>
          <w:p>
            <w:pPr>
              <w:spacing w:after="60"/>
            </w:pPr>
            <w:r/>
            <w:r>
              <w:rPr>
                <w:b w:val="0"/>
              </w:rPr>
              <w:t>OPENAI_API_KEY</w:t>
            </w:r>
          </w:p>
        </w:tc>
        <w:tc>
          <w:tcPr>
            <w:tcW w:type="dxa" w:w="3168"/>
            <w:vAlign w:val="top"/>
          </w:tcPr>
          <w:p>
            <w:pPr>
              <w:spacing w:after="60"/>
            </w:pPr>
            <w:r/>
            <w:r>
              <w:rPr>
                <w:b w:val="0"/>
              </w:rPr>
              <w:t>Variable de entorno en Render</w:t>
            </w:r>
          </w:p>
        </w:tc>
        <w:tc>
          <w:tcPr>
            <w:tcW w:type="dxa" w:w="4032"/>
            <w:vAlign w:val="top"/>
          </w:tcPr>
          <w:p>
            <w:pPr>
              <w:spacing w:after="60"/>
            </w:pPr>
            <w:r/>
            <w:r>
              <w:rPr>
                <w:b w:val="0"/>
              </w:rPr>
              <w:t>Administrador técnico OIT; determina a qué cuenta se factura el consumo.</w:t>
            </w:r>
          </w:p>
        </w:tc>
      </w:tr>
      <w:tr>
        <w:trPr>
          <w:cantSplit/>
        </w:trPr>
        <w:tc>
          <w:tcPr>
            <w:tcW w:type="dxa" w:w="2592"/>
            <w:vAlign w:val="top"/>
          </w:tcPr>
          <w:p>
            <w:pPr>
              <w:spacing w:after="60"/>
            </w:pPr>
            <w:r/>
            <w:r>
              <w:rPr>
                <w:b w:val="0"/>
              </w:rPr>
              <w:t>ILO_GPT_ACTION_API_KEY</w:t>
            </w:r>
          </w:p>
        </w:tc>
        <w:tc>
          <w:tcPr>
            <w:tcW w:type="dxa" w:w="3168"/>
            <w:vAlign w:val="top"/>
          </w:tcPr>
          <w:p>
            <w:pPr>
              <w:spacing w:after="60"/>
            </w:pPr>
            <w:r/>
            <w:r>
              <w:rPr>
                <w:b w:val="0"/>
              </w:rPr>
              <w:t>Variable de entorno en Render y en las tres Actions</w:t>
            </w:r>
          </w:p>
        </w:tc>
        <w:tc>
          <w:tcPr>
            <w:tcW w:type="dxa" w:w="4032"/>
            <w:vAlign w:val="top"/>
          </w:tcPr>
          <w:p>
            <w:pPr>
              <w:spacing w:after="60"/>
            </w:pPr>
            <w:r/>
            <w:r>
              <w:rPr>
                <w:b w:val="0"/>
              </w:rPr>
              <w:t>Administrador técnico OIT.</w:t>
            </w:r>
          </w:p>
        </w:tc>
      </w:tr>
      <w:tr>
        <w:trPr>
          <w:cantSplit/>
        </w:trPr>
        <w:tc>
          <w:tcPr>
            <w:tcW w:type="dxa" w:w="2592"/>
            <w:vAlign w:val="top"/>
          </w:tcPr>
          <w:p>
            <w:pPr>
              <w:spacing w:after="60"/>
            </w:pPr>
            <w:r/>
            <w:r>
              <w:rPr>
                <w:b w:val="0"/>
              </w:rPr>
              <w:t>Enlaces privados de los GPTs</w:t>
            </w:r>
          </w:p>
        </w:tc>
        <w:tc>
          <w:tcPr>
            <w:tcW w:type="dxa" w:w="3168"/>
            <w:vAlign w:val="top"/>
          </w:tcPr>
          <w:p>
            <w:pPr>
              <w:spacing w:after="60"/>
            </w:pPr>
            <w:r/>
            <w:r>
              <w:rPr>
                <w:b w:val="0"/>
              </w:rPr>
              <w:t>Distribución interna OIT</w:t>
            </w:r>
          </w:p>
        </w:tc>
        <w:tc>
          <w:tcPr>
            <w:tcW w:type="dxa" w:w="4032"/>
            <w:vAlign w:val="top"/>
          </w:tcPr>
          <w:p>
            <w:pPr>
              <w:spacing w:after="60"/>
            </w:pPr>
            <w:r/>
            <w:r>
              <w:rPr>
                <w:b w:val="0"/>
              </w:rPr>
              <w:t>Equipo propietario. Los tres están en "Anyone with a link": el enlace es una credencial al portador y la lista de distribución es el único control de acceso.</w:t>
            </w:r>
          </w:p>
        </w:tc>
      </w:tr>
      <w:tr>
        <w:trPr>
          <w:cantSplit/>
        </w:trPr>
        <w:tc>
          <w:tcPr>
            <w:tcW w:type="dxa" w:w="2592"/>
            <w:vAlign w:val="top"/>
          </w:tcPr>
          <w:p>
            <w:pPr>
              <w:spacing w:after="60"/>
            </w:pPr>
            <w:r/>
            <w:r>
              <w:rPr>
                <w:b w:val="0"/>
              </w:rPr>
              <w:t xml:space="preserve">  · Valoración de Calidad (Tab 1 v3)</w:t>
            </w:r>
          </w:p>
        </w:tc>
        <w:tc>
          <w:tcPr>
            <w:tcW w:type="dxa" w:w="3168"/>
            <w:vAlign w:val="top"/>
          </w:tcPr>
          <w:p>
            <w:pPr>
              <w:spacing w:after="60"/>
            </w:pPr>
            <w:r/>
            <w:r>
              <w:rPr>
                <w:b w:val="0"/>
              </w:rPr>
              <w:t>https://chatgpt.com/g/g-6a2643b11e708191adc1c03e64260a25-ilo-prodoc-quality-appraisal</w:t>
            </w:r>
          </w:p>
        </w:tc>
        <w:tc>
          <w:tcPr>
            <w:tcW w:type="dxa" w:w="4032"/>
            <w:vAlign w:val="top"/>
          </w:tcPr>
          <w:p>
            <w:pPr>
              <w:spacing w:after="60"/>
            </w:pPr>
            <w:r/>
            <w:r>
              <w:rPr>
                <w:b w:val="0"/>
              </w:rPr>
              <w:t>Enlace privado; requiere cuenta de ChatGPT.</w:t>
            </w:r>
          </w:p>
        </w:tc>
      </w:tr>
      <w:tr>
        <w:trPr>
          <w:cantSplit/>
        </w:trPr>
        <w:tc>
          <w:tcPr>
            <w:tcW w:type="dxa" w:w="2592"/>
            <w:vAlign w:val="top"/>
          </w:tcPr>
          <w:p>
            <w:pPr>
              <w:spacing w:after="60"/>
            </w:pPr>
            <w:r/>
            <w:r>
              <w:rPr>
                <w:b w:val="0"/>
              </w:rPr>
              <w:t xml:space="preserve">  · Atributos Específicos (Tab 2)</w:t>
            </w:r>
          </w:p>
        </w:tc>
        <w:tc>
          <w:tcPr>
            <w:tcW w:type="dxa" w:w="3168"/>
            <w:vAlign w:val="top"/>
          </w:tcPr>
          <w:p>
            <w:pPr>
              <w:spacing w:after="60"/>
            </w:pPr>
            <w:r/>
            <w:r>
              <w:rPr>
                <w:b w:val="0"/>
              </w:rPr>
              <w:t>https://chatgpt.com/g/g-6a43cc82d4d08191bf6e60357453e336-oit-diagnostico-de-atributos-especificos</w:t>
            </w:r>
          </w:p>
        </w:tc>
        <w:tc>
          <w:tcPr>
            <w:tcW w:type="dxa" w:w="4032"/>
            <w:vAlign w:val="top"/>
          </w:tcPr>
          <w:p>
            <w:pPr>
              <w:spacing w:after="60"/>
            </w:pPr>
            <w:r/>
            <w:r>
              <w:rPr>
                <w:b w:val="0"/>
              </w:rPr>
              <w:t>Enlace privado; requiere cuenta de ChatGPT.</w:t>
            </w:r>
          </w:p>
        </w:tc>
      </w:tr>
      <w:tr>
        <w:trPr>
          <w:cantSplit/>
        </w:trPr>
        <w:tc>
          <w:tcPr>
            <w:tcW w:type="dxa" w:w="2592"/>
            <w:vAlign w:val="top"/>
          </w:tcPr>
          <w:p>
            <w:pPr>
              <w:spacing w:after="60"/>
            </w:pPr>
            <w:r/>
            <w:r>
              <w:rPr>
                <w:b w:val="0"/>
              </w:rPr>
              <w:t xml:space="preserve">  · Sostenibilidad (Tab 3)</w:t>
            </w:r>
          </w:p>
        </w:tc>
        <w:tc>
          <w:tcPr>
            <w:tcW w:type="dxa" w:w="3168"/>
            <w:vAlign w:val="top"/>
          </w:tcPr>
          <w:p>
            <w:pPr>
              <w:spacing w:after="60"/>
            </w:pPr>
            <w:r/>
            <w:r>
              <w:rPr>
                <w:b w:val="0"/>
              </w:rPr>
              <w:t>https://chatgpt.com/g/g-6a43d24307b88191bb362632f133c0f3-oit-diagnostico-de-sostenibilidad-del-proyecto</w:t>
            </w:r>
          </w:p>
        </w:tc>
        <w:tc>
          <w:tcPr>
            <w:tcW w:type="dxa" w:w="4032"/>
            <w:vAlign w:val="top"/>
          </w:tcPr>
          <w:p>
            <w:pPr>
              <w:spacing w:after="60"/>
            </w:pPr>
            <w:r/>
            <w:r>
              <w:rPr>
                <w:b w:val="0"/>
              </w:rPr>
              <w:t>Enlace privado; requiere cuenta de ChatGPT.</w:t>
            </w:r>
          </w:p>
        </w:tc>
      </w:tr>
      <w:tr>
        <w:trPr>
          <w:cantSplit/>
        </w:trPr>
        <w:tc>
          <w:tcPr>
            <w:tcW w:type="dxa" w:w="2592"/>
            <w:vAlign w:val="top"/>
          </w:tcPr>
          <w:p>
            <w:pPr>
              <w:spacing w:after="60"/>
            </w:pPr>
            <w:r/>
            <w:r>
              <w:rPr>
                <w:b w:val="0"/>
              </w:rPr>
              <w:t xml:space="preserve">  · Backend compartido</w:t>
            </w:r>
          </w:p>
        </w:tc>
        <w:tc>
          <w:tcPr>
            <w:tcW w:type="dxa" w:w="3168"/>
            <w:vAlign w:val="top"/>
          </w:tcPr>
          <w:p>
            <w:pPr>
              <w:spacing w:after="60"/>
            </w:pPr>
            <w:r/>
            <w:r>
              <w:rPr>
                <w:b w:val="0"/>
              </w:rPr>
              <w:t>https://ilo-prodoc-appraisal-v3.onrender.com</w:t>
            </w:r>
          </w:p>
        </w:tc>
        <w:tc>
          <w:tcPr>
            <w:tcW w:type="dxa" w:w="4032"/>
            <w:vAlign w:val="top"/>
          </w:tcPr>
          <w:p>
            <w:pPr>
              <w:spacing w:after="60"/>
            </w:pPr>
            <w:r/>
            <w:r>
              <w:rPr>
                <w:b w:val="0"/>
              </w:rPr>
              <w:t>FastAPI en Render; sonda pública en /health.</w:t>
            </w:r>
          </w:p>
        </w:tc>
      </w:tr>
      <w:tr>
        <w:trPr>
          <w:cantSplit/>
        </w:trPr>
        <w:tc>
          <w:tcPr>
            <w:tcW w:type="dxa" w:w="2592"/>
            <w:vAlign w:val="top"/>
          </w:tcPr>
          <w:p>
            <w:pPr>
              <w:spacing w:after="60"/>
            </w:pPr>
            <w:r/>
            <w:r>
              <w:rPr>
                <w:b w:val="0"/>
              </w:rPr>
              <w:t>Código y rúbricas</w:t>
            </w:r>
          </w:p>
        </w:tc>
        <w:tc>
          <w:tcPr>
            <w:tcW w:type="dxa" w:w="3168"/>
            <w:vAlign w:val="top"/>
          </w:tcPr>
          <w:p>
            <w:pPr>
              <w:spacing w:after="60"/>
            </w:pPr>
            <w:r/>
            <w:r>
              <w:rPr>
                <w:b w:val="0"/>
              </w:rPr>
              <w:t>Repositorio del proyecto</w:t>
            </w:r>
          </w:p>
        </w:tc>
        <w:tc>
          <w:tcPr>
            <w:tcW w:type="dxa" w:w="4032"/>
            <w:vAlign w:val="top"/>
          </w:tcPr>
          <w:p>
            <w:pPr>
              <w:spacing w:after="60"/>
            </w:pPr>
            <w:r/>
            <w:r>
              <w:rPr>
                <w:b w:val="0"/>
              </w:rPr>
              <w:t>Administrador técnico OIT.</w:t>
            </w:r>
          </w:p>
        </w:tc>
      </w:tr>
    </w:tbl>
    <w:p/>
    <w:p>
      <w:r>
        <w:t>La migración de los GPTs a una cuenta institucional es la acción de transferencia más importante y la que no puede posponerse indefinidamente: un GPT publicado desde una cuenta personal deja de estar disponible si esa cuenta se cierra o cambia de plan.</w:t>
      </w:r>
    </w:p>
    <w:p>
      <w:pPr>
        <w:pStyle w:val="Heading2"/>
      </w:pPr>
      <w:r>
        <w:t>8.2 Rutina de mantenimiento de la capa GPT</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3168"/>
            <w:vAlign w:val="top"/>
            <w:shd w:fill="002F6C"/>
          </w:tcPr>
          <w:p>
            <w:pPr>
              <w:spacing w:after="60"/>
            </w:pPr>
            <w:r/>
            <w:r>
              <w:rPr>
                <w:b/>
                <w:color w:val="FFFFFF"/>
              </w:rPr>
              <w:t>Frecuencia</w:t>
            </w:r>
          </w:p>
        </w:tc>
        <w:tc>
          <w:tcPr>
            <w:tcW w:type="dxa" w:w="6624"/>
            <w:vAlign w:val="top"/>
            <w:shd w:fill="002F6C"/>
          </w:tcPr>
          <w:p>
            <w:pPr>
              <w:spacing w:after="60"/>
            </w:pPr>
            <w:r/>
            <w:r>
              <w:rPr>
                <w:b/>
                <w:color w:val="FFFFFF"/>
              </w:rPr>
              <w:t>Actividad</w:t>
            </w:r>
          </w:p>
        </w:tc>
      </w:tr>
      <w:tr>
        <w:trPr>
          <w:cantSplit/>
        </w:trPr>
        <w:tc>
          <w:tcPr>
            <w:tcW w:type="dxa" w:w="3168"/>
            <w:vAlign w:val="top"/>
          </w:tcPr>
          <w:p>
            <w:pPr>
              <w:spacing w:after="60"/>
            </w:pPr>
            <w:r/>
            <w:r>
              <w:rPr>
                <w:b w:val="0"/>
              </w:rPr>
              <w:t>Semanal durante operación activa</w:t>
            </w:r>
          </w:p>
        </w:tc>
        <w:tc>
          <w:tcPr>
            <w:tcW w:type="dxa" w:w="6624"/>
            <w:vAlign w:val="top"/>
          </w:tcPr>
          <w:p>
            <w:pPr>
              <w:spacing w:after="60"/>
            </w:pPr>
            <w:r/>
            <w:r>
              <w:rPr>
                <w:b w:val="0"/>
              </w:rPr>
              <w:t>Confirmar que GET /health responde y lanzar una evaluación corta en uno de los tres asistentes.</w:t>
            </w:r>
          </w:p>
        </w:tc>
      </w:tr>
      <w:tr>
        <w:trPr>
          <w:cantSplit/>
        </w:trPr>
        <w:tc>
          <w:tcPr>
            <w:tcW w:type="dxa" w:w="3168"/>
            <w:vAlign w:val="top"/>
          </w:tcPr>
          <w:p>
            <w:pPr>
              <w:spacing w:after="60"/>
            </w:pPr>
            <w:r/>
            <w:r>
              <w:rPr>
                <w:b w:val="0"/>
              </w:rPr>
              <w:t>Mensual</w:t>
            </w:r>
          </w:p>
        </w:tc>
        <w:tc>
          <w:tcPr>
            <w:tcW w:type="dxa" w:w="6624"/>
            <w:vAlign w:val="top"/>
          </w:tcPr>
          <w:p>
            <w:pPr>
              <w:spacing w:after="60"/>
            </w:pPr>
            <w:r/>
            <w:r>
              <w:rPr>
                <w:b w:val="0"/>
              </w:rPr>
              <w:t>Probar los tres asistentes con un documento de prueba y verificar que el XLSX se descarga y abre correctamente.</w:t>
            </w:r>
          </w:p>
        </w:tc>
      </w:tr>
      <w:tr>
        <w:trPr>
          <w:cantSplit/>
        </w:trPr>
        <w:tc>
          <w:tcPr>
            <w:tcW w:type="dxa" w:w="3168"/>
            <w:vAlign w:val="top"/>
          </w:tcPr>
          <w:p>
            <w:pPr>
              <w:spacing w:after="60"/>
            </w:pPr>
            <w:r/>
            <w:r>
              <w:rPr>
                <w:b w:val="0"/>
              </w:rPr>
              <w:t>Mensual durante la fase piloto</w:t>
            </w:r>
          </w:p>
        </w:tc>
        <w:tc>
          <w:tcPr>
            <w:tcW w:type="dxa" w:w="6624"/>
            <w:vAlign w:val="top"/>
          </w:tcPr>
          <w:p>
            <w:pPr>
              <w:spacing w:after="60"/>
            </w:pPr>
            <w:r/>
            <w:r>
              <w:rPr>
                <w:b w:val="0"/>
              </w:rPr>
              <w:t>Revisar el consumo en el tablero de OpenAI y proyectar la fecha de agotamiento del presupuesto.</w:t>
            </w:r>
          </w:p>
        </w:tc>
      </w:tr>
      <w:tr>
        <w:trPr>
          <w:cantSplit/>
        </w:trPr>
        <w:tc>
          <w:tcPr>
            <w:tcW w:type="dxa" w:w="3168"/>
            <w:vAlign w:val="top"/>
          </w:tcPr>
          <w:p>
            <w:pPr>
              <w:spacing w:after="60"/>
            </w:pPr>
            <w:r/>
            <w:r>
              <w:rPr>
                <w:b w:val="0"/>
              </w:rPr>
              <w:t>Al actualizar una rúbrica</w:t>
            </w:r>
          </w:p>
        </w:tc>
        <w:tc>
          <w:tcPr>
            <w:tcW w:type="dxa" w:w="6624"/>
            <w:vAlign w:val="top"/>
          </w:tcPr>
          <w:p>
            <w:pPr>
              <w:spacing w:after="60"/>
            </w:pPr>
            <w:r/>
            <w:r>
              <w:rPr>
                <w:b w:val="0"/>
              </w:rPr>
              <w:t>Reemplazar el XLSX, probar localmente, hacer push a main y verificar el redespliegue con una evaluación acotada.</w:t>
            </w:r>
          </w:p>
        </w:tc>
      </w:tr>
      <w:tr>
        <w:trPr>
          <w:cantSplit/>
        </w:trPr>
        <w:tc>
          <w:tcPr>
            <w:tcW w:type="dxa" w:w="3168"/>
            <w:vAlign w:val="top"/>
          </w:tcPr>
          <w:p>
            <w:pPr>
              <w:spacing w:after="60"/>
            </w:pPr>
            <w:r/>
            <w:r>
              <w:rPr>
                <w:b w:val="0"/>
              </w:rPr>
              <w:t>Al modificar instrucciones o botones de inicio</w:t>
            </w:r>
          </w:p>
        </w:tc>
        <w:tc>
          <w:tcPr>
            <w:tcW w:type="dxa" w:w="6624"/>
            <w:vAlign w:val="top"/>
          </w:tcPr>
          <w:p>
            <w:pPr>
              <w:spacing w:after="60"/>
            </w:pPr>
            <w:r/>
            <w:r>
              <w:rPr>
                <w:b w:val="0"/>
              </w:rPr>
              <w:t>Actualizar también docs/gpt_onboarding_es.md para que la documentación no se separe de los asistentes.</w:t>
            </w:r>
          </w:p>
        </w:tc>
      </w:tr>
      <w:tr>
        <w:trPr>
          <w:cantSplit/>
        </w:trPr>
        <w:tc>
          <w:tcPr>
            <w:tcW w:type="dxa" w:w="3168"/>
            <w:vAlign w:val="top"/>
          </w:tcPr>
          <w:p>
            <w:pPr>
              <w:spacing w:after="60"/>
            </w:pPr>
            <w:r/>
            <w:r>
              <w:rPr>
                <w:b w:val="0"/>
              </w:rPr>
              <w:t>Cada 6-12 meses</w:t>
            </w:r>
          </w:p>
        </w:tc>
        <w:tc>
          <w:tcPr>
            <w:tcW w:type="dxa" w:w="6624"/>
            <w:vAlign w:val="top"/>
          </w:tcPr>
          <w:p>
            <w:pPr>
              <w:spacing w:after="60"/>
            </w:pPr>
            <w:r/>
            <w:r>
              <w:rPr>
                <w:b w:val="0"/>
              </w:rPr>
              <w:t>Revisar modelos disponibles, costos, límites de la API y vigencia del plan de Render.</w:t>
            </w:r>
          </w:p>
        </w:tc>
      </w:tr>
    </w:tbl>
    <w:p/>
    <w:p>
      <w:pPr>
        <w:pStyle w:val="Heading2"/>
      </w:pPr>
      <w:r>
        <w:t>8.3 Criterios de aceptación de cambios en la capa GPT</w:t>
      </w:r>
    </w:p>
    <w:p>
      <w:pPr>
        <w:pStyle w:val="ListBullet"/>
      </w:pPr>
      <w:r>
        <w:t>GET /health responde correctamente tras el despliegue.</w:t>
      </w:r>
    </w:p>
    <w:p>
      <w:pPr>
        <w:pStyle w:val="ListBullet"/>
      </w:pPr>
      <w:r>
        <w:t>GET /privacy responde: ChatGPT lo exige para mantener publicado un GPT con Action.</w:t>
      </w:r>
    </w:p>
    <w:p>
      <w:pPr>
        <w:pStyle w:val="ListBullet"/>
      </w:pPr>
      <w:r>
        <w:t>Cada uno de los tres asistentes completa una evaluación acotada de prueba y entrega el XLSX.</w:t>
      </w:r>
    </w:p>
    <w:p>
      <w:pPr>
        <w:pStyle w:val="ListBullet"/>
      </w:pPr>
      <w:r>
        <w:t>El XLSX de atributos específicos y el de sostenibilidad incluyen la columna de estabilidad.</w:t>
      </w:r>
    </w:p>
    <w:p>
      <w:pPr>
        <w:pStyle w:val="ListBullet"/>
      </w:pPr>
      <w:r>
        <w:t>Las tres Actions apuntan al servidor correcto y autentican con la clave vigente.</w:t>
      </w:r>
    </w:p>
    <w:p>
      <w:pPr>
        <w:pStyle w:val="ListBullet"/>
      </w:pPr>
      <w:r>
        <w:t>Al saludar sin adjuntar documento, cada asistente se presenta en lugar de esperar en silencio.</w:t>
      </w:r>
    </w:p>
    <w:p>
      <w:pPr>
        <w:pStyle w:val="Heading2"/>
      </w:pPr>
      <w:r>
        <w:t>8.4 Recomendaciones de continuidad y costo</w:t>
      </w:r>
    </w:p>
    <w:p>
      <w:pPr>
        <w:pStyle w:val="ListBullet"/>
      </w:pPr>
      <w:r>
        <w:t>Migrar los tres GPTs a una cuenta institucional de la OIT antes de ampliar el uso.</w:t>
      </w:r>
    </w:p>
    <w:p>
      <w:pPr>
        <w:pStyle w:val="ListBullet"/>
      </w:pPr>
      <w:r>
        <w:t>Sustituir el almacenamiento de trabajos en memoria por Redis o equivalente si el uso deja de ser piloto: hoy un redespliegue pierde las evaluaciones en curso.</w:t>
      </w:r>
    </w:p>
    <w:p>
      <w:pPr>
        <w:pStyle w:val="ListBullet"/>
      </w:pPr>
      <w:r>
        <w:t>Evaluar el paso a un plan de pago en Render si la latencia de arranque en frío afecta la experiencia de uso.</w:t>
      </w:r>
    </w:p>
    <w:p>
      <w:pPr>
        <w:pStyle w:val="ListBullet"/>
      </w:pPr>
      <w:r>
        <w:t>Vigilar el costo de las repeticiones de estabilidad: 10 corridas por criterio en valoración de calidad y 5 en los otros dos asistentes. Una valoración completa implica del orden de 760 llamadas al modelo y es, con diferencia, el flujo más caro. Reducir STABILITY_REPEATS es la palanca más directa si el presupuesto aprieta, a costa de fiabilidad; bajarlo en tab1_v3_core es donde más ahorra.</w:t>
      </w:r>
    </w:p>
    <w:p>
      <w:pPr>
        <w:pStyle w:val="ListBullet"/>
      </w:pPr>
      <w:r>
        <w:t>Usar claves de API separadas por asistente si se necesita atribuir el consumo a cada uno: el tablero de OpenAI desagrega por clave, no por GPT.</w:t>
      </w:r>
    </w:p>
    <w:p>
      <w:pPr>
        <w:pStyle w:val="ListBullet"/>
      </w:pPr>
      <w:r>
        <w:t>Priorizar la evaluación por secciones o dimensiones frente a la rúbrica completa cuando el objetivo sea verificar un punto concreto: reduce costo y tiempo sin perder valor.</w:t>
      </w:r>
    </w:p>
    <w:p>
      <w:pPr>
        <w:pStyle w:val="ListBullet"/>
      </w:pPr>
      <w:r>
        <w:t>Registrar el costo unitario observado durante el piloto para poder estimar un despliegue a mayor escala.</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2F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72C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2F6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