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png" ContentType="image/jpeg"/>
  <Override PartName="/word/media/image12.png" ContentType="image/jpeg"/>
  <Override PartName="/word/media/image13.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69" w:lineRule="auto"/>
      </w:pPr>
    </w:p>
    <w:p>
      <w:pPr>
        <w:pStyle w:val="Title"/>
        <w:spacing w:before="0" w:after="60"/>
        <w:jc w:val="center"/>
      </w:pPr>
      <w:r>
        <w:rPr>
          <w:color w:val="000000"/>
        </w:rPr>
        <w:t>KopiBridge AI</w:t>
      </w:r>
    </w:p>
    <w:p>
      <w:pPr>
        <w:spacing w:before="120" w:after="140" w:line="269" w:lineRule="auto"/>
        <w:jc w:val="center"/>
      </w:pPr>
      <w:r>
        <w:rPr>
          <w:sz w:val="32"/>
        </w:rPr>
        <w:t>Multimodal Evidence Led Career Guidance</w:t>
      </w:r>
    </w:p>
    <w:p>
      <w:pPr>
        <w:spacing w:before="360" w:after="140" w:line="269" w:lineRule="auto"/>
        <w:jc w:val="center"/>
      </w:pPr>
      <w:r>
        <w:rPr>
          <w:sz w:val="24"/>
        </w:rPr>
        <w:t>Final Project Report</w:t>
      </w:r>
    </w:p>
    <w:p>
      <w:pPr>
        <w:spacing w:after="140" w:line="269" w:lineRule="auto"/>
        <w:jc w:val="center"/>
      </w:pPr>
      <w:r>
        <w:rPr>
          <w:sz w:val="24"/>
        </w:rPr>
        <w:t>CM3020 Artificial Intelligence</w:t>
        <w:br/>
        <w:t>Project Idea 1 Section 4.1</w:t>
        <w:br/>
        <w:t>Orchestrating AI models to achieve a goal</w:t>
      </w:r>
    </w:p>
    <w:p>
      <w:pPr>
        <w:spacing w:after="140" w:line="269" w:lineRule="auto"/>
        <w:jc w:val="center"/>
      </w:pPr>
      <w:r>
        <w:rPr>
          <w:sz w:val="24"/>
        </w:rPr>
        <w:t>Code repository https://github.com/aevto/KopiBridge-AI</w:t>
        <w:br/>
        <w:t>Existing deployment https://kopi-bridge-ai.vercel.app</w:t>
      </w:r>
    </w:p>
    <w:p>
      <w:pPr>
        <w:spacing w:after="140" w:line="269" w:lineRule="auto"/>
        <w:jc w:val="center"/>
      </w:pPr>
      <w:r>
        <w:rPr>
          <w:sz w:val="24"/>
        </w:rPr>
        <w:t>28 September 2026</w:t>
      </w:r>
    </w:p>
    <w:p>
      <w:pPr>
        <w:spacing w:line="269" w:lineRule="auto" w:after="140"/>
      </w:pPr>
      <w:r>
        <w:br w:type="page"/>
      </w:r>
    </w:p>
    <w:p>
      <w:pPr>
        <w:pStyle w:val="Heading2"/>
        <w:spacing w:before="0"/>
      </w:pPr>
      <w:r>
        <w:rPr>
          <w:rFonts w:ascii="Arial" w:hAnsi="Arial" w:eastAsia="Arial"/>
          <w:color w:val="000000"/>
          <w:sz w:val="32"/>
        </w:rPr>
        <w:t>Abstract</w:t>
      </w:r>
    </w:p>
    <w:p>
      <w:pPr>
        <w:spacing w:line="269" w:lineRule="auto" w:after="140"/>
      </w:pPr>
      <w:r>
        <w:t>KopiBridge AI helps early-career applicants compare resume evidence with a target role and prepare truthful next steps. Its final implementation orchestrates three distinct pretrained models: image-to-text extraction, text guidance and speech transcription. Scanned resume pages become editable text; a deterministic engine builds the authoritative evidence report; a guarded language model refines permitted guidance; and a transcribed interview answer receives feedback tied to that same report. The applicant reviews both extracted text and transcription before relying on them. The product includes authenticated accounts, private history, server-enforced analysis credits and print export. Evaluation combines executable database tests, browser integration checks and exploratory comparisons of six model configurations across synthetic inputs. Initial feedback quotation failures motivated a schema-constrained citation design, which passed all six subsequent quotation checks. These results establish integration feasibility, not hiring prediction accuracy or proven career benefit. Important limitations include heuristic negation errors, a small synthetic evaluation set, compressed evidence context and the absence of a participant study. The contribution is a coherent multimodal preparation workflow that keeps claim status inspectable rather than delegating it to generated prose.</w:t>
      </w:r>
    </w:p>
    <w:p>
      <w:pPr>
        <w:spacing w:before="160" w:after="140" w:line="269" w:lineRule="auto"/>
      </w:pPr>
      <w:r>
        <w:t>Chapter text totals 8,466 words. Counts include subheadings and table content; exclude chapter titles, captions, title page, abstract and references. The total remains below 10,500 even if the abstract is included.</w:t>
      </w:r>
    </w:p>
    <w:tbl>
      <w:tblPr>
        <w:tblW w:type="dxa" w:w="9360"/>
        <w:jc w:val="left"/>
        <w:tblLayout w:type="fixed"/>
        <w:tblLook w:firstColumn="1" w:firstRow="1" w:lastColumn="0" w:lastRow="0" w:noHBand="0" w:noVBand="1" w:val="04A0"/>
        <w:tblInd w:w="0" w:type="dxa"/>
      </w:tblPr>
      <w:tblGrid>
        <w:gridCol w:w="5112"/>
        <w:gridCol w:w="1872"/>
        <w:gridCol w:w="2376"/>
      </w:tblGrid>
      <w:tr>
        <w:trPr>
          <w:tblHeader w:val="true"/>
          <w:tblHeader/>
          <w:cantSplit/>
        </w:trPr>
        <w:tc>
          <w:tcPr>
            <w:tcW w:type="dxa" w:w="5112"/>
            <w:tcMar>
              <w:top w:w="60" w:type="dxa"/>
              <w:start w:w="120" w:type="dxa"/>
              <w:bottom w:w="60" w:type="dxa"/>
              <w:end w:w="120" w:type="dxa"/>
            </w:tcMar>
            <w:tcBorders>
              <w:bottom w:val="single" w:sz="10" w:color="DADCE0"/>
            </w:tcBorders>
          </w:tcPr>
          <w:p>
            <w:pPr>
              <w:spacing w:after="100" w:line="240" w:lineRule="auto"/>
            </w:pPr>
            <w:r>
              <w:rPr>
                <w:rFonts w:ascii="Arial" w:hAnsi="Arial" w:eastAsia="Arial"/>
                <w:b/>
                <w:color w:val="000000"/>
                <w:sz w:val="18"/>
              </w:rPr>
              <w:t>Chapter</w:t>
            </w:r>
          </w:p>
        </w:tc>
        <w:tc>
          <w:tcPr>
            <w:tcW w:type="dxa" w:w="1872"/>
            <w:tcMar>
              <w:top w:w="60" w:type="dxa"/>
              <w:start w:w="120" w:type="dxa"/>
              <w:bottom w:w="60" w:type="dxa"/>
              <w:end w:w="120" w:type="dxa"/>
            </w:tcMar>
            <w:tcBorders>
              <w:bottom w:val="single" w:sz="10" w:color="DADCE0"/>
            </w:tcBorders>
          </w:tcPr>
          <w:p>
            <w:pPr>
              <w:spacing w:after="100" w:line="240" w:lineRule="auto"/>
            </w:pPr>
            <w:r>
              <w:rPr>
                <w:rFonts w:ascii="Arial" w:hAnsi="Arial" w:eastAsia="Arial"/>
                <w:b/>
                <w:color w:val="000000"/>
                <w:sz w:val="18"/>
              </w:rPr>
              <w:t>Words</w:t>
            </w:r>
          </w:p>
        </w:tc>
        <w:tc>
          <w:tcPr>
            <w:tcW w:type="dxa" w:w="2376"/>
            <w:tcMar>
              <w:top w:w="60" w:type="dxa"/>
              <w:start w:w="120" w:type="dxa"/>
              <w:bottom w:w="60" w:type="dxa"/>
              <w:end w:w="120" w:type="dxa"/>
            </w:tcMar>
            <w:tcBorders>
              <w:bottom w:val="single" w:sz="10" w:color="DADCE0"/>
            </w:tcBorders>
          </w:tcPr>
          <w:p>
            <w:pPr>
              <w:spacing w:after="100" w:line="240" w:lineRule="auto"/>
            </w:pPr>
            <w:r>
              <w:rPr>
                <w:rFonts w:ascii="Arial" w:hAnsi="Arial" w:eastAsia="Arial"/>
                <w:b/>
                <w:color w:val="000000"/>
                <w:sz w:val="18"/>
              </w:rPr>
              <w:t>Maximum</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Introduction</w:t>
            </w:r>
          </w:p>
        </w:tc>
        <w:tc>
          <w:tcPr>
            <w:tcW w:type="dxa" w:w="1872"/>
            <w:tcMar>
              <w:top w:w="60" w:type="dxa"/>
              <w:start w:w="120" w:type="dxa"/>
              <w:bottom w:w="60" w:type="dxa"/>
              <w:end w:w="120" w:type="dxa"/>
            </w:tcMar>
            <w:tcBorders>
              <w:bottom w:val="single" w:sz="4" w:color="DADCE0"/>
            </w:tcBorders>
          </w:tcPr>
          <w:p>
            <w:pPr>
              <w:spacing w:after="100"/>
            </w:pPr>
            <w:r>
              <w:rPr>
                <w:sz w:val="18"/>
              </w:rPr>
              <w:t>717</w:t>
            </w:r>
          </w:p>
        </w:tc>
        <w:tc>
          <w:tcPr>
            <w:tcW w:type="dxa" w:w="2376"/>
            <w:tcMar>
              <w:top w:w="60" w:type="dxa"/>
              <w:start w:w="120" w:type="dxa"/>
              <w:bottom w:w="60" w:type="dxa"/>
              <w:end w:w="120" w:type="dxa"/>
            </w:tcMar>
            <w:tcBorders>
              <w:bottom w:val="single" w:sz="4" w:color="DADCE0"/>
            </w:tcBorders>
          </w:tcPr>
          <w:p>
            <w:pPr>
              <w:spacing w:after="100"/>
            </w:pPr>
            <w:r>
              <w:rPr>
                <w:sz w:val="18"/>
              </w:rPr>
              <w:t>1,000</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Literature Review</w:t>
            </w:r>
          </w:p>
        </w:tc>
        <w:tc>
          <w:tcPr>
            <w:tcW w:type="dxa" w:w="1872"/>
            <w:tcMar>
              <w:top w:w="60" w:type="dxa"/>
              <w:start w:w="120" w:type="dxa"/>
              <w:bottom w:w="60" w:type="dxa"/>
              <w:end w:w="120" w:type="dxa"/>
            </w:tcMar>
            <w:tcBorders>
              <w:bottom w:val="single" w:sz="4" w:color="DADCE0"/>
            </w:tcBorders>
          </w:tcPr>
          <w:p>
            <w:pPr>
              <w:spacing w:after="100"/>
            </w:pPr>
            <w:r>
              <w:rPr>
                <w:sz w:val="18"/>
              </w:rPr>
              <w:t>2036</w:t>
            </w:r>
          </w:p>
        </w:tc>
        <w:tc>
          <w:tcPr>
            <w:tcW w:type="dxa" w:w="2376"/>
            <w:tcMar>
              <w:top w:w="60" w:type="dxa"/>
              <w:start w:w="120" w:type="dxa"/>
              <w:bottom w:w="60" w:type="dxa"/>
              <w:end w:w="120" w:type="dxa"/>
            </w:tcMar>
            <w:tcBorders>
              <w:bottom w:val="single" w:sz="4" w:color="DADCE0"/>
            </w:tcBorders>
          </w:tcPr>
          <w:p>
            <w:pPr>
              <w:spacing w:after="100"/>
            </w:pPr>
            <w:r>
              <w:rPr>
                <w:sz w:val="18"/>
              </w:rPr>
              <w:t>2,500</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Design</w:t>
            </w:r>
          </w:p>
        </w:tc>
        <w:tc>
          <w:tcPr>
            <w:tcW w:type="dxa" w:w="1872"/>
            <w:tcMar>
              <w:top w:w="60" w:type="dxa"/>
              <w:start w:w="120" w:type="dxa"/>
              <w:bottom w:w="60" w:type="dxa"/>
              <w:end w:w="120" w:type="dxa"/>
            </w:tcMar>
            <w:tcBorders>
              <w:bottom w:val="single" w:sz="4" w:color="DADCE0"/>
            </w:tcBorders>
          </w:tcPr>
          <w:p>
            <w:pPr>
              <w:spacing w:after="100"/>
            </w:pPr>
            <w:r>
              <w:rPr>
                <w:sz w:val="18"/>
              </w:rPr>
              <w:t>1418</w:t>
            </w:r>
          </w:p>
        </w:tc>
        <w:tc>
          <w:tcPr>
            <w:tcW w:type="dxa" w:w="2376"/>
            <w:tcMar>
              <w:top w:w="60" w:type="dxa"/>
              <w:start w:w="120" w:type="dxa"/>
              <w:bottom w:w="60" w:type="dxa"/>
              <w:end w:w="120" w:type="dxa"/>
            </w:tcMar>
            <w:tcBorders>
              <w:bottom w:val="single" w:sz="4" w:color="DADCE0"/>
            </w:tcBorders>
          </w:tcPr>
          <w:p>
            <w:pPr>
              <w:spacing w:after="100"/>
            </w:pPr>
            <w:r>
              <w:rPr>
                <w:sz w:val="18"/>
              </w:rPr>
              <w:t>2,000</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Implementation</w:t>
            </w:r>
          </w:p>
        </w:tc>
        <w:tc>
          <w:tcPr>
            <w:tcW w:type="dxa" w:w="1872"/>
            <w:tcMar>
              <w:top w:w="60" w:type="dxa"/>
              <w:start w:w="120" w:type="dxa"/>
              <w:bottom w:w="60" w:type="dxa"/>
              <w:end w:w="120" w:type="dxa"/>
            </w:tcMar>
            <w:tcBorders>
              <w:bottom w:val="single" w:sz="4" w:color="DADCE0"/>
            </w:tcBorders>
          </w:tcPr>
          <w:p>
            <w:pPr>
              <w:spacing w:after="100"/>
            </w:pPr>
            <w:r>
              <w:rPr>
                <w:sz w:val="18"/>
              </w:rPr>
              <w:t>1982</w:t>
            </w:r>
          </w:p>
        </w:tc>
        <w:tc>
          <w:tcPr>
            <w:tcW w:type="dxa" w:w="2376"/>
            <w:tcMar>
              <w:top w:w="60" w:type="dxa"/>
              <w:start w:w="120" w:type="dxa"/>
              <w:bottom w:w="60" w:type="dxa"/>
              <w:end w:w="120" w:type="dxa"/>
            </w:tcMar>
            <w:tcBorders>
              <w:bottom w:val="single" w:sz="4" w:color="DADCE0"/>
            </w:tcBorders>
          </w:tcPr>
          <w:p>
            <w:pPr>
              <w:spacing w:after="100"/>
            </w:pPr>
            <w:r>
              <w:rPr>
                <w:sz w:val="18"/>
              </w:rPr>
              <w:t>2,500</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Evaluation</w:t>
            </w:r>
          </w:p>
        </w:tc>
        <w:tc>
          <w:tcPr>
            <w:tcW w:type="dxa" w:w="1872"/>
            <w:tcMar>
              <w:top w:w="60" w:type="dxa"/>
              <w:start w:w="120" w:type="dxa"/>
              <w:bottom w:w="60" w:type="dxa"/>
              <w:end w:w="120" w:type="dxa"/>
            </w:tcMar>
            <w:tcBorders>
              <w:bottom w:val="single" w:sz="4" w:color="DADCE0"/>
            </w:tcBorders>
          </w:tcPr>
          <w:p>
            <w:pPr>
              <w:spacing w:after="100"/>
            </w:pPr>
            <w:r>
              <w:rPr>
                <w:sz w:val="18"/>
              </w:rPr>
              <w:t>1967</w:t>
            </w:r>
          </w:p>
        </w:tc>
        <w:tc>
          <w:tcPr>
            <w:tcW w:type="dxa" w:w="2376"/>
            <w:tcMar>
              <w:top w:w="60" w:type="dxa"/>
              <w:start w:w="120" w:type="dxa"/>
              <w:bottom w:w="60" w:type="dxa"/>
              <w:end w:w="120" w:type="dxa"/>
            </w:tcMar>
            <w:tcBorders>
              <w:bottom w:val="single" w:sz="4" w:color="DADCE0"/>
            </w:tcBorders>
          </w:tcPr>
          <w:p>
            <w:pPr>
              <w:spacing w:after="100"/>
            </w:pPr>
            <w:r>
              <w:rPr>
                <w:sz w:val="18"/>
              </w:rPr>
              <w:t>2,500</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Conclusion</w:t>
            </w:r>
          </w:p>
        </w:tc>
        <w:tc>
          <w:tcPr>
            <w:tcW w:type="dxa" w:w="1872"/>
            <w:tcMar>
              <w:top w:w="60" w:type="dxa"/>
              <w:start w:w="120" w:type="dxa"/>
              <w:bottom w:w="60" w:type="dxa"/>
              <w:end w:w="120" w:type="dxa"/>
            </w:tcMar>
            <w:tcBorders>
              <w:bottom w:val="single" w:sz="4" w:color="DADCE0"/>
            </w:tcBorders>
          </w:tcPr>
          <w:p>
            <w:pPr>
              <w:spacing w:after="100"/>
            </w:pPr>
            <w:r>
              <w:rPr>
                <w:sz w:val="18"/>
              </w:rPr>
              <w:t>346</w:t>
            </w:r>
          </w:p>
        </w:tc>
        <w:tc>
          <w:tcPr>
            <w:tcW w:type="dxa" w:w="2376"/>
            <w:tcMar>
              <w:top w:w="60" w:type="dxa"/>
              <w:start w:w="120" w:type="dxa"/>
              <w:bottom w:w="60" w:type="dxa"/>
              <w:end w:w="120" w:type="dxa"/>
            </w:tcMar>
            <w:tcBorders>
              <w:bottom w:val="single" w:sz="4" w:color="DADCE0"/>
            </w:tcBorders>
          </w:tcPr>
          <w:p>
            <w:pPr>
              <w:spacing w:after="100"/>
            </w:pPr>
            <w:r>
              <w:rPr>
                <w:sz w:val="18"/>
              </w:rPr>
              <w:t>1,000</w:t>
            </w:r>
          </w:p>
        </w:tc>
      </w:tr>
      <w:tr>
        <w:trPr>
          <w:cantSplit/>
        </w:trPr>
        <w:tc>
          <w:tcPr>
            <w:tcW w:type="dxa" w:w="5112"/>
            <w:tcMar>
              <w:top w:w="60" w:type="dxa"/>
              <w:start w:w="120" w:type="dxa"/>
              <w:bottom w:w="60" w:type="dxa"/>
              <w:end w:w="120" w:type="dxa"/>
            </w:tcMar>
            <w:tcBorders>
              <w:bottom w:val="single" w:sz="4" w:color="DADCE0"/>
            </w:tcBorders>
          </w:tcPr>
          <w:p>
            <w:pPr>
              <w:spacing w:after="100"/>
            </w:pPr>
            <w:r>
              <w:rPr>
                <w:sz w:val="18"/>
              </w:rPr>
              <w:t>Total</w:t>
            </w:r>
          </w:p>
        </w:tc>
        <w:tc>
          <w:tcPr>
            <w:tcW w:type="dxa" w:w="1872"/>
            <w:tcMar>
              <w:top w:w="60" w:type="dxa"/>
              <w:start w:w="120" w:type="dxa"/>
              <w:bottom w:w="60" w:type="dxa"/>
              <w:end w:w="120" w:type="dxa"/>
            </w:tcMar>
            <w:tcBorders>
              <w:bottom w:val="single" w:sz="4" w:color="DADCE0"/>
            </w:tcBorders>
          </w:tcPr>
          <w:p>
            <w:pPr>
              <w:spacing w:after="100"/>
            </w:pPr>
            <w:r>
              <w:rPr>
                <w:sz w:val="18"/>
              </w:rPr>
              <w:t>8466</w:t>
            </w:r>
          </w:p>
        </w:tc>
        <w:tc>
          <w:tcPr>
            <w:tcW w:type="dxa" w:w="2376"/>
            <w:tcMar>
              <w:top w:w="60" w:type="dxa"/>
              <w:start w:w="120" w:type="dxa"/>
              <w:bottom w:w="60" w:type="dxa"/>
              <w:end w:w="120" w:type="dxa"/>
            </w:tcMar>
            <w:tcBorders>
              <w:bottom w:val="single" w:sz="4" w:color="DADCE0"/>
            </w:tcBorders>
          </w:tcPr>
          <w:p>
            <w:pPr>
              <w:spacing w:after="100"/>
            </w:pPr>
            <w:r>
              <w:rPr>
                <w:sz w:val="18"/>
              </w:rPr>
              <w:t>10,500</w:t>
            </w:r>
          </w:p>
        </w:tc>
      </w:tr>
    </w:tbl>
    <w:p>
      <w:pPr>
        <w:spacing w:line="269" w:lineRule="auto" w:after="140"/>
      </w:pPr>
    </w:p>
    <w:p>
      <w:pPr>
        <w:spacing w:line="269" w:lineRule="auto" w:after="140"/>
      </w:pPr>
      <w:r>
        <w:br w:type="page"/>
      </w:r>
    </w:p>
    <w:p>
      <w:pPr>
        <w:pStyle w:val="Heading1"/>
        <w:pageBreakBefore/>
      </w:pPr>
      <w:r>
        <w:t>Contents</w:t>
      </w:r>
    </w:p>
    <w:p>
      <w:pPr>
        <w:tabs>
          <w:tab w:pos="8928" w:val="left"/>
        </w:tabs>
      </w:pPr>
      <w:r>
        <w:t>Introduction</w:t>
        <w:tab/>
        <w:t>4</w:t>
      </w:r>
    </w:p>
    <w:p>
      <w:pPr>
        <w:tabs>
          <w:tab w:pos="8928" w:val="left"/>
        </w:tabs>
      </w:pPr>
      <w:r>
        <w:t>Literature Review</w:t>
        <w:tab/>
        <w:t>6</w:t>
      </w:r>
    </w:p>
    <w:p>
      <w:pPr>
        <w:tabs>
          <w:tab w:pos="8928" w:val="left"/>
        </w:tabs>
      </w:pPr>
      <w:r>
        <w:t>Design</w:t>
        <w:tab/>
        <w:t>11</w:t>
      </w:r>
    </w:p>
    <w:p>
      <w:pPr>
        <w:tabs>
          <w:tab w:pos="8928" w:val="left"/>
        </w:tabs>
      </w:pPr>
      <w:r>
        <w:t>Implementation</w:t>
        <w:tab/>
        <w:t>17</w:t>
      </w:r>
    </w:p>
    <w:p>
      <w:pPr>
        <w:tabs>
          <w:tab w:pos="8928" w:val="left"/>
        </w:tabs>
      </w:pPr>
      <w:r>
        <w:t>Evaluation</w:t>
        <w:tab/>
        <w:t>49</w:t>
      </w:r>
    </w:p>
    <w:p>
      <w:pPr>
        <w:tabs>
          <w:tab w:pos="8928" w:val="left"/>
        </w:tabs>
      </w:pPr>
      <w:r>
        <w:t>Conclusion</w:t>
        <w:tab/>
        <w:t>56</w:t>
      </w:r>
    </w:p>
    <w:p>
      <w:pPr>
        <w:tabs>
          <w:tab w:pos="8928" w:val="left"/>
        </w:tabs>
      </w:pPr>
      <w:r>
        <w:t>References</w:t>
        <w:tab/>
        <w:t>57</w:t>
      </w:r>
    </w:p>
    <w:p>
      <w:pPr>
        <w:pStyle w:val="Heading1"/>
        <w:pageBreakBefore/>
      </w:pPr>
      <w:r>
        <w:t>1. Introduction (717/1000 words)</w:t>
      </w:r>
    </w:p>
    <w:p>
      <w:pPr>
        <w:pStyle w:val="Heading2"/>
      </w:pPr>
      <w:r>
        <w:rPr>
          <w:rFonts w:ascii="Arial" w:hAnsi="Arial" w:eastAsia="Arial"/>
          <w:color w:val="000000"/>
          <w:sz w:val="32"/>
        </w:rPr>
        <w:t>1.1 Project concept and motivation</w:t>
      </w:r>
    </w:p>
    <w:p>
      <w:pPr>
        <w:spacing w:line="269" w:lineRule="auto" w:after="140"/>
      </w:pPr>
      <w:r>
        <w:rPr>
          <w:rFonts w:ascii="Arial" w:hAnsi="Arial" w:eastAsia="Arial"/>
          <w:color w:val="000000"/>
          <w:sz w:val="22"/>
        </w:rPr>
        <w:t>KopiBridge AI is a resume-to-role gap analysis and career planning application for final-year computing students, recent graduates and early-career developers targeting AI-adjacent technical roles. Relevant roles include junior AI engineer, LLM application developer, AI solutions engineer, software engineer for AI products, technical solutions engineer and junior data or machine-learning positions. These roles commonly combine programming, data manipulation, web development, deployment, collaboration and emerging AI tools. A student may possess parts of this profile through coursework and personal projects but still struggle to decide whether a resume proves the requirements of one particular vacancy.</w:t>
      </w:r>
    </w:p>
    <w:p>
      <w:pPr>
        <w:spacing w:line="269" w:lineRule="auto" w:after="140"/>
      </w:pPr>
      <w:r>
        <w:rPr>
          <w:rFonts w:ascii="Arial" w:hAnsi="Arial" w:eastAsia="Arial"/>
          <w:color w:val="000000"/>
          <w:sz w:val="22"/>
        </w:rPr>
        <w:t>This problem is more complex than keyword matching. A job description may list Docker, cloud deployment or retrieval-augmented generation, while the applicant has never implemented those technologies. Telling the applicant to insert the missing terms would improve superficial overlap but could create an indefensible claim. Conversely, an applicant may already have relevant evidence but describe it using weak or unfamiliar language. The useful distinction is therefore between a wording problem and a proof problem. KopiBridge AI is motivated by the need to make that distinction explicit.</w:t>
      </w:r>
    </w:p>
    <w:p>
      <w:pPr>
        <w:spacing w:line="269" w:lineRule="auto" w:after="140"/>
      </w:pPr>
      <w:r>
        <w:rPr>
          <w:rFonts w:ascii="Arial" w:hAnsi="Arial" w:eastAsia="Arial"/>
          <w:color w:val="000000"/>
          <w:sz w:val="22"/>
        </w:rPr>
        <w:t>The product accepts resume text, either pasted directly or extracted from a PDF, and a target job description. It produces a structured private report containing an overall alignment estimate, category scores, existing strengths, critical gaps, an evidence checker, a prioritised action roadmap, resume wording guidance, interview preparation and a final application recommendation. The score is described as an estimate of document-to-role alignment, not a prediction of hiring success. Recommendations are constrained by three honesty labels: Safe to add now when the resume directly supports the claim; Reframe carefully when the underlying experience appears supported but should not be exaggerated; and Needs proof first when the capability should not be claimed until evidence has been created.</w:t>
      </w:r>
    </w:p>
    <w:p>
      <w:pPr>
        <w:spacing w:line="269" w:lineRule="auto" w:after="140"/>
      </w:pPr>
      <w:r>
        <w:t>The project began with local-only analysis and subsequently added authenticated history, transactional credits and guarded text refinement. The final extension addresses the confirmed AI orchestration template through image, text and audio models working towards one career-preparation goal. Without an OpenAI key, pasted text and selectable PDFs still produce the complete deterministic report. Image reading and transcription require provider access; unavailable interview feedback falls back to an explicitly labelled checklist. These fallbacks preserve utility but are not represented as a successful three-model run.</w:t>
      </w:r>
    </w:p>
    <w:p>
      <w:pPr>
        <w:pStyle w:val="Heading2"/>
      </w:pPr>
      <w:r>
        <w:rPr>
          <w:rFonts w:ascii="Arial" w:hAnsi="Arial" w:eastAsia="Arial"/>
          <w:color w:val="000000"/>
          <w:sz w:val="32"/>
        </w:rPr>
        <w:t>1.2 Aim, objectives and research questions</w:t>
      </w:r>
    </w:p>
    <w:p>
      <w:pPr>
        <w:spacing w:line="269" w:lineRule="auto" w:after="140"/>
      </w:pPr>
      <w:r>
        <w:rPr>
          <w:rFonts w:ascii="Arial" w:hAnsi="Arial" w:eastAsia="Arial"/>
          <w:color w:val="000000"/>
          <w:sz w:val="22"/>
        </w:rPr>
        <w:t>The project aim is to help an early-career applicant turn a resume and target job description into an honest, evidence-led decision and a practical improvement plan.</w:t>
      </w:r>
    </w:p>
    <w:p>
      <w:pPr>
        <w:keepNext/>
        <w:spacing w:line="269" w:lineRule="auto" w:after="140"/>
      </w:pPr>
      <w:r>
        <w:rPr>
          <w:rFonts w:ascii="Arial" w:hAnsi="Arial" w:eastAsia="Arial"/>
          <w:color w:val="000000"/>
          <w:sz w:val="22"/>
        </w:rPr>
        <w:t>The objectives are:</w:t>
      </w:r>
    </w:p>
    <w:p>
      <w:pPr>
        <w:numPr>
          <w:ilvl w:val="0"/>
          <w:numId w:val="10"/>
        </w:numPr>
        <w:spacing w:after="140" w:line="269" w:lineRule="auto"/>
        <w:ind w:left="720" w:hanging="360"/>
      </w:pPr>
      <w:r>
        <w:rPr>
          <w:rFonts w:ascii="Arial" w:hAnsi="Arial" w:eastAsia="Arial"/>
          <w:color w:val="000000"/>
          <w:sz w:val="22"/>
        </w:rPr>
        <w:t>Design and implement a guided web workflow for resume input, job-description input, analysis and report review.</w:t>
      </w:r>
    </w:p>
    <w:p>
      <w:pPr>
        <w:numPr>
          <w:ilvl w:val="0"/>
          <w:numId w:val="10"/>
        </w:numPr>
        <w:spacing w:after="140" w:line="269" w:lineRule="auto"/>
        <w:ind w:left="720" w:hanging="360"/>
      </w:pPr>
      <w:r>
        <w:rPr>
          <w:rFonts w:ascii="Arial" w:hAnsi="Arial" w:eastAsia="Arial"/>
          <w:color w:val="000000"/>
          <w:sz w:val="22"/>
        </w:rPr>
        <w:t>Develop an inspectable matching engine that distinguishes strong, partial, weak and missing evidence.</w:t>
      </w:r>
    </w:p>
    <w:p>
      <w:pPr>
        <w:numPr>
          <w:ilvl w:val="0"/>
          <w:numId w:val="10"/>
        </w:numPr>
        <w:spacing w:after="140" w:line="269" w:lineRule="auto"/>
        <w:ind w:left="720" w:hanging="360"/>
      </w:pPr>
      <w:r>
        <w:rPr>
          <w:rFonts w:ascii="Arial" w:hAnsi="Arial" w:eastAsia="Arial"/>
          <w:color w:val="000000"/>
          <w:sz w:val="22"/>
        </w:rPr>
        <w:t>Generate specific proof-building recommendations without inventing skills, responsibilities or measured outcomes.</w:t>
      </w:r>
    </w:p>
    <w:p>
      <w:pPr>
        <w:numPr>
          <w:ilvl w:val="0"/>
          <w:numId w:val="10"/>
        </w:numPr>
        <w:spacing w:after="140" w:line="269" w:lineRule="auto"/>
        <w:ind w:left="720" w:hanging="360"/>
      </w:pPr>
      <w:r>
        <w:rPr>
          <w:rFonts w:ascii="Arial" w:hAnsi="Arial" w:eastAsia="Arial"/>
          <w:color w:val="000000"/>
          <w:sz w:val="22"/>
        </w:rPr>
        <w:t>Protect personal reports through authenticated sessions, server-side authorisation and owner-only database policies.</w:t>
      </w:r>
    </w:p>
    <w:p>
      <w:pPr>
        <w:numPr>
          <w:ilvl w:val="0"/>
          <w:numId w:val="10"/>
        </w:numPr>
        <w:spacing w:after="140" w:line="269" w:lineRule="auto"/>
        <w:ind w:left="720" w:hanging="360"/>
      </w:pPr>
      <w:r>
        <w:rPr>
          <w:rFonts w:ascii="Arial" w:hAnsi="Arial" w:eastAsia="Arial"/>
          <w:color w:val="000000"/>
          <w:sz w:val="22"/>
        </w:rPr>
        <w:t>Enforce a daily usage allowance correctly under duplicate, concurrent and failed requests.</w:t>
      </w:r>
    </w:p>
    <w:p>
      <w:pPr>
        <w:numPr>
          <w:ilvl w:val="0"/>
          <w:numId w:val="10"/>
        </w:numPr>
        <w:spacing w:after="140" w:line="269" w:lineRule="auto"/>
        <w:ind w:left="720" w:hanging="360"/>
      </w:pPr>
      <w:r>
        <w:rPr>
          <w:rFonts w:ascii="Arial" w:hAnsi="Arial" w:eastAsia="Arial"/>
          <w:color w:val="000000"/>
          <w:sz w:val="22"/>
        </w:rPr>
        <w:t>Provide private history, deletion and a print-to-PDF report suitable for repeated career planning.</w:t>
      </w:r>
    </w:p>
    <w:p>
      <w:pPr>
        <w:numPr>
          <w:ilvl w:val="0"/>
          <w:numId w:val="10"/>
        </w:numPr>
        <w:spacing w:after="140" w:line="269" w:lineRule="auto"/>
        <w:ind w:left="720" w:hanging="360"/>
      </w:pPr>
      <w:r>
        <w:t>Evaluate the integrated software and each model with reproducible fixtures, component-appropriate measures and explicit limitations.</w:t>
      </w:r>
    </w:p>
    <w:p>
      <w:pPr>
        <w:spacing w:line="269" w:lineRule="auto" w:after="140"/>
      </w:pPr>
      <w:r>
        <w:t>Three questions guide evaluation: (RQ1) Can distinct image, text and audio models form a coherent resume-to-interview workflow? (RQ2) Can deterministic evidence labels and grounded quotations prevent unsupported changes while allowing useful guidance? (RQ3) Do authentication, ownership, credits and recovery controls work across the integrated path?</w:t>
      </w:r>
    </w:p>
    <w:p>
      <w:pPr>
        <w:pStyle w:val="Heading2"/>
      </w:pPr>
      <w:r>
        <w:rPr>
          <w:rFonts w:ascii="Arial" w:hAnsi="Arial" w:eastAsia="Arial"/>
          <w:color w:val="000000"/>
          <w:sz w:val="32"/>
        </w:rPr>
        <w:t>1.3 Scope and project template</w:t>
      </w:r>
    </w:p>
    <w:p>
      <w:pPr>
        <w:spacing w:line="269" w:lineRule="auto" w:after="140"/>
      </w:pPr>
      <w:r>
        <w:t>The confirmed template is CM3020 Artificial Intelligence, Project Idea 1, section 4.1: Orchestrating AI models to achieve a goal. Its final-product requirement is at least three pretrained models operating on different data types or domains, combined in a purposeful working system. KopiBridge AI uses gpt-4.1-mini for resume images, gpt-5.6-terra for text guidance and gpt-4o-mini-transcribe for interview audio. PDF.js and the deterministic matching engine are supporting software, not additional pretrained models. The same saved report connects the three model roles, rather than presenting independent demonstrations.</w:t>
      </w:r>
    </w:p>
    <w:p>
      <w:pPr>
        <w:spacing w:line="269" w:lineRule="auto" w:after="140"/>
      </w:pPr>
      <w:r>
        <w:t>The final scope includes selectable and scanned PDFs, image uploads, editable extracted text, local evidence analysis, guarded narrative guidance, short audio answers, reviewed transcripts and private interview feedback. Employer-side selection, speech-based personality assessment, automated applications, public reports and LLM-generated scores are excluded. The existing text product is deployed; the multimodal extension evaluated here runs locally against live providers and the approved hosted database migration. It has not been claimed as a newly deployed production release.</w:t>
      </w:r>
    </w:p>
    <w:p>
      <w:pPr>
        <w:spacing w:line="269" w:lineRule="auto" w:after="140"/>
      </w:pPr>
      <w:r>
        <w:br w:type="page"/>
      </w:r>
    </w:p>
    <w:p>
      <w:pPr>
        <w:pStyle w:val="Heading1"/>
        <w:pageBreakBefore/>
      </w:pPr>
      <w:r>
        <w:t>2. Literature Review (2036/2500 words)</w:t>
      </w:r>
    </w:p>
    <w:p>
      <w:pPr>
        <w:pStyle w:val="Heading2"/>
      </w:pPr>
      <w:r>
        <w:rPr>
          <w:rFonts w:ascii="Arial" w:hAnsi="Arial" w:eastAsia="Arial"/>
          <w:color w:val="000000"/>
          <w:sz w:val="32"/>
        </w:rPr>
        <w:t>2.1 Automated recruitment and the applicant perspective</w:t>
      </w:r>
    </w:p>
    <w:p>
      <w:pPr>
        <w:spacing w:line="269" w:lineRule="auto" w:after="140"/>
      </w:pPr>
      <w:r>
        <w:rPr>
          <w:rFonts w:ascii="Arial" w:hAnsi="Arial" w:eastAsia="Arial"/>
          <w:color w:val="000000"/>
          <w:sz w:val="22"/>
        </w:rPr>
        <w:t>Digital systems influence recruitment through advertising, sourcing, screening, assessment and ranking. Bogen and Rieke (2018) argue that predictive hiring technologies can reproduce institutional and structural bias and that numerical rankings may overstate small differences between applicants. Raghavan et al. (2020) similarly find a gap between vendors' fairness claims and the evidence or practices used to support them. These studies concern employer-side systems, whereas KopiBridge AI is an applicant-side support tool and does not recommend hiring decisions. Nevertheless, they expose two design risks that remain relevant: presenting a score with more authority than its method deserves, and concealing value judgements inside an opaque model.</w:t>
      </w:r>
    </w:p>
    <w:p>
      <w:pPr>
        <w:spacing w:line="269" w:lineRule="auto" w:after="140"/>
      </w:pPr>
      <w:r>
        <w:rPr>
          <w:rFonts w:ascii="Arial" w:hAnsi="Arial" w:eastAsia="Arial"/>
          <w:color w:val="000000"/>
          <w:sz w:val="22"/>
        </w:rPr>
        <w:t>KopiBridge AI addresses the first risk by labelling the overall result as an alignment estimate and explaining that it is not a prediction of hiring success. It addresses the second through requirement-level evidence and visible category weights. This does not make the method neutral. A curated skill list still encodes assumptions about which capabilities matter, and repeated terms are not equivalent to competence. Transparency therefore supports critique rather than proving fairness. The applicant-side orientation reduces the direct harm of automated rejection but can still influence whether a user applies, edits a resume or delays an application. Conservative language and contestable evidence are consequently necessary.</w:t>
      </w:r>
    </w:p>
    <w:p>
      <w:pPr>
        <w:spacing w:line="269" w:lineRule="auto" w:after="140"/>
      </w:pPr>
      <w:r>
        <w:rPr>
          <w:rFonts w:ascii="Arial" w:hAnsi="Arial" w:eastAsia="Arial"/>
          <w:color w:val="000000"/>
          <w:sz w:val="22"/>
        </w:rPr>
        <w:t>Commercial applicant tools often emphasise applicant-tracking-system compatibility, keyword coverage or document presentation. Those functions may help users communicate experience, but they can also collapse employability into textual similarity. KopiBridge AI adopts a different unit of value: defensible evidence. A missing requirement becomes either a reasonable optional advantage, a positioning issue, or a task through which proof can be created. This reframes optimisation as capability development rather than gaming an assumed screening mechanism.</w:t>
      </w:r>
    </w:p>
    <w:p>
      <w:pPr>
        <w:pStyle w:val="Heading2"/>
      </w:pPr>
      <w:r>
        <w:rPr>
          <w:rFonts w:ascii="Arial" w:hAnsi="Arial" w:eastAsia="Arial"/>
          <w:color w:val="000000"/>
          <w:sz w:val="32"/>
        </w:rPr>
        <w:t>2.2 Skills representation and resume-to-job matching</w:t>
      </w:r>
    </w:p>
    <w:p>
      <w:pPr>
        <w:spacing w:line="269" w:lineRule="auto" w:after="140"/>
      </w:pPr>
      <w:r>
        <w:rPr>
          <w:rFonts w:ascii="Arial" w:hAnsi="Arial" w:eastAsia="Arial"/>
          <w:color w:val="000000"/>
          <w:sz w:val="22"/>
        </w:rPr>
        <w:t>Occupational frameworks illustrate why role matching needs structure. ESCO organises occupations, skills, competences and qualifications, while the O</w:t>
      </w:r>
      <w:r>
        <w:rPr>
          <w:rFonts w:ascii="Arial" w:hAnsi="Arial" w:eastAsia="Arial"/>
          <w:i/>
          <w:color w:val="000000"/>
          <w:sz w:val="22"/>
        </w:rPr>
        <w:t>NET Content Model separates worker characteristics, worker requirements, experience requirements, occupational requirements and occupation-specific information (European Commission, n.d.; National Center for O</w:t>
      </w:r>
      <w:r>
        <w:rPr>
          <w:rFonts w:ascii="Arial" w:hAnsi="Arial" w:eastAsia="Arial"/>
          <w:color w:val="000000"/>
          <w:sz w:val="22"/>
        </w:rPr>
        <w:t>NET Development, n.d.). Both are substantially broader than the project requires, but they challenge an undifferentiated bag-of-keywords approach. A bachelor's degree, Python, stakeholder communication and deployment evidence are different kinds of requirements and should not be presented as interchangeable matches.</w:t>
      </w:r>
    </w:p>
    <w:p>
      <w:pPr>
        <w:spacing w:line="269" w:lineRule="auto" w:after="140"/>
      </w:pPr>
      <w:r>
        <w:rPr>
          <w:rFonts w:ascii="Arial" w:hAnsi="Arial" w:eastAsia="Arial"/>
          <w:color w:val="000000"/>
          <w:sz w:val="22"/>
        </w:rPr>
        <w:t>The current engine therefore uses a deliberately smaller taxonomy for junior AI-adjacent roles. Signals are grouped into technical skills, experience, tools, education and communication. Each signal contains aliases, adjacent terms, a category, a weight and an evidence-building action. The narrower taxonomy is easier to inspect and maintain, but has reduced coverage compared with ESCO or O*NET. It may omit a niche technology or interpret equivalent phrases inconsistently. The design accepts this trade-off for the present stage because explainability and reliable testing are more important than broad occupational coverage.</w:t>
      </w:r>
    </w:p>
    <w:p>
      <w:pPr>
        <w:spacing w:line="269" w:lineRule="auto" w:after="140"/>
      </w:pPr>
      <w:r>
        <w:rPr>
          <w:rFonts w:ascii="Arial" w:hAnsi="Arial" w:eastAsia="Arial"/>
          <w:color w:val="000000"/>
          <w:sz w:val="22"/>
        </w:rPr>
        <w:t>Contextual language models demonstrate how future matching could move beyond exact wording. BERT models tokens using bidirectional context and achieved strong results across multiple language-understanding tasks (Devlin et al., 2019). Sentence-BERT creates sentence embeddings that can be compared efficiently for semantic similarity (Reimers and Gurevych, 2019). In principle, embeddings could identify that “built a REST service” and “backend API development” express related experience. Such methods might improve recall where a rule-based matcher misses paraphrases.</w:t>
      </w:r>
    </w:p>
    <w:p>
      <w:pPr>
        <w:spacing w:line="269" w:lineRule="auto" w:after="140"/>
      </w:pPr>
      <w:r>
        <w:rPr>
          <w:rFonts w:ascii="Arial" w:hAnsi="Arial" w:eastAsia="Arial"/>
          <w:color w:val="000000"/>
          <w:sz w:val="22"/>
        </w:rPr>
        <w:t>Semantic similarity is not identical to evidential support, however. Two sentences may be close in meaning without establishing the depth, recency or context requested by an employer. An embedding could also create a false positive that is difficult for a user to challenge. For a career tool, false confidence may be more harmful than an obvious omission because it can encourage unsupported resume claims or weak interview preparation. The current engine consequently prefers conservative aliases and exposes matched snippets. A later hybrid approach could use semantic retrieval to propose candidate evidence while retaining deterministic thresholds, user confirmation and the three honesty labels.</w:t>
      </w:r>
    </w:p>
    <w:p>
      <w:pPr>
        <w:pStyle w:val="Heading2"/>
      </w:pPr>
      <w:r>
        <w:rPr>
          <w:rFonts w:ascii="Arial" w:hAnsi="Arial" w:eastAsia="Arial"/>
          <w:color w:val="000000"/>
          <w:sz w:val="32"/>
        </w:rPr>
        <w:t>2.3 Explainability, trust and evidence-calibrated guidance</w:t>
      </w:r>
    </w:p>
    <w:p>
      <w:pPr>
        <w:spacing w:line="269" w:lineRule="auto" w:after="140"/>
      </w:pPr>
      <w:r>
        <w:rPr>
          <w:rFonts w:ascii="Arial" w:hAnsi="Arial" w:eastAsia="Arial"/>
          <w:color w:val="000000"/>
          <w:sz w:val="22"/>
        </w:rPr>
        <w:t>Explainability literature distinguishes between producing an explanation and evaluating whether that explanation is appropriate for its audience and task. Guidotti et al. (2018) survey rule, feature, example and surrogate approaches for explaining black-box models. Doshi-Velez and Kim (2017) argue that interpretability lacks a single agreed definition and should be assessed through application-grounded or human-grounded evaluation when possible. This is important for KopiBridge AI because a technically traceable score is not automatically useful. A student needs to understand what was detected, why a gap matters and what to do next.</w:t>
      </w:r>
    </w:p>
    <w:p>
      <w:pPr>
        <w:spacing w:line="269" w:lineRule="auto" w:after="140"/>
      </w:pPr>
      <w:r>
        <w:rPr>
          <w:rFonts w:ascii="Arial" w:hAnsi="Arial" w:eastAsia="Arial"/>
          <w:color w:val="000000"/>
          <w:sz w:val="22"/>
        </w:rPr>
        <w:t>The evidence map operationalises explanation at requirement level. Strong, partial, weak and missing labels describe the amount of resume support, while Safe to add now, Reframe carefully and Needs proof first describe what action is ethically defensible. These are related but distinct dimensions: evidence strength describes the analysis; claim status governs the recommendation. For example, direct evidence of a deployed Next.js application may support clearer wording now, while an absent Docker signal should lead to a containerisation task rather than a rewritten claim.</w:t>
      </w:r>
    </w:p>
    <w:p>
      <w:pPr>
        <w:spacing w:line="269" w:lineRule="auto" w:after="140"/>
      </w:pPr>
      <w:r>
        <w:rPr>
          <w:rFonts w:ascii="Arial" w:hAnsi="Arial" w:eastAsia="Arial"/>
          <w:color w:val="000000"/>
          <w:sz w:val="22"/>
        </w:rPr>
        <w:t>This approach responds to two trust problems. First, a single score compresses heterogeneous evidence and can create false precision. Category scores and evidence snippets let the user inspect the composition of that score. Second, generative systems can produce fluent but unsupported advice. The local engine creates structured output from known rules, and resume rewrites are prohibited from inventing metrics or responsibilities. Fluency is deliberately secondary to grounding. The limitation is that rules can be rigid, and a polished interface may still make the output seem more authoritative than warranted. Repeated disclaimers alone are insufficient; future user testing must examine whether participants can accurately explain what the score does and does not mean.</w:t>
      </w:r>
    </w:p>
    <w:p>
      <w:pPr>
        <w:pStyle w:val="Heading2"/>
      </w:pPr>
      <w:r>
        <w:rPr>
          <w:rFonts w:ascii="Arial" w:hAnsi="Arial" w:eastAsia="Arial"/>
          <w:color w:val="000000"/>
          <w:sz w:val="32"/>
        </w:rPr>
        <w:t>2.4 Actionable career guidance and proof-building</w:t>
      </w:r>
    </w:p>
    <w:p>
      <w:pPr>
        <w:spacing w:line="269" w:lineRule="auto" w:after="140"/>
      </w:pPr>
      <w:r>
        <w:rPr>
          <w:rFonts w:ascii="Arial" w:hAnsi="Arial" w:eastAsia="Arial"/>
          <w:color w:val="000000"/>
          <w:sz w:val="22"/>
        </w:rPr>
        <w:t>Identifying a gap does not establish a useful intervention. Advice such as “improve cloud skills” leaves the learner to infer scope, sequence and evidence. KopiBridge AI instead expresses high-priority gaps as bounded artefacts: deploy one working project, add a Dockerfile and setup instructions, implement one test and error-handling path, or build a small retrieval demo only when retrieval is relevant to the role. This turns the report into a plan for producing observable evidence.</w:t>
      </w:r>
    </w:p>
    <w:p>
      <w:pPr>
        <w:spacing w:line="269" w:lineRule="auto" w:after="140"/>
      </w:pPr>
      <w:r>
        <w:rPr>
          <w:rFonts w:ascii="Arial" w:hAnsi="Arial" w:eastAsia="Arial"/>
          <w:color w:val="000000"/>
          <w:sz w:val="22"/>
        </w:rPr>
        <w:t>The roadmap is organised across today, this week, this month and longer term, while a complementary four-week view supports the original 30-day prototype. Short-term tasks improve the resume and audit existing skills; medium tasks build or strengthen one proof project; later tasks focus on deployment, documentation, testing, measurable evidence and application preparation. The design recognises that a student cannot manufacture professional tenure in thirty days. It therefore distinguishes a genuine experience gap from a project-sized technical gap and avoids implying that every requirement is mandatory.</w:t>
      </w:r>
    </w:p>
    <w:p>
      <w:pPr>
        <w:spacing w:line="269" w:lineRule="auto" w:after="140"/>
      </w:pPr>
      <w:r>
        <w:rPr>
          <w:rFonts w:ascii="Arial" w:hAnsi="Arial" w:eastAsia="Arial"/>
          <w:color w:val="000000"/>
          <w:sz w:val="22"/>
        </w:rPr>
        <w:t>Actionability also depends on effort and priority. Critical gaps include why the requirement matters, an estimated effort and a concrete next step. Optional advantages are kept below core requirements. Communication is not automatically assigned roadmap space when the resume already demonstrates it. This preserves limited attention for the highest-value actions. The main unresolved question is whether generated tasks are feasible for users with different schedules and levels of confidence. A longitudinal re-analysis after task completion would provide stronger evidence than a one-session satisfaction rating.</w:t>
      </w:r>
    </w:p>
    <w:p>
      <w:pPr>
        <w:pStyle w:val="Heading2"/>
      </w:pPr>
      <w:r>
        <w:rPr>
          <w:rFonts w:ascii="Arial" w:hAnsi="Arial" w:eastAsia="Arial"/>
          <w:color w:val="000000"/>
          <w:sz w:val="32"/>
        </w:rPr>
        <w:t>2.5 Human-centred design and usability evaluation</w:t>
      </w:r>
    </w:p>
    <w:p>
      <w:pPr>
        <w:spacing w:line="269" w:lineRule="auto" w:after="140"/>
      </w:pPr>
      <w:r>
        <w:rPr>
          <w:rFonts w:ascii="Arial" w:hAnsi="Arial" w:eastAsia="Arial"/>
          <w:color w:val="000000"/>
          <w:sz w:val="22"/>
        </w:rPr>
        <w:t>ISO 9241-210 describes human-centred design as an iterative process grounded in users, tasks and context across the system life cycle (ISO, 2019). Nielsen's heuristics provide more operational criteria, including visibility of system status, error prevention, user control, recognition rather than recall and aesthetic minimalist design (Nielsen, 1994). These principles suit a workflow in which users provide sensitive text, spend a limited credit and interpret a detailed report.</w:t>
      </w:r>
    </w:p>
    <w:p>
      <w:pPr>
        <w:spacing w:line="269" w:lineRule="auto" w:after="140"/>
      </w:pPr>
      <w:r>
        <w:rPr>
          <w:rFonts w:ascii="Arial" w:hAnsi="Arial" w:eastAsia="Arial"/>
          <w:color w:val="000000"/>
          <w:sz w:val="22"/>
        </w:rPr>
        <w:t>The interface applies these ideas through a guided three-stage input, visible credit status, editable role detection, validation before credit reservation, loading progress, recoverable errors and a report ordered by decision value. The top section answers the questions a user is most likely to ask first: how close is the document, what is already strong, what are the top gaps, and what should happen next. Detailed matches and resume improvements appear later to avoid a dense administrative dashboard. Mobile behaviour and print export are treated as core states rather than optional styling.</w:t>
      </w:r>
    </w:p>
    <w:p>
      <w:pPr>
        <w:spacing w:line="269" w:lineRule="auto" w:after="140"/>
      </w:pPr>
      <w:r>
        <w:rPr>
          <w:rFonts w:ascii="Arial" w:hAnsi="Arial" w:eastAsia="Arial"/>
          <w:color w:val="000000"/>
          <w:sz w:val="22"/>
        </w:rPr>
        <w:t>The System Usability Scale (SUS) offers a lightweight standardised questionnaire after task completion (Brooke, 1996), but SUS alone would not establish that recommendations are honest or understood. A suitable evaluation should combine task success, time, observed errors, comprehension questions, SUS and qualitative interviews. Example comprehension checks should ask participants whether a “Needs proof first” item belongs on the current resume and whether the overall percentage predicts recruitment success. This links interface quality directly to the project's ethical goals.</w:t>
      </w:r>
    </w:p>
    <w:p>
      <w:pPr>
        <w:pStyle w:val="Heading2"/>
      </w:pPr>
      <w:r>
        <w:rPr>
          <w:rFonts w:ascii="Arial" w:hAnsi="Arial" w:eastAsia="Arial"/>
          <w:color w:val="000000"/>
          <w:sz w:val="32"/>
        </w:rPr>
        <w:t>2.6 Privacy, security and trust boundaries</w:t>
      </w:r>
    </w:p>
    <w:p>
      <w:pPr>
        <w:spacing w:line="269" w:lineRule="auto" w:after="140"/>
      </w:pPr>
      <w:r>
        <w:t>Resume documents and interview answers can contain personal information. Selectable PDF text is extracted locally; scanned pages and audio require explicit consent before provider processing. KopiBridge does not persist those raw uploads. Reports retain short evidence excerpts and reviewed interview answers, so they remain personal data even though complete original documents are not stored. Deleting a report cascades to its interview feedback, while minimal usage events remain for quota enforcement. Provider retention is separate: disabling retrievable response storage is not a guarantee of zero provider retention.</w:t>
      </w:r>
    </w:p>
    <w:p>
      <w:pPr>
        <w:spacing w:line="269" w:lineRule="auto" w:after="140"/>
      </w:pPr>
      <w:r>
        <w:rPr>
          <w:rFonts w:ascii="Arial" w:hAnsi="Arial" w:eastAsia="Arial"/>
          <w:color w:val="000000"/>
          <w:sz w:val="22"/>
        </w:rPr>
        <w:t xml:space="preserve">Authentication and ownership are also relevant to trust. Supabase's server-side rendering guidance uses cookie-based sessions so server components and route handlers can resolve the current user (Supabase, n.d.-a). Row-level security policies can use </w:t>
      </w:r>
      <w:r>
        <w:rPr>
          <w:rFonts w:ascii="Courier New" w:hAnsi="Courier New" w:eastAsia="Courier New"/>
          <w:color w:val="000000"/>
          <w:sz w:val="21"/>
        </w:rPr>
        <w:t>auth.uid()</w:t>
      </w:r>
      <w:r>
        <w:rPr>
          <w:rFonts w:ascii="Arial" w:hAnsi="Arial" w:eastAsia="Arial"/>
          <w:color w:val="000000"/>
          <w:sz w:val="22"/>
        </w:rPr>
        <w:t xml:space="preserve"> to constrain rows to the authenticated owner (Supabase, n.d.-b). KopiBridge AI combines route-level checks with database policies so a client-supplied user identifier is never accepted as authority. OWASP recommends validating input from untrusted sources as early as possible (OWASP, n.d.); the analysis endpoint uses schema validation and limits before reserving a credit.</w:t>
      </w:r>
    </w:p>
    <w:p>
      <w:pPr>
        <w:spacing w:line="269" w:lineRule="auto" w:after="140"/>
      </w:pPr>
      <w:r>
        <w:rPr>
          <w:rFonts w:ascii="Arial" w:hAnsi="Arial" w:eastAsia="Arial"/>
          <w:color w:val="000000"/>
          <w:sz w:val="22"/>
        </w:rPr>
        <w:t>These controls reduce common failures but do not eliminate operational risk. Email delivery depends on external provider configuration, authentication libraries evolve, and database functions declared with elevated privileges require careful grants and fixed search paths. Security testing must therefore include direct endpoint calls and cross-user access, not only navigation through the interface.</w:t>
      </w:r>
    </w:p>
    <w:p>
      <w:pPr>
        <w:spacing w:line="269" w:lineRule="auto" w:after="140"/>
      </w:pPr>
      <w:r>
        <w:br w:type="page"/>
      </w:r>
    </w:p>
    <w:p>
      <w:pPr>
        <w:pStyle w:val="Heading2"/>
      </w:pPr>
      <w:r>
        <w:t>2.7 Multimodal extraction and human review</w:t>
      </w:r>
    </w:p>
    <w:p>
      <w:pPr>
        <w:spacing w:line="269" w:lineRule="auto" w:after="140"/>
      </w:pPr>
      <w:r>
        <w:t>Visual document understanding differs from parsing an existing text layer. Kim et al. (2022) introduce Donut as an OCR-free document-understanding transformer and identify costs and error propagation in OCR-dependent pipelines. This motivates evaluating page images as model inputs, but Donut was not implemented or benchmarked here. A hosted vision model was chosen to minimise separate infrastructure and use the existing provider boundary. The trade-off is external processing, variable cost and potential hallucinated text. A conventional local OCR engine remains a useful future baseline, not a tested rejected alternative.</w:t>
      </w:r>
    </w:p>
    <w:p>
      <w:pPr>
        <w:spacing w:line="269" w:lineRule="auto" w:after="140"/>
      </w:pPr>
      <w:r>
        <w:t>Radford et al. (2023) demonstrate broad speech-recognition capability from large-scale weak supervision. Their benchmark results justify considering pretrained transcription, not assuming it will accurately capture every applicant or technical term. KopiBridge compares two hosted transcription configurations using word error rate and latency, then requires user correction. Interview content is assessed as an unverified statement; neither accent nor vocal style is used to infer personality or employability. Synthetic speech is suitable for regression fixtures but insufficient for claims about accent fairness or real interview performance.</w:t>
      </w:r>
    </w:p>
    <w:p>
      <w:pPr>
        <w:spacing w:line="269" w:lineRule="auto" w:after="140"/>
      </w:pPr>
      <w:r>
        <w:t>Amershi et al. (2019) emphasise that human-AI interaction must accommodate imperfect predictions and support correction. The editable extraction and transcription stages apply that principle directly. OpenAI structured outputs constrain response shape (OpenAI, n.d.-c), but shape compliance alone cannot prove factual grounding. KopiBridge therefore combines schema validation with source-excerpt constraints and preserves deterministic claim labels. The model comparison must evaluate these application-specific properties, not only fluency. This synthesis supports separate measures for transcription fidelity, evidence invariants and user comprehension.</w:t>
      </w:r>
    </w:p>
    <w:p>
      <w:pPr>
        <w:pStyle w:val="Heading2"/>
      </w:pPr>
      <w:r>
        <w:t>2.8 Synthesis and project position</w:t>
      </w:r>
    </w:p>
    <w:p>
      <w:pPr>
        <w:spacing w:line="269" w:lineRule="auto" w:after="140"/>
      </w:pPr>
      <w:r>
        <w:rPr>
          <w:rFonts w:ascii="Arial" w:hAnsi="Arial" w:eastAsia="Arial"/>
          <w:color w:val="000000"/>
          <w:sz w:val="22"/>
        </w:rPr>
        <w:t>The literature identifies a design space rather than a single solution. Recruitment research warns against opaque rankings and inflated validity claims. Occupational models support structured categories. NLP research offers better semantic recall but introduces explanation and calibration challenges. Interpretability work shifts attention from the existence of reasons to their usefulness for a specific user. Human-centred design provides an evaluation framework, while security guidance establishes that sensitive, authenticated workflows require server-side trust boundaries.</w:t>
      </w:r>
    </w:p>
    <w:p>
      <w:pPr>
        <w:spacing w:line="269" w:lineRule="auto" w:after="140"/>
      </w:pPr>
      <w:r>
        <w:t>KopiBridge AI combines applicant-side evidence analysis with a multimodal preparation workflow. Its contribution is integration and constraint design, not training a new foundation model. The relevant test is whether pretrained capabilities improve access and preparation while keeping evidence, ownership and uncertainty visible. The following implementation and evaluation therefore distinguish software invariants, extraction accuracy, quotation grounding and user usefulness.</w:t>
      </w:r>
    </w:p>
    <w:p>
      <w:pPr>
        <w:spacing w:line="269" w:lineRule="auto" w:after="140"/>
      </w:pPr>
      <w:r>
        <w:br w:type="page"/>
      </w:r>
    </w:p>
    <w:p>
      <w:pPr>
        <w:pStyle w:val="Heading1"/>
        <w:pageBreakBefore/>
      </w:pPr>
      <w:r>
        <w:t>3. Design (1418/2000 words)</w:t>
      </w:r>
    </w:p>
    <w:p>
      <w:pPr>
        <w:pStyle w:val="Heading2"/>
      </w:pPr>
      <w:r>
        <w:rPr>
          <w:rFonts w:ascii="Arial" w:hAnsi="Arial" w:eastAsia="Arial"/>
          <w:color w:val="000000"/>
          <w:sz w:val="32"/>
        </w:rPr>
        <w:t>3.1 Users, needs and context</w:t>
      </w:r>
    </w:p>
    <w:p>
      <w:pPr>
        <w:spacing w:line="269" w:lineRule="auto" w:after="140"/>
      </w:pPr>
      <w:r>
        <w:rPr>
          <w:rFonts w:ascii="Arial" w:hAnsi="Arial" w:eastAsia="Arial"/>
          <w:color w:val="000000"/>
          <w:sz w:val="22"/>
        </w:rPr>
        <w:t>The primary persona is a final-year computing student or recent graduate applying for an AI-adjacent technical role. The user may have coursework, projects, hackathons or limited internship experience, but may not understand how those experiences map to a specific vacancy. They need a quick initial decision, detailed evidence they can inspect, and tasks that fit an early-career portfolio rather than advice that assumes access to production systems or professional authority.</w:t>
      </w:r>
    </w:p>
    <w:p>
      <w:pPr>
        <w:spacing w:line="269" w:lineRule="auto" w:after="140"/>
      </w:pPr>
      <w:r>
        <w:t>A representative user uploads a selectable PDF or scanned resume, reviews the extracted text, pastes a vacancy and confirms its role metadata. After generating a private report, the user reviews the most important gaps and chooses one interview question. A short recorded or uploaded answer is transcribed, corrected and submitted for feedback grounded in that report. The applicant can revisit the combined result or print it, and later repeat analysis after producing genuine new evidence.</w:t>
      </w:r>
    </w:p>
    <w:p>
      <w:pPr>
        <w:pStyle w:val="Heading2"/>
      </w:pPr>
      <w:r>
        <w:rPr>
          <w:rFonts w:ascii="Arial" w:hAnsi="Arial" w:eastAsia="Arial"/>
          <w:color w:val="000000"/>
          <w:sz w:val="32"/>
        </w:rPr>
        <w:t>3.2 Requirements and design priorities</w:t>
      </w:r>
    </w:p>
    <w:p>
      <w:pPr>
        <w:spacing w:line="269" w:lineRule="auto" w:after="140"/>
      </w:pPr>
      <w:r>
        <w:rPr>
          <w:rFonts w:ascii="Arial" w:hAnsi="Arial" w:eastAsia="Arial"/>
          <w:color w:val="000000"/>
          <w:sz w:val="22"/>
        </w:rPr>
        <w:t>The principal functional requirements are summarised in Table 1.</w:t>
      </w:r>
    </w:p>
    <w:tbl>
      <w:tblPr>
        <w:tblW w:type="dxa" w:w="9360"/>
        <w:jc w:val="left"/>
        <w:tblLayout w:type="fixed"/>
        <w:tblLook w:firstColumn="1" w:firstRow="1" w:lastColumn="0" w:lastRow="0" w:noHBand="0" w:noVBand="1" w:val="04A0"/>
        <w:tblInd w:w="0" w:type="dxa"/>
      </w:tblPr>
      <w:tblGrid>
        <w:gridCol w:w="1728"/>
        <w:gridCol w:w="3528"/>
        <w:gridCol w:w="4104"/>
      </w:tblGrid>
      <w:tr>
        <w:trPr>
          <w:cantSplit/>
          <w:tblHeader w:val="true"/>
          <w:cantSplit/>
          <w:tblHeader/>
          <w:cantSplit/>
        </w:trPr>
        <w:tc>
          <w:tcPr>
            <w:tcW w:type="dxa" w:w="1728"/>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Area</w:t>
            </w:r>
          </w:p>
        </w:tc>
        <w:tc>
          <w:tcPr>
            <w:tcW w:type="dxa" w:w="3528"/>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Required behaviour</w:t>
            </w:r>
          </w:p>
        </w:tc>
        <w:tc>
          <w:tcPr>
            <w:tcW w:type="dxa" w:w="4104"/>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Design rationale</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Identity</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Sign up, login, persistent session, reset and logout</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Private history requires a stable authenticated owner</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Input</w:t>
            </w:r>
          </w:p>
        </w:tc>
        <w:tc>
          <w:tcPr>
            <w:tcW w:type="dxa" w:w="3528"/>
            <w:tcMar>
              <w:top w:w="80" w:type="dxa"/>
              <w:start w:w="120" w:type="dxa"/>
              <w:bottom w:w="80" w:type="dxa"/>
              <w:end w:w="120" w:type="dxa"/>
            </w:tcMar>
            <w:vAlign w:val="top"/>
            <w:tcBorders>
              <w:bottom w:val="single" w:sz="4" w:color="DADCE0"/>
            </w:tcBorders>
          </w:tcPr>
          <w:p>
            <w:pPr>
              <w:spacing w:after="100"/>
            </w:pPr>
            <w:r>
              <w:rPr>
                <w:sz w:val="18"/>
              </w:rPr>
              <w:t>PDF/image, pasted text, role metadata and reviewed audio answer</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Supports realistic and reliable demo paths</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Analysis</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Structured deterministic report with grounded evidence</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Preserves inspectability and works without an LLM</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Credits</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Three accepted analyses per Singapore day</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Controls usage while remaining simple for students</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History</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Owner-only list, detail and deletion</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Supports reflection without public report links</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Export</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Browser print dialog and print-specific layout</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Produces a portable report without a second rendering service</w:t>
            </w:r>
          </w:p>
        </w:tc>
      </w:tr>
    </w:tbl>
    <w:p>
      <w:pPr>
        <w:pStyle w:val="Caption"/>
        <w:keepNext w:val="0"/>
        <w:spacing w:after="240"/>
        <w:jc w:val="left"/>
      </w:pPr>
      <w:r>
        <w:rPr>
          <w:rFonts w:ascii="Arial" w:hAnsi="Arial" w:eastAsia="Arial"/>
          <w:color w:val="555555"/>
          <w:sz w:val="18"/>
        </w:rPr>
        <w:t>Table 1. Principal functional requirements and design rationale.</w:t>
      </w:r>
    </w:p>
    <w:p>
      <w:pPr>
        <w:spacing w:line="269" w:lineRule="auto" w:after="140"/>
      </w:pPr>
      <w:r>
        <w:rPr>
          <w:rFonts w:ascii="Arial" w:hAnsi="Arial" w:eastAsia="Arial"/>
          <w:color w:val="000000"/>
          <w:sz w:val="22"/>
        </w:rPr>
        <w:t>Non-functional priorities are security, correctness, privacy, accessibility, responsiveness, maintainability and deployment reliability. Inputs must be treated as untrusted; validation failures must not consume credits; duplicate or concurrent submissions must not double-spend; internal failures must restore a reservation; and one user must never access another user's report. The product must also explain limitations without interrupting the core task.</w:t>
      </w:r>
    </w:p>
    <w:p>
      <w:pPr>
        <w:pStyle w:val="Heading2"/>
      </w:pPr>
      <w:r>
        <w:rPr>
          <w:rFonts w:ascii="Arial" w:hAnsi="Arial" w:eastAsia="Arial"/>
          <w:color w:val="000000"/>
          <w:sz w:val="32"/>
        </w:rPr>
        <w:t>3.3 Information architecture and interaction flow</w:t>
      </w:r>
    </w:p>
    <w:p>
      <w:pPr>
        <w:spacing w:line="269" w:lineRule="auto" w:after="140"/>
      </w:pPr>
      <w:r>
        <w:rPr>
          <w:rFonts w:ascii="Arial" w:hAnsi="Arial" w:eastAsia="Arial"/>
          <w:color w:val="000000"/>
          <w:sz w:val="22"/>
        </w:rPr>
        <w:t>Public pages explain the value before requesting registration. Authenticated navigation is deliberately small: Dashboard, New Analysis, History and Settings. The dashboard combines remaining credits, a primary action and recent reports. The analysis workspace uses three visible stages: resume evidence, target role and confirmation. The report detail page doubles as the saved-history view, avoiding duplicate report implementations.</w:t>
      </w:r>
    </w:p>
    <w:p>
      <w:pPr>
        <w:keepNext/>
        <w:spacing w:before="120" w:after="140" w:line="269" w:lineRule="auto"/>
        <w:jc w:val="center"/>
      </w:pPr>
      <w:r>
        <w:drawing>
          <wp:inline xmlns:a="http://schemas.openxmlformats.org/drawingml/2006/main" xmlns:pic="http://schemas.openxmlformats.org/drawingml/2006/picture">
            <wp:extent cx="5943600" cy="1891145"/>
            <wp:docPr id="1" name="Picture 1"/>
            <wp:cNvGraphicFramePr>
              <a:graphicFrameLocks noChangeAspect="1"/>
            </wp:cNvGraphicFramePr>
            <a:graphic>
              <a:graphicData uri="http://schemas.openxmlformats.org/drawingml/2006/picture">
                <pic:pic>
                  <pic:nvPicPr>
                    <pic:cNvPr id="0" name="figure-1-user-flow.png"/>
                    <pic:cNvPicPr/>
                  </pic:nvPicPr>
                  <pic:blipFill>
                    <a:blip r:embed="rId9"/>
                    <a:stretch>
                      <a:fillRect/>
                    </a:stretch>
                  </pic:blipFill>
                  <pic:spPr>
                    <a:xfrm>
                      <a:off x="0" y="0"/>
                      <a:ext cx="5943600" cy="1891145"/>
                    </a:xfrm>
                    <a:prstGeom prst="rect"/>
                  </pic:spPr>
                </pic:pic>
              </a:graphicData>
            </a:graphic>
          </wp:inline>
        </w:drawing>
      </w:r>
    </w:p>
    <w:p>
      <w:pPr>
        <w:pStyle w:val="Caption"/>
        <w:keepNext w:val="0"/>
        <w:spacing w:after="240"/>
        <w:jc w:val="center"/>
      </w:pPr>
      <w:r>
        <w:t>Figure 1. Primary user flow from public entry to a privately stored and printable report.</w:t>
      </w:r>
    </w:p>
    <w:p>
      <w:pPr>
        <w:spacing w:line="269" w:lineRule="auto" w:after="140"/>
      </w:pPr>
      <w:r>
        <w:rPr>
          <w:rFonts w:ascii="Arial" w:hAnsi="Arial" w:eastAsia="Arial"/>
          <w:color w:val="000000"/>
          <w:sz w:val="22"/>
        </w:rPr>
        <w:t>System status is visible throughout. Credit balance and reset policy appear before submission. The analysis button is disabled until required fields meet validation conditions. Loading communicates that the report is being built and duplicate submission is prevented. Recoverable network errors preserve the entered text. Zero credits produces a specific next-reset state instead of a generic error.</w:t>
      </w:r>
    </w:p>
    <w:p>
      <w:pPr>
        <w:pStyle w:val="Heading2"/>
      </w:pPr>
      <w:r>
        <w:rPr>
          <w:rFonts w:ascii="Arial" w:hAnsi="Arial" w:eastAsia="Arial"/>
          <w:color w:val="000000"/>
          <w:sz w:val="32"/>
        </w:rPr>
        <w:t>3.4 System architecture</w:t>
      </w:r>
    </w:p>
    <w:p>
      <w:pPr>
        <w:spacing w:line="269" w:lineRule="auto" w:after="140"/>
      </w:pPr>
      <w:r>
        <w:t>The architecture separates presentation, trusted server orchestration, deterministic domain logic, guarded language refinement and persistence. Next.js App Router pages and React components provide the public and authenticated interfaces. Browser code extracts PDF text and sends validated text to a Next.js route handler. The route resolves the trusted server session, reserves a credit, runs the local TypeScript engine first and constructs a complete structured report. When OpenAI is configured, a constrained server-only step receives bounded, redacted context and returns schema-validated narrative fields; a whitelist merge prevents it from changing scores, requirement evidence, gap severity or honesty labels. Failure returns the local result. Supabase Auth manages identity, while PostgreSQL row-level security and functions protect ownership and credit invariants.</w:t>
      </w:r>
    </w:p>
    <w:p>
      <w:pPr>
        <w:keepNext/>
        <w:spacing w:before="120" w:after="140" w:line="269" w:lineRule="auto"/>
        <w:jc w:val="center"/>
      </w:pPr>
      <w:r>
        <w:drawing>
          <wp:inline xmlns:a="http://schemas.openxmlformats.org/drawingml/2006/main" xmlns:pic="http://schemas.openxmlformats.org/drawingml/2006/picture">
            <wp:extent cx="5943600" cy="2836718"/>
            <wp:docPr id="2" name="Picture 2"/>
            <wp:cNvGraphicFramePr>
              <a:graphicFrameLocks noChangeAspect="1"/>
            </wp:cNvGraphicFramePr>
            <a:graphic>
              <a:graphicData uri="http://schemas.openxmlformats.org/drawingml/2006/picture">
                <pic:pic>
                  <pic:nvPicPr>
                    <pic:cNvPr id="0" name="figure-2-architecture.png"/>
                    <pic:cNvPicPr/>
                  </pic:nvPicPr>
                  <pic:blipFill>
                    <a:blip r:embed="rId10"/>
                    <a:stretch>
                      <a:fillRect/>
                    </a:stretch>
                  </pic:blipFill>
                  <pic:spPr>
                    <a:xfrm>
                      <a:off x="0" y="0"/>
                      <a:ext cx="5943600" cy="2836718"/>
                    </a:xfrm>
                    <a:prstGeom prst="rect"/>
                  </pic:spPr>
                </pic:pic>
              </a:graphicData>
            </a:graphic>
          </wp:inline>
        </w:drawing>
      </w:r>
    </w:p>
    <w:p>
      <w:pPr>
        <w:pStyle w:val="Caption"/>
        <w:keepNext w:val="0"/>
        <w:spacing w:after="240"/>
        <w:jc w:val="center"/>
      </w:pPr>
      <w:r>
        <w:t>Figure 2. KopiBridge AI component and trust-boundary architecture.</w:t>
      </w:r>
    </w:p>
    <w:p>
      <w:pPr>
        <w:spacing w:line="269" w:lineRule="auto" w:after="140"/>
      </w:pPr>
      <w:r>
        <w:t>Raw PDFs, images and audio are not persisted by KopiBridge. History contains report JSON and role metadata. Interview practice adds the selected question, reviewed transcript, structured feedback, source, model and timestamp. Audit records hold operation identifiers and Singapore usage dates, not raw media. These are deliberate retention boundaries, not a claim that the stored report is anonymous.</w:t>
      </w:r>
    </w:p>
    <w:p>
      <w:pPr>
        <w:pStyle w:val="Heading2"/>
      </w:pPr>
      <w:r>
        <w:rPr>
          <w:rFonts w:ascii="Arial" w:hAnsi="Arial" w:eastAsia="Arial"/>
          <w:color w:val="000000"/>
          <w:sz w:val="32"/>
        </w:rPr>
        <w:t>3.5 Analysis and report design</w:t>
      </w:r>
    </w:p>
    <w:p>
      <w:pPr>
        <w:spacing w:line="269" w:lineRule="auto" w:after="140"/>
      </w:pPr>
      <w:r>
        <w:t>The authoritative domain result is a typed AnalysisResult, not free-form HTML or unconstrained model output. Requirements are selected from a curated signal catalogue based on the job description. Resume evidence produces a strength label and numeric contribution. Category weighting creates an overall estimate; gaps are ranked by severity and requirement importance; and action templates are specialised according to the gap. Resume wording guidance follows the same evidence policy. The optional OpenAI response is also schema-validated and can only refine permitted narrative fields before the final AnalysisResult is stored.</w:t>
      </w:r>
    </w:p>
    <w:p>
      <w:pPr>
        <w:spacing w:line="269" w:lineRule="auto" w:after="140"/>
      </w:pPr>
      <w:r>
        <w:t>The report hierarchy reflects the ten-second comprehension goal. The fit estimate, role-fit explanation, existing strengths, critical gaps, priority actions and final recommendation appear before deeper evidence. The evidence checker is visually prominent because it supports safe decisions. The action roadmap and four-week proof plan translate gaps into concrete deliverables, followed by resume wording, interview preparation, score breakdown and requirement details. This is progressive disclosure through ordering rather than hidden navigation.</w:t>
      </w:r>
    </w:p>
    <w:p>
      <w:pPr>
        <w:spacing w:line="269" w:lineRule="auto" w:after="140"/>
      </w:pPr>
      <w:r>
        <w:rPr>
          <w:rFonts w:ascii="Arial" w:hAnsi="Arial" w:eastAsia="Arial"/>
          <w:color w:val="000000"/>
          <w:sz w:val="22"/>
        </w:rPr>
        <w:t>The visual system uses warm off-white page surfaces, white content areas, espresso typography, restrained coffee and moss accents, amber for partial evidence and clay red for higher risk. Cards use modest radii, light borders and controlled shadows. Typography and spacing create hierarchy without decorative effects associated with generic AI dashboards. The same semantic colours appear in badges, progress bars, empty states and print output.</w:t>
      </w:r>
    </w:p>
    <w:p>
      <w:pPr>
        <w:pStyle w:val="Heading2"/>
      </w:pPr>
      <w:r>
        <w:rPr>
          <w:rFonts w:ascii="Arial" w:hAnsi="Arial" w:eastAsia="Arial"/>
          <w:color w:val="000000"/>
          <w:sz w:val="32"/>
        </w:rPr>
        <w:t>3.6 Data and security design</w:t>
      </w:r>
    </w:p>
    <w:p>
      <w:pPr>
        <w:spacing w:line="269" w:lineRule="auto" w:after="140"/>
      </w:pPr>
      <w:r>
        <w:t>Five tables support the final workflow: analyses, daily_credit_balances, credit_transactions, model_operations and interview_practice. The original report and credit structures are preserved. New model-operation records enforce six daily attempts separately for vision, transcription and interview feedback; practice records reference both an owned report and accepted operation. Row-level security restricts reads and deletions to the owner. Raw upload storage is absent.</w:t>
      </w:r>
    </w:p>
    <w:p>
      <w:pPr>
        <w:spacing w:line="269" w:lineRule="auto" w:after="140"/>
      </w:pPr>
      <w:r>
        <w:rPr>
          <w:rFonts w:ascii="Arial" w:hAnsi="Arial" w:eastAsia="Arial"/>
          <w:color w:val="000000"/>
          <w:sz w:val="22"/>
        </w:rPr>
        <w:t xml:space="preserve">Credit operations are exposed through narrowly granted security-definer functions. </w:t>
      </w:r>
      <w:r>
        <w:rPr>
          <w:rFonts w:ascii="Courier New" w:hAnsi="Courier New" w:eastAsia="Courier New"/>
          <w:color w:val="000000"/>
          <w:sz w:val="21"/>
        </w:rPr>
        <w:t>reserve_analysis_credit</w:t>
      </w:r>
      <w:r>
        <w:rPr>
          <w:rFonts w:ascii="Arial" w:hAnsi="Arial" w:eastAsia="Arial"/>
          <w:color w:val="000000"/>
          <w:sz w:val="22"/>
        </w:rPr>
        <w:t xml:space="preserve"> derives the owner from </w:t>
      </w:r>
      <w:r>
        <w:rPr>
          <w:rFonts w:ascii="Courier New" w:hAnsi="Courier New" w:eastAsia="Courier New"/>
          <w:color w:val="000000"/>
          <w:sz w:val="21"/>
        </w:rPr>
        <w:t>auth.uid()</w:t>
      </w:r>
      <w:r>
        <w:rPr>
          <w:rFonts w:ascii="Arial" w:hAnsi="Arial" w:eastAsia="Arial"/>
          <w:color w:val="000000"/>
          <w:sz w:val="22"/>
        </w:rPr>
        <w:t xml:space="preserve">, locks the daily balance row, rejects a fourth use and records a unique reservation. </w:t>
      </w:r>
      <w:r>
        <w:rPr>
          <w:rFonts w:ascii="Courier New" w:hAnsi="Courier New" w:eastAsia="Courier New"/>
          <w:color w:val="000000"/>
          <w:sz w:val="21"/>
        </w:rPr>
        <w:t>store_completed_analysis</w:t>
      </w:r>
      <w:r>
        <w:rPr>
          <w:rFonts w:ascii="Arial" w:hAnsi="Arial" w:eastAsia="Arial"/>
          <w:color w:val="000000"/>
          <w:sz w:val="22"/>
        </w:rPr>
        <w:t xml:space="preserve"> writes the report against the matching reservation. </w:t>
      </w:r>
      <w:r>
        <w:rPr>
          <w:rFonts w:ascii="Courier New" w:hAnsi="Courier New" w:eastAsia="Courier New"/>
          <w:color w:val="000000"/>
          <w:sz w:val="21"/>
        </w:rPr>
        <w:t>refund_analysis_credit</w:t>
      </w:r>
      <w:r>
        <w:rPr>
          <w:rFonts w:ascii="Arial" w:hAnsi="Arial" w:eastAsia="Arial"/>
          <w:color w:val="000000"/>
          <w:sz w:val="22"/>
        </w:rPr>
        <w:t xml:space="preserve"> restores the balance and records a refund when processing fails. The API never accepts a client user ID. The idempotency key prevents a repeated request from creating a second deduction, while row locking serialises concurrent reservations.</w:t>
      </w:r>
    </w:p>
    <w:p>
      <w:pPr>
        <w:keepNext/>
        <w:spacing w:before="120" w:after="140" w:line="269" w:lineRule="auto"/>
        <w:jc w:val="center"/>
      </w:pPr>
      <w:r>
        <w:drawing>
          <wp:inline xmlns:a="http://schemas.openxmlformats.org/drawingml/2006/main" xmlns:pic="http://schemas.openxmlformats.org/drawingml/2006/picture">
            <wp:extent cx="5943600" cy="2215342"/>
            <wp:docPr id="3" name="Picture 3"/>
            <wp:cNvGraphicFramePr>
              <a:graphicFrameLocks noChangeAspect="1"/>
            </wp:cNvGraphicFramePr>
            <a:graphic>
              <a:graphicData uri="http://schemas.openxmlformats.org/drawingml/2006/picture">
                <pic:pic>
                  <pic:nvPicPr>
                    <pic:cNvPr id="0" name="figure-3-credit-model.png"/>
                    <pic:cNvPicPr/>
                  </pic:nvPicPr>
                  <pic:blipFill>
                    <a:blip r:embed="rId11"/>
                    <a:stretch>
                      <a:fillRect/>
                    </a:stretch>
                  </pic:blipFill>
                  <pic:spPr>
                    <a:xfrm>
                      <a:off x="0" y="0"/>
                      <a:ext cx="5943600" cy="2215342"/>
                    </a:xfrm>
                    <a:prstGeom prst="rect"/>
                  </pic:spPr>
                </pic:pic>
              </a:graphicData>
            </a:graphic>
          </wp:inline>
        </w:drawing>
      </w:r>
    </w:p>
    <w:p>
      <w:pPr>
        <w:pStyle w:val="Caption"/>
        <w:keepNext w:val="0"/>
        <w:spacing w:after="240"/>
        <w:jc w:val="center"/>
      </w:pPr>
      <w:r>
        <w:t>Figure 3. Atomic credit reservation, completion and refund states.</w:t>
      </w:r>
    </w:p>
    <w:p>
      <w:pPr>
        <w:spacing w:line="269" w:lineRule="auto" w:after="140"/>
      </w:pPr>
      <w:r>
        <w:br w:type="page"/>
      </w:r>
    </w:p>
    <w:p>
      <w:pPr>
        <w:pStyle w:val="Heading2"/>
      </w:pPr>
      <w:r>
        <w:rPr>
          <w:rFonts w:ascii="Arial" w:hAnsi="Arial" w:eastAsia="Arial"/>
          <w:color w:val="000000"/>
          <w:sz w:val="32"/>
        </w:rPr>
        <w:t>3.7 Workplan and feasibility</w:t>
      </w:r>
    </w:p>
    <w:tbl>
      <w:tblPr>
        <w:tblW w:type="dxa" w:w="9360"/>
        <w:jc w:val="left"/>
        <w:tblLayout w:type="fixed"/>
        <w:tblLook w:firstColumn="1" w:firstRow="1" w:lastColumn="0" w:lastRow="0" w:noHBand="0" w:noVBand="1" w:val="04A0"/>
        <w:tblInd w:w="0" w:type="dxa"/>
      </w:tblPr>
      <w:tblGrid>
        <w:gridCol w:w="1728"/>
        <w:gridCol w:w="3528"/>
        <w:gridCol w:w="4104"/>
      </w:tblGrid>
      <w:tr>
        <w:trPr>
          <w:cantSplit/>
          <w:tblHeader w:val="true"/>
          <w:cantSplit/>
          <w:tblHeader/>
          <w:cantSplit/>
        </w:trPr>
        <w:tc>
          <w:tcPr>
            <w:tcW w:type="dxa" w:w="1728"/>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Phase</w:t>
            </w:r>
          </w:p>
        </w:tc>
        <w:tc>
          <w:tcPr>
            <w:tcW w:type="dxa" w:w="3528"/>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Main work</w:t>
            </w:r>
          </w:p>
        </w:tc>
        <w:tc>
          <w:tcPr>
            <w:tcW w:type="dxa" w:w="4104"/>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Evidence of completion or next output</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Foundation</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Local analysis, PDF extraction, report and print</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Implemented Stage 1 prototype and preliminary evaluation</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Productisation</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Auth, credits, private history, validation, responsive product UI</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Implemented and deployed with migrations and tests</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Evaluation</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Automated checks, security scenarios, heuristic review</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Automated and authenticated QA completed; user study pending</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Final refinement</w:t>
            </w:r>
          </w:p>
        </w:tc>
        <w:tc>
          <w:tcPr>
            <w:tcW w:type="dxa" w:w="3528"/>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User study, signal tuning, accessibility and report revision</w:t>
            </w:r>
          </w:p>
        </w:tc>
        <w:tc>
          <w:tcPr>
            <w:tcW w:type="dxa" w:w="4104"/>
            <w:tcMar>
              <w:top w:w="80" w:type="dxa"/>
              <w:start w:w="120" w:type="dxa"/>
              <w:bottom w:w="80" w:type="dxa"/>
              <w:end w:w="120" w:type="dxa"/>
            </w:tcMar>
            <w:vAlign w:val="top"/>
            <w:tcBorders>
              <w:bottom w:val="single" w:sz="4" w:color="DADCE0"/>
            </w:tcBorders>
          </w:tcPr>
          <w:p>
            <w:pPr>
              <w:spacing w:before="0" w:after="100" w:line="276" w:lineRule="auto"/>
            </w:pPr>
            <w:r>
              <w:rPr>
                <w:rFonts w:ascii="Arial" w:hAnsi="Arial" w:eastAsia="Arial"/>
                <w:color w:val="000000"/>
                <w:sz w:val="18"/>
              </w:rPr>
              <w:t>Planned from evaluation findings</w:t>
            </w:r>
          </w:p>
        </w:tc>
      </w:tr>
      <w:tr>
        <w:trPr>
          <w:cantSplit/>
          <w:cantSplit/>
        </w:trPr>
        <w:tc>
          <w:tcPr>
            <w:tcW w:type="dxa" w:w="1728"/>
            <w:tcMar>
              <w:top w:w="80" w:type="dxa"/>
              <w:start w:w="120" w:type="dxa"/>
              <w:bottom w:w="80" w:type="dxa"/>
              <w:end w:w="120" w:type="dxa"/>
            </w:tcMar>
            <w:vAlign w:val="top"/>
            <w:tcBorders>
              <w:bottom w:val="single" w:sz="4" w:color="DADCE0"/>
            </w:tcBorders>
          </w:tcPr>
          <w:p>
            <w:pPr>
              <w:spacing w:after="100"/>
            </w:pPr>
            <w:r>
              <w:rPr>
                <w:sz w:val="18"/>
              </w:rPr>
            </w:r>
            <w:r>
              <w:rPr>
                <w:rFonts w:ascii="Arial" w:hAnsi="Arial"/>
                <w:b w:val="0"/>
                <w:sz w:val="18"/>
              </w:rPr>
              <w:t>Language refinement</w:t>
            </w:r>
          </w:p>
        </w:tc>
        <w:tc>
          <w:tcPr>
            <w:tcW w:type="dxa" w:w="3528"/>
            <w:tcMar>
              <w:top w:w="80" w:type="dxa"/>
              <w:start w:w="120" w:type="dxa"/>
              <w:bottom w:w="80" w:type="dxa"/>
              <w:end w:w="120" w:type="dxa"/>
            </w:tcMar>
            <w:vAlign w:val="top"/>
            <w:tcBorders>
              <w:bottom w:val="single" w:sz="4" w:color="DADCE0"/>
            </w:tcBorders>
          </w:tcPr>
          <w:p>
            <w:pPr>
              <w:spacing w:after="100"/>
            </w:pPr>
            <w:r>
              <w:rPr>
                <w:sz w:val="18"/>
              </w:rPr>
            </w:r>
            <w:r>
              <w:rPr>
                <w:rFonts w:ascii="Arial" w:hAnsi="Arial"/>
                <w:b w:val="0"/>
                <w:sz w:val="18"/>
              </w:rPr>
              <w:t>Guarded OpenAI narrative refinement after deterministic analysis</w:t>
            </w:r>
          </w:p>
        </w:tc>
        <w:tc>
          <w:tcPr>
            <w:tcW w:type="dxa" w:w="4104"/>
            <w:tcMar>
              <w:top w:w="80" w:type="dxa"/>
              <w:start w:w="120" w:type="dxa"/>
              <w:bottom w:w="80" w:type="dxa"/>
              <w:end w:w="120" w:type="dxa"/>
            </w:tcMar>
            <w:vAlign w:val="top"/>
            <w:tcBorders>
              <w:bottom w:val="single" w:sz="4" w:color="DADCE0"/>
            </w:tcBorders>
          </w:tcPr>
          <w:p>
            <w:pPr>
              <w:spacing w:after="100"/>
            </w:pPr>
            <w:r>
              <w:rPr>
                <w:sz w:val="18"/>
              </w:rPr>
            </w:r>
            <w:r>
              <w:rPr>
                <w:rFonts w:ascii="Arial" w:hAnsi="Arial"/>
                <w:b w:val="0"/>
                <w:sz w:val="18"/>
              </w:rPr>
              <w:t>Implemented; cannot change scores, evidence, severity or honesty labels</w:t>
            </w:r>
          </w:p>
        </w:tc>
      </w:tr>
      <w:tr>
        <w:trPr>
          <w:cantSplit/>
        </w:trPr>
        <w:tc>
          <w:tcPr>
            <w:tcW w:type="dxa" w:w="1728"/>
          </w:tcPr>
          <w:p>
            <w:pPr>
              <w:spacing w:after="100"/>
            </w:pPr>
            <w:r>
              <w:rPr>
                <w:sz w:val="18"/>
              </w:rPr>
              <w:t>Multimodal integration</w:t>
            </w:r>
          </w:p>
        </w:tc>
        <w:tc>
          <w:tcPr>
            <w:tcW w:type="dxa" w:w="3528"/>
          </w:tcPr>
          <w:p>
            <w:pPr>
              <w:spacing w:after="100"/>
            </w:pPr>
            <w:r>
              <w:rPr>
                <w:sz w:val="18"/>
              </w:rPr>
              <w:t>Vision extraction, transcription, grounded feedback</w:t>
            </w:r>
          </w:p>
        </w:tc>
        <w:tc>
          <w:tcPr>
            <w:tcW w:type="dxa" w:w="4104"/>
          </w:tcPr>
          <w:p>
            <w:pPr>
              <w:spacing w:after="100"/>
            </w:pPr>
            <w:r>
              <w:rPr>
                <w:sz w:val="18"/>
              </w:rPr>
              <w:t>Implemented and locally tested; migration applied</w:t>
            </w:r>
          </w:p>
        </w:tc>
      </w:tr>
      <w:tr>
        <w:trPr>
          <w:cantSplit/>
        </w:trPr>
        <w:tc>
          <w:tcPr>
            <w:tcW w:type="dxa" w:w="1728"/>
          </w:tcPr>
          <w:p>
            <w:pPr>
              <w:spacing w:after="100"/>
            </w:pPr>
            <w:r>
              <w:rPr>
                <w:sz w:val="18"/>
              </w:rPr>
              <w:t>Submission</w:t>
            </w:r>
          </w:p>
        </w:tc>
        <w:tc>
          <w:tcPr>
            <w:tcW w:type="dxa" w:w="3528"/>
          </w:tcPr>
          <w:p>
            <w:pPr>
              <w:spacing w:after="100"/>
            </w:pPr>
            <w:r>
              <w:rPr>
                <w:sz w:val="18"/>
              </w:rPr>
              <w:t>Final report, screenshots, comparison and limitations</w:t>
            </w:r>
          </w:p>
        </w:tc>
        <w:tc>
          <w:tcPr>
            <w:tcW w:type="dxa" w:w="4104"/>
          </w:tcPr>
          <w:p>
            <w:pPr>
              <w:spacing w:after="100"/>
            </w:pPr>
            <w:r>
              <w:rPr>
                <w:sz w:val="18"/>
              </w:rPr>
              <w:t>Measured evidence; deployment still separate</w:t>
            </w:r>
          </w:p>
        </w:tc>
      </w:tr>
    </w:tbl>
    <w:p>
      <w:pPr>
        <w:pStyle w:val="Caption"/>
        <w:keepNext w:val="0"/>
        <w:spacing w:after="240"/>
        <w:jc w:val="left"/>
      </w:pPr>
      <w:r>
        <w:rPr>
          <w:rFonts w:ascii="Arial" w:hAnsi="Arial" w:eastAsia="Arial"/>
          <w:color w:val="555555"/>
          <w:sz w:val="18"/>
        </w:rPr>
        <w:t>Table 2. Project workplan and current status.</w:t>
      </w:r>
    </w:p>
    <w:p>
      <w:pPr>
        <w:spacing w:line="269" w:lineRule="auto" w:after="140"/>
      </w:pPr>
      <w:r>
        <w:t>The workplan progressed from the local engine to product infrastructure, guarded text refinement and multimodal integration. The approved additive migration and local integration tests complete the implemented scope. Deployment of the new extension, representative human evaluation and stronger provider-independent validation remain distinct next steps. No unrecorded tutor feedback or participant study is assumed; the revised scope follows the confirmed section 4.1 template and observed test failures.</w:t>
      </w:r>
    </w:p>
    <w:p>
      <w:pPr>
        <w:pStyle w:val="Heading2"/>
      </w:pPr>
      <w:r>
        <w:rPr>
          <w:rFonts w:ascii="Arial" w:hAnsi="Arial" w:eastAsia="Arial"/>
          <w:color w:val="000000"/>
          <w:sz w:val="32"/>
        </w:rPr>
        <w:t>3.8 Ethical considerations</w:t>
      </w:r>
    </w:p>
    <w:p>
      <w:pPr>
        <w:spacing w:line="269" w:lineRule="auto" w:after="140"/>
      </w:pPr>
      <w:r>
        <w:rPr>
          <w:rFonts w:ascii="Arial" w:hAnsi="Arial" w:eastAsia="Arial"/>
          <w:color w:val="000000"/>
          <w:sz w:val="22"/>
        </w:rPr>
        <w:t>The product is designed to support, not replace, user judgement. It does not rank people for employers, guarantee outcomes or infer protected characteristics. Scores are estimates of textual and evidential alignment. Users can edit inputs, inspect evidence and delete stored reports. Recommendations explicitly discourage bluffing and invented metrics.</w:t>
      </w:r>
    </w:p>
    <w:p>
      <w:pPr>
        <w:spacing w:line="269" w:lineRule="auto" w:after="140"/>
      </w:pPr>
      <w:r>
        <w:rPr>
          <w:rFonts w:ascii="Arial" w:hAnsi="Arial" w:eastAsia="Arial"/>
          <w:color w:val="000000"/>
          <w:sz w:val="22"/>
        </w:rPr>
        <w:t>Bias can still enter through the signal catalogue, category weights and choice of “typical” junior roles. English-language resumes and conventional project evidence are privileged by the current design. A future review should include diverse resume formats, educational pathways and communication styles. Clear limitations, conservative matching and user control reduce harm but do not remove the need for empirical evaluation.</w:t>
      </w:r>
    </w:p>
    <w:p>
      <w:pPr>
        <w:spacing w:line="269" w:lineRule="auto" w:after="140"/>
      </w:pPr>
      <w:r>
        <w:br w:type="page"/>
      </w:r>
    </w:p>
    <w:p>
      <w:pPr>
        <w:pStyle w:val="Heading2"/>
      </w:pPr>
      <w:r>
        <w:t>3.9 Integrated model orchestration</w:t>
      </w:r>
    </w:p>
    <w:p>
      <w:pPr>
        <w:spacing w:line="269" w:lineRule="auto" w:after="140"/>
      </w:pPr>
      <w:r>
        <w:t>Figure 4 shows the final information flow. The vision model supplies editable text rather than an employment judgement. The text model refines a precomputed report, and the audio model supplies a transcript rather than a score. The reviewed transcript and selected question then return to the text model with the same report evidence. This dependency makes the modalities serve one goal: turning an existing application into a defensible account of readiness.</w:t>
      </w:r>
    </w:p>
    <w:p>
      <w:pPr>
        <w:spacing w:line="269" w:lineRule="auto" w:after="140"/>
      </w:pPr>
      <w:r>
        <w:t>Each media endpoint authenticates independently, checks ownership where a report is involved, validates payload bounds and reserves an operation. An advisory transaction lock serialises each user and operation kind; a unique user-kind-request key prevents repeated charging of the same operation. Six attempts per kind per Singapore day are distinct from three full analyses. Failed media attempts count towards the limit to prevent unlimited provider retries. This policy is disclosed before submission and does not refund or alter full-analysis credits.</w:t>
      </w:r>
    </w:p>
    <w:p>
      <w:pPr>
        <w:keepNext/>
        <w:spacing w:line="269" w:lineRule="auto" w:after="140"/>
      </w:pPr>
      <w:r>
        <w:drawing>
          <wp:inline xmlns:a="http://schemas.openxmlformats.org/drawingml/2006/main" xmlns:pic="http://schemas.openxmlformats.org/drawingml/2006/picture">
            <wp:extent cx="5760720" cy="3328416"/>
            <wp:docPr id="26" name="Picture 26"/>
            <wp:cNvGraphicFramePr>
              <a:graphicFrameLocks noChangeAspect="1"/>
            </wp:cNvGraphicFramePr>
            <a:graphic>
              <a:graphicData uri="http://schemas.openxmlformats.org/drawingml/2006/picture">
                <pic:pic>
                  <pic:nvPicPr>
                    <pic:cNvPr id="0" name="model-pipeline.png"/>
                    <pic:cNvPicPr/>
                  </pic:nvPicPr>
                  <pic:blipFill>
                    <a:blip r:embed="rId46"/>
                    <a:stretch>
                      <a:fillRect/>
                    </a:stretch>
                  </pic:blipFill>
                  <pic:spPr>
                    <a:xfrm>
                      <a:off x="0" y="0"/>
                      <a:ext cx="5760720" cy="3328416"/>
                    </a:xfrm>
                    <a:prstGeom prst="rect"/>
                  </pic:spPr>
                </pic:pic>
              </a:graphicData>
            </a:graphic>
          </wp:inline>
        </w:drawing>
      </w:r>
    </w:p>
    <w:p>
      <w:pPr>
        <w:pStyle w:val="Caption"/>
        <w:keepNext w:val="0"/>
        <w:spacing w:after="240"/>
      </w:pPr>
      <w:r>
        <w:t>Figure 4. Final three-model workflow and its deterministic evidence boundary.</w:t>
      </w:r>
    </w:p>
    <w:p>
      <w:pPr>
        <w:pStyle w:val="Heading1"/>
        <w:pageBreakBefore/>
      </w:pPr>
      <w:r>
        <w:t>4. Implementation (1982/2500 words)</w:t>
      </w:r>
    </w:p>
    <w:p>
      <w:pPr>
        <w:pStyle w:val="Heading2"/>
      </w:pPr>
      <w:r>
        <w:rPr>
          <w:rFonts w:ascii="Arial" w:hAnsi="Arial" w:eastAsia="Arial"/>
          <w:color w:val="000000"/>
          <w:sz w:val="32"/>
        </w:rPr>
        <w:t>4.1 Technology stack and project structure</w:t>
      </w:r>
    </w:p>
    <w:p>
      <w:pPr>
        <w:spacing w:line="269" w:lineRule="auto" w:after="140"/>
      </w:pPr>
      <w:r>
        <w:t>KopiBridge AI is implemented in TypeScript with Next.js 16 and React 19. Tailwind CSS supplies utility styling, PDF.js extracts text from uploaded PDFs, Zod validates analysis requests and model responses, Lucide provides interface icons, and the OpenAI SDK supports guarded narrative refinement. Supabase contributes email/password authentication, server-side session support and hosted PostgreSQL. Vitest covers deterministic logic, model guardrails and migration contracts; Playwright covers browser flows. The application is deployed on Vercel and remains a single Next.js codebase rather than being divided into premature services.</w:t>
      </w:r>
    </w:p>
    <w:p>
      <w:pPr>
        <w:spacing w:line="269" w:lineRule="auto" w:after="140"/>
      </w:pPr>
      <w:r>
        <w:t>The App Router divides public, authentication and protected product routes. Shared components implement the branded shell, inputs, credit status, history and report. Domain modules under lib/ contain analysis, scoring, validation, authentication, guarded OpenAI refinement, history and credit behaviour. This separation keeps the deterministic engine independent from the report interface, provider and database. The types/analysis.ts contract defines every report section, allowing server, database and UI code to exchange structured data rather than generated markup.</w:t>
      </w:r>
    </w:p>
    <w:p>
      <w:pPr>
        <w:pStyle w:val="Heading2"/>
      </w:pPr>
      <w:r>
        <w:rPr>
          <w:rFonts w:ascii="Arial" w:hAnsi="Arial" w:eastAsia="Arial"/>
          <w:color w:val="000000"/>
          <w:sz w:val="32"/>
        </w:rPr>
        <w:t>4.2 Resume input and PDF extraction</w:t>
      </w:r>
    </w:p>
    <w:p>
      <w:pPr>
        <w:spacing w:line="269" w:lineRule="auto" w:after="140"/>
      </w:pPr>
      <w:r>
        <w:t>ResumeUpload accepts PDF, PNG, JPEG and WebP with an 8MB client limit. PDF.js first attempts selectable-text extraction for up to twenty pages. A low-text PDF offers consented image reading for at most three pages. Pages are rasterised in-browser and bounded before transmission. The server validates format signatures, payload length and consent, then calls the vision model. Extracted text remains editable and warnings are shown. An upload control is disabled until hydration so an early selection cannot be lost before its event handler is ready.</w:t>
      </w:r>
    </w:p>
    <w:p>
      <w:pPr>
        <w:spacing w:line="269" w:lineRule="auto" w:after="140"/>
      </w:pPr>
      <w:r>
        <w:t>This retains the low-cost selectable-PDF path while adding a meaningful vision requirement. Image requests have a 3.8MB server-body limit and are read incrementally, including when Content-Length is absent. Raw file data is transient. A sample and pasted text remain alternatives when extraction fails. Selecting a new valid file clears the prior text to avoid accidentally analysing a different resume; a failed analysis request, by contrast, preserves the current input.</w:t>
      </w:r>
    </w:p>
    <w:p>
      <w:pPr>
        <w:pStyle w:val="Heading2"/>
      </w:pPr>
      <w:r>
        <w:rPr>
          <w:rFonts w:ascii="Arial" w:hAnsi="Arial" w:eastAsia="Arial"/>
          <w:color w:val="000000"/>
          <w:sz w:val="32"/>
        </w:rPr>
        <w:t>4.3 Deterministic analysis engine</w:t>
      </w:r>
    </w:p>
    <w:p>
      <w:pPr>
        <w:spacing w:line="269" w:lineRule="auto" w:after="140"/>
      </w:pPr>
      <w:r>
        <w:rPr>
          <w:rFonts w:ascii="Arial" w:hAnsi="Arial" w:eastAsia="Arial"/>
          <w:color w:val="000000"/>
          <w:sz w:val="22"/>
        </w:rPr>
        <w:t>The core function has a stable typed boundary:</w:t>
      </w:r>
    </w:p>
    <w:p>
      <w:pPr>
        <w:spacing w:before="80" w:after="140" w:line="269" w:lineRule="auto"/>
        <w:ind w:left="360" w:right="360"/>
        <w:shd w:fill="F8F9FA"/>
      </w:pPr>
      <w:r>
        <w:rPr>
          <w:rFonts w:ascii="Courier New" w:hAnsi="Courier New" w:eastAsia="Courier New"/>
          <w:color w:val="000000"/>
          <w:sz w:val="18"/>
        </w:rPr>
        <w:t>analyseResumeAgainstJob(</w:t>
        <w:br/>
        <w:t xml:space="preserve">  resumeText: string,</w:t>
        <w:br/>
        <w:t xml:space="preserve">  jobDescription: string,</w:t>
        <w:br/>
        <w:t>): AnalysisResult</w:t>
      </w:r>
    </w:p>
    <w:p>
      <w:pPr>
        <w:spacing w:line="269" w:lineRule="auto" w:after="140"/>
      </w:pPr>
      <w:r>
        <w:rPr>
          <w:rFonts w:ascii="Arial" w:hAnsi="Arial" w:eastAsia="Arial"/>
          <w:color w:val="000000"/>
          <w:sz w:val="22"/>
        </w:rPr>
        <w:t>The engine normalises text, detects job requirements from the curated signal catalogue and supplies a conservative default set if a broad description yields too few signals. For each relevant signal it counts direct aliases and related terms in the resume and captures a supporting snippet where possible. Evidence is mapped to Strong, Partial, Weak or Missing. The corresponding contribution values are 100, 72, 35 and 0. These values are heuristics rather than learned probabilities.</w:t>
      </w:r>
    </w:p>
    <w:p>
      <w:pPr>
        <w:spacing w:line="269" w:lineRule="auto" w:after="140"/>
      </w:pPr>
      <w:r>
        <w:rPr>
          <w:rFonts w:ascii="Arial" w:hAnsi="Arial" w:eastAsia="Arial"/>
          <w:color w:val="000000"/>
          <w:sz w:val="22"/>
        </w:rPr>
        <w:t>Category scores are weighted by the relevant requirements within each category. The final estimate combines skills at 35%, experience at 26%, tools at 20%, education at 12% and communication at 7%, redistributing effectively when no requirement exists in a category. A score at or above 82 is labelled Strong Match, 68-81 Good Match, 50-67 Developing Match and below 50 Early Match. The interface always presents the result as resume-to-role alignment.</w:t>
      </w:r>
    </w:p>
    <w:p>
      <w:pPr>
        <w:spacing w:line="269" w:lineRule="auto" w:after="140"/>
      </w:pPr>
      <w:r>
        <w:rPr>
          <w:rFonts w:ascii="Arial" w:hAnsi="Arial" w:eastAsia="Arial"/>
          <w:color w:val="000000"/>
          <w:sz w:val="22"/>
        </w:rPr>
        <w:t>Gap construction separates absence, weak evidence, experience deficits, positioning problems and optional advantages. Missing items become high priority, weak items medium and partial items low unless another rule raises their importance. Priority actions take the highest-weighted gaps and attach estimated effort and proof-building language. Roadmap generation then uses the actual gap identifiers: Docker creates a containerisation task, deployment creates a live deployment task, testing creates an implemented test or error-handling task, and RAG creates an optional small retrieval demo only when the target description requires it.</w:t>
      </w:r>
    </w:p>
    <w:p>
      <w:pPr>
        <w:spacing w:line="269" w:lineRule="auto" w:after="140"/>
      </w:pPr>
      <w:r>
        <w:rPr>
          <w:rFonts w:ascii="Arial" w:hAnsi="Arial" w:eastAsia="Arial"/>
          <w:color w:val="000000"/>
          <w:sz w:val="22"/>
        </w:rPr>
        <w:t>Resume recommendations do not interpolate invented achievements. Existing evidence can be marked Safe to add now, adjacent experience becomes Reframe carefully, and absent evidence becomes Needs proof first. Suggested bullets preserve the original experience and explicitly request a verified result where a measurement would strengthen the statement. Interview questions are generated from the target role and highest-priority gaps, including items the user should not bluff about.</w:t>
      </w:r>
    </w:p>
    <w:p>
      <w:pPr>
        <w:keepNext/>
        <w:spacing w:before="120" w:after="140" w:line="269" w:lineRule="auto"/>
        <w:jc w:val="center"/>
      </w:pPr>
      <w:r>
        <w:drawing>
          <wp:inline xmlns:a="http://schemas.openxmlformats.org/drawingml/2006/main" xmlns:pic="http://schemas.openxmlformats.org/drawingml/2006/picture">
            <wp:extent cx="5943600" cy="2269375"/>
            <wp:docPr id="4" name="Picture 4"/>
            <wp:cNvGraphicFramePr>
              <a:graphicFrameLocks noChangeAspect="1"/>
            </wp:cNvGraphicFramePr>
            <a:graphic>
              <a:graphicData uri="http://schemas.openxmlformats.org/drawingml/2006/picture">
                <pic:pic>
                  <pic:nvPicPr>
                    <pic:cNvPr id="0" name="figure-4-analysis-pipeline.png"/>
                    <pic:cNvPicPr/>
                  </pic:nvPicPr>
                  <pic:blipFill>
                    <a:blip r:embed="rId12"/>
                    <a:stretch>
                      <a:fillRect/>
                    </a:stretch>
                  </pic:blipFill>
                  <pic:spPr>
                    <a:xfrm>
                      <a:off x="0" y="0"/>
                      <a:ext cx="5943600" cy="2269375"/>
                    </a:xfrm>
                    <a:prstGeom prst="rect"/>
                  </pic:spPr>
                </pic:pic>
              </a:graphicData>
            </a:graphic>
          </wp:inline>
        </w:drawing>
      </w:r>
    </w:p>
    <w:p>
      <w:pPr>
        <w:pStyle w:val="Caption"/>
        <w:keepNext w:val="0"/>
        <w:spacing w:after="240"/>
        <w:jc w:val="center"/>
      </w:pPr>
      <w:r>
        <w:t>Figure 5. Deterministic transformation from untrusted text to a structured evidence-led report.</w:t>
      </w:r>
    </w:p>
    <w:p>
      <w:pPr>
        <w:pStyle w:val="Heading2"/>
      </w:pPr>
      <w:r>
        <w:t>4.4 Guarded OpenAI guidance layer</w:t>
      </w:r>
    </w:p>
    <w:p>
      <w:pPr>
        <w:spacing w:line="269" w:lineRule="auto" w:after="140"/>
      </w:pPr>
      <w:r>
        <w:t>The analysis route always produces the deterministic report before requesting language refinement. The server uses the OpenAI Responses API with a structured Zod output contract and a configurable model whose current default is gpt-5.6-terra. Resume and job-description text are treated as untrusted data, normalised, length-bounded and redacted before use. The prompt exposes no secrets, enables no tools and requests store: false. The API key remains server-side and is never included in the client bundle.</w:t>
      </w:r>
    </w:p>
    <w:p>
      <w:pPr>
        <w:spacing w:line="269" w:lineRule="auto" w:after="140"/>
      </w:pPr>
      <w:r>
        <w:t>The merge is deliberately asymmetric. Named narrative fields, such as the role-fit explanation, proof-building actions, roadmap wording, resume guidance and interview preparation, may be improved. Deterministic scores, evidence snippets and strength labels, matched requirements, gap identifiers and severity, and the Safe to add now / Reframe carefully / Needs proof first classifications are copied from the local result. A schema error, timeout or provider failure leaves the local report intact and triggers the existing credit refund only when the overall analysis cannot be completed. This design gains clearer guidance without transferring truth control to the model.</w:t>
      </w:r>
    </w:p>
    <w:p>
      <w:pPr>
        <w:pStyle w:val="Heading2"/>
      </w:pPr>
      <w:r>
        <w:t>4.5 Authentication and route protection</w:t>
      </w:r>
    </w:p>
    <w:p>
      <w:pPr>
        <w:spacing w:line="269" w:lineRule="auto" w:after="140"/>
      </w:pPr>
      <w:r>
        <w:rPr>
          <w:rFonts w:ascii="Arial" w:hAnsi="Arial" w:eastAsia="Arial"/>
          <w:color w:val="000000"/>
          <w:sz w:val="22"/>
        </w:rPr>
        <w:t xml:space="preserve">Authentication uses Supabase Auth with cookie-based server-side sessions. Separate browser and server clients prevent secret material from entering client bundles. A proxy refreshes session claims and propagates updated cookies. Protected server components call </w:t>
      </w:r>
      <w:r>
        <w:rPr>
          <w:rFonts w:ascii="Courier New" w:hAnsi="Courier New" w:eastAsia="Courier New"/>
          <w:color w:val="000000"/>
          <w:sz w:val="21"/>
        </w:rPr>
        <w:t>requireUser</w:t>
      </w:r>
      <w:r>
        <w:rPr>
          <w:rFonts w:ascii="Arial" w:hAnsi="Arial" w:eastAsia="Arial"/>
          <w:color w:val="000000"/>
          <w:sz w:val="22"/>
        </w:rPr>
        <w:t xml:space="preserve">, which redirects a visitor to </w:t>
      </w:r>
      <w:r>
        <w:rPr>
          <w:rFonts w:ascii="Courier New" w:hAnsi="Courier New" w:eastAsia="Courier New"/>
          <w:color w:val="000000"/>
          <w:sz w:val="21"/>
        </w:rPr>
        <w:t>/login</w:t>
      </w:r>
      <w:r>
        <w:rPr>
          <w:rFonts w:ascii="Arial" w:hAnsi="Arial" w:eastAsia="Arial"/>
          <w:color w:val="000000"/>
          <w:sz w:val="22"/>
        </w:rPr>
        <w:t xml:space="preserve"> with the intended destination. Login and signup validate email and password locally, show provider-safe errors and return the user to the requested protected route. Password reset and update pages use the provider's supported email flow.</w:t>
      </w:r>
    </w:p>
    <w:p>
      <w:pPr>
        <w:keepNext/>
        <w:spacing w:before="120" w:after="140" w:line="269" w:lineRule="auto"/>
        <w:jc w:val="center"/>
      </w:pPr>
      <w:r>
        <w:drawing>
          <wp:inline xmlns:a="http://schemas.openxmlformats.org/drawingml/2006/main" xmlns:pic="http://schemas.openxmlformats.org/drawingml/2006/picture">
            <wp:extent cx="5806440" cy="2131087"/>
            <wp:docPr id="7" name="Picture 7"/>
            <wp:cNvGraphicFramePr>
              <a:graphicFrameLocks noChangeAspect="1"/>
            </wp:cNvGraphicFramePr>
            <a:graphic>
              <a:graphicData uri="http://schemas.openxmlformats.org/drawingml/2006/picture">
                <pic:pic>
                  <pic:nvPicPr>
                    <pic:cNvPr id="0" name="18-authentication-pair.jpg"/>
                    <pic:cNvPicPr/>
                  </pic:nvPicPr>
                  <pic:blipFill>
                    <a:blip r:embed="rId27"/>
                    <a:stretch>
                      <a:fillRect/>
                    </a:stretch>
                  </pic:blipFill>
                  <pic:spPr>
                    <a:xfrm>
                      <a:off x="0" y="0"/>
                      <a:ext cx="5806440" cy="2131087"/>
                    </a:xfrm>
                    <a:prstGeom prst="rect"/>
                  </pic:spPr>
                </pic:pic>
              </a:graphicData>
            </a:graphic>
          </wp:inline>
        </w:drawing>
      </w:r>
    </w:p>
    <w:p>
      <w:pPr>
        <w:pStyle w:val="Caption"/>
        <w:keepNext w:val="0"/>
        <w:spacing w:after="240"/>
        <w:jc w:val="center"/>
      </w:pPr>
      <w:r>
        <w:t>Figure 6. Branded login and account-creation interfaces with visible validation expectations. Earlier text-product build.</w:t>
      </w:r>
    </w:p>
    <w:p>
      <w:pPr>
        <w:spacing w:line="269" w:lineRule="auto" w:after="140"/>
      </w:pPr>
      <w:r>
        <w:rPr>
          <w:rFonts w:ascii="Arial" w:hAnsi="Arial" w:eastAsia="Arial"/>
          <w:color w:val="000000"/>
          <w:sz w:val="22"/>
        </w:rPr>
        <w:t>API handlers independently resolve the current session, so a caller cannot bypass protection by calling the endpoint directly. The application does not accept a user ID in the analysis schema. History queries include the trusted user ID, while row-level security repeats the owner check at the database boundary. This defence in depth is important because client navigation is a convenience, not an authorisation control.</w:t>
      </w:r>
    </w:p>
    <w:p>
      <w:pPr>
        <w:pStyle w:val="Heading2"/>
      </w:pPr>
      <w:r>
        <w:t>4.6 Atomic credits and idempotent analysis</w:t>
      </w:r>
    </w:p>
    <w:p>
      <w:pPr>
        <w:spacing w:line="269" w:lineRule="auto" w:after="140"/>
      </w:pPr>
      <w:r>
        <w:rPr>
          <w:rFonts w:ascii="Arial" w:hAnsi="Arial" w:eastAsia="Arial"/>
          <w:color w:val="000000"/>
          <w:sz w:val="22"/>
        </w:rPr>
        <w:t xml:space="preserve">One accepted analysis consumes one of three credits for the current Asia/Singapore date. Input is validated before reservation. The route then calls </w:t>
      </w:r>
      <w:r>
        <w:rPr>
          <w:rFonts w:ascii="Courier New" w:hAnsi="Courier New" w:eastAsia="Courier New"/>
          <w:color w:val="000000"/>
          <w:sz w:val="21"/>
        </w:rPr>
        <w:t>reserve_analysis_credit</w:t>
      </w:r>
      <w:r>
        <w:rPr>
          <w:rFonts w:ascii="Arial" w:hAnsi="Arial" w:eastAsia="Arial"/>
          <w:color w:val="000000"/>
          <w:sz w:val="22"/>
        </w:rPr>
        <w:t xml:space="preserve"> with a client-generated idempotency key. The PostgreSQL function derives the owner from </w:t>
      </w:r>
      <w:r>
        <w:rPr>
          <w:rFonts w:ascii="Courier New" w:hAnsi="Courier New" w:eastAsia="Courier New"/>
          <w:color w:val="000000"/>
          <w:sz w:val="21"/>
        </w:rPr>
        <w:t>auth.uid()</w:t>
      </w:r>
      <w:r>
        <w:rPr>
          <w:rFonts w:ascii="Arial" w:hAnsi="Arial" w:eastAsia="Arial"/>
          <w:color w:val="000000"/>
          <w:sz w:val="22"/>
        </w:rPr>
        <w:t xml:space="preserve">, creates or locks the daily balance using </w:t>
      </w:r>
      <w:r>
        <w:rPr>
          <w:rFonts w:ascii="Courier New" w:hAnsi="Courier New" w:eastAsia="Courier New"/>
          <w:color w:val="000000"/>
          <w:sz w:val="21"/>
        </w:rPr>
        <w:t>FOR UPDATE</w:t>
      </w:r>
      <w:r>
        <w:rPr>
          <w:rFonts w:ascii="Arial" w:hAnsi="Arial" w:eastAsia="Arial"/>
          <w:color w:val="000000"/>
          <w:sz w:val="22"/>
        </w:rPr>
        <w:t>, checks the limit and inserts a unique ledger transaction. Replaying the same idempotency key returns the existing reservation rather than spending again.</w:t>
      </w:r>
    </w:p>
    <w:p>
      <w:pPr>
        <w:spacing w:line="269" w:lineRule="auto" w:after="140"/>
      </w:pPr>
      <w:r>
        <w:rPr>
          <w:rFonts w:ascii="Arial" w:hAnsi="Arial" w:eastAsia="Arial"/>
          <w:color w:val="000000"/>
          <w:sz w:val="22"/>
        </w:rPr>
        <w:t xml:space="preserve">After reservation, the route runs the deterministic engine. </w:t>
      </w:r>
      <w:r>
        <w:rPr>
          <w:rFonts w:ascii="Courier New" w:hAnsi="Courier New" w:eastAsia="Courier New"/>
          <w:color w:val="000000"/>
          <w:sz w:val="21"/>
        </w:rPr>
        <w:t>store_completed_analysis</w:t>
      </w:r>
      <w:r>
        <w:rPr>
          <w:rFonts w:ascii="Arial" w:hAnsi="Arial" w:eastAsia="Arial"/>
          <w:color w:val="000000"/>
          <w:sz w:val="22"/>
        </w:rPr>
        <w:t xml:space="preserve"> verifies the reservation owner and stores a completed report in the same trusted database layer. If analysis or persistence throws an internal error, a </w:t>
      </w:r>
      <w:r>
        <w:rPr>
          <w:rFonts w:ascii="Courier New" w:hAnsi="Courier New" w:eastAsia="Courier New"/>
          <w:color w:val="000000"/>
          <w:sz w:val="21"/>
        </w:rPr>
        <w:t>catch</w:t>
      </w:r>
      <w:r>
        <w:rPr>
          <w:rFonts w:ascii="Arial" w:hAnsi="Arial" w:eastAsia="Arial"/>
          <w:color w:val="000000"/>
          <w:sz w:val="22"/>
        </w:rPr>
        <w:t xml:space="preserve"> path calls </w:t>
      </w:r>
      <w:r>
        <w:rPr>
          <w:rFonts w:ascii="Courier New" w:hAnsi="Courier New" w:eastAsia="Courier New"/>
          <w:color w:val="000000"/>
          <w:sz w:val="21"/>
        </w:rPr>
        <w:t>refund_analysis_credit</w:t>
      </w:r>
      <w:r>
        <w:rPr>
          <w:rFonts w:ascii="Arial" w:hAnsi="Arial" w:eastAsia="Arial"/>
          <w:color w:val="000000"/>
          <w:sz w:val="22"/>
        </w:rPr>
        <w:t xml:space="preserve">, decreases the used count without going below zero and records a </w:t>
      </w:r>
      <w:r>
        <w:rPr>
          <w:rFonts w:ascii="Courier New" w:hAnsi="Courier New" w:eastAsia="Courier New"/>
          <w:color w:val="000000"/>
          <w:sz w:val="21"/>
        </w:rPr>
        <w:t>failed_analysis_refund</w:t>
      </w:r>
      <w:r>
        <w:rPr>
          <w:rFonts w:ascii="Arial" w:hAnsi="Arial" w:eastAsia="Arial"/>
          <w:color w:val="000000"/>
          <w:sz w:val="22"/>
        </w:rPr>
        <w:t>. Authentication, invalid input and zero-credit rejection occur before processing and are not charged.</w:t>
      </w:r>
    </w:p>
    <w:p>
      <w:pPr>
        <w:spacing w:line="269" w:lineRule="auto" w:after="140"/>
      </w:pPr>
      <w:r>
        <w:rPr>
          <w:rFonts w:ascii="Arial" w:hAnsi="Arial" w:eastAsia="Arial"/>
          <w:color w:val="000000"/>
          <w:sz w:val="22"/>
        </w:rPr>
        <w:t>The transaction ledger is more extensible than a client-side counter. Event types can later represent manual, promotional or purchased adjustments, while the current balance remains fast to read. Database row locking and uniqueness constraints are essential: disabling a button alone could not prevent concurrent browser tabs or direct API calls from overspending.</w:t>
      </w:r>
    </w:p>
    <w:p>
      <w:pPr>
        <w:pStyle w:val="Heading2"/>
      </w:pPr>
      <w:r>
        <w:t>4.7 History, privacy and report export</w:t>
      </w:r>
    </w:p>
    <w:p>
      <w:pPr>
        <w:spacing w:line="269" w:lineRule="auto" w:after="140"/>
      </w:pPr>
      <w:r>
        <w:rPr>
          <w:rFonts w:ascii="Arial" w:hAnsi="Arial" w:eastAsia="Arial"/>
          <w:color w:val="000000"/>
          <w:sz w:val="22"/>
        </w:rPr>
        <w:t xml:space="preserve">Successful reports are automatically stored in the </w:t>
      </w:r>
      <w:r>
        <w:rPr>
          <w:rFonts w:ascii="Courier New" w:hAnsi="Courier New" w:eastAsia="Courier New"/>
          <w:color w:val="000000"/>
          <w:sz w:val="21"/>
        </w:rPr>
        <w:t>analyses</w:t>
      </w:r>
      <w:r>
        <w:rPr>
          <w:rFonts w:ascii="Arial" w:hAnsi="Arial" w:eastAsia="Arial"/>
          <w:color w:val="000000"/>
          <w:sz w:val="22"/>
        </w:rPr>
        <w:t xml:space="preserve"> table. The history list retrieves summary fields, and the detail route retrieves the structured JSON report only for its owner. Deletion asks for confirmation and sends an authenticated </w:t>
      </w:r>
      <w:r>
        <w:rPr>
          <w:rFonts w:ascii="Courier New" w:hAnsi="Courier New" w:eastAsia="Courier New"/>
          <w:color w:val="000000"/>
          <w:sz w:val="21"/>
        </w:rPr>
        <w:t>DELETE</w:t>
      </w:r>
      <w:r>
        <w:rPr>
          <w:rFonts w:ascii="Arial" w:hAnsi="Arial" w:eastAsia="Arial"/>
          <w:color w:val="000000"/>
          <w:sz w:val="22"/>
        </w:rPr>
        <w:t xml:space="preserve"> request; a missing or foreign identifier returns 404 so the API does not reveal whether another user's report exists.</w:t>
      </w:r>
    </w:p>
    <w:p>
      <w:pPr>
        <w:keepNext/>
        <w:spacing w:before="120" w:after="140" w:line="269" w:lineRule="auto"/>
        <w:jc w:val="center"/>
      </w:pPr>
      <w:r>
        <w:drawing>
          <wp:inline xmlns:a="http://schemas.openxmlformats.org/drawingml/2006/main" xmlns:pic="http://schemas.openxmlformats.org/drawingml/2006/picture">
            <wp:extent cx="5806440" cy="3701181"/>
            <wp:docPr id="8" name="Picture 8"/>
            <wp:cNvGraphicFramePr>
              <a:graphicFrameLocks noChangeAspect="1"/>
            </wp:cNvGraphicFramePr>
            <a:graphic>
              <a:graphicData uri="http://schemas.openxmlformats.org/drawingml/2006/picture">
                <pic:pic>
                  <pic:nvPicPr>
                    <pic:cNvPr id="0" name="11-history-safe.jpg"/>
                    <pic:cNvPicPr/>
                  </pic:nvPicPr>
                  <pic:blipFill>
                    <a:blip r:embed="rId28"/>
                    <a:stretch>
                      <a:fillRect/>
                    </a:stretch>
                  </pic:blipFill>
                  <pic:spPr>
                    <a:xfrm>
                      <a:off x="0" y="0"/>
                      <a:ext cx="5806440" cy="3701181"/>
                    </a:xfrm>
                    <a:prstGeom prst="rect"/>
                  </pic:spPr>
                </pic:pic>
              </a:graphicData>
            </a:graphic>
          </wp:inline>
        </w:drawing>
      </w:r>
    </w:p>
    <w:p>
      <w:pPr>
        <w:pStyle w:val="Caption"/>
        <w:keepNext w:val="0"/>
        <w:spacing w:after="240"/>
        <w:jc w:val="center"/>
      </w:pPr>
      <w:r>
        <w:t>Figure 7. Owner-specific analysis history showing saved role, date, score and fit label. Earlier text-product build.</w:t>
      </w:r>
    </w:p>
    <w:p>
      <w:pPr>
        <w:keepNext/>
        <w:spacing w:before="120" w:after="140" w:line="269" w:lineRule="auto"/>
        <w:jc w:val="center"/>
      </w:pPr>
      <w:r>
        <w:drawing>
          <wp:inline xmlns:a="http://schemas.openxmlformats.org/drawingml/2006/main" xmlns:pic="http://schemas.openxmlformats.org/drawingml/2006/picture">
            <wp:extent cx="5806440" cy="3293711"/>
            <wp:docPr id="9" name="Picture 9"/>
            <wp:cNvGraphicFramePr>
              <a:graphicFrameLocks noChangeAspect="1"/>
            </wp:cNvGraphicFramePr>
            <a:graphic>
              <a:graphicData uri="http://schemas.openxmlformats.org/drawingml/2006/picture">
                <pic:pic>
                  <pic:nvPicPr>
                    <pic:cNvPr id="0" name="12-settings-privacy.jpg"/>
                    <pic:cNvPicPr/>
                  </pic:nvPicPr>
                  <pic:blipFill>
                    <a:blip r:embed="rId29"/>
                    <a:stretch>
                      <a:fillRect/>
                    </a:stretch>
                  </pic:blipFill>
                  <pic:spPr>
                    <a:xfrm>
                      <a:off x="0" y="0"/>
                      <a:ext cx="5806440" cy="3293711"/>
                    </a:xfrm>
                    <a:prstGeom prst="rect"/>
                  </pic:spPr>
                </pic:pic>
              </a:graphicData>
            </a:graphic>
          </wp:inline>
        </w:drawing>
      </w:r>
    </w:p>
    <w:p>
      <w:pPr>
        <w:pStyle w:val="Caption"/>
        <w:keepNext w:val="0"/>
        <w:spacing w:after="240"/>
        <w:jc w:val="center"/>
      </w:pPr>
      <w:r>
        <w:t>Figure 8. Privacy and trust information exposed to the signed-in user; personal account identifiers are cropped from this report figure. Earlier text-product build.</w:t>
      </w:r>
    </w:p>
    <w:p>
      <w:pPr>
        <w:spacing w:line="269" w:lineRule="auto" w:after="140"/>
      </w:pPr>
      <w:r>
        <w:rPr>
          <w:rFonts w:ascii="Arial" w:hAnsi="Arial" w:eastAsia="Arial"/>
          <w:color w:val="000000"/>
          <w:sz w:val="22"/>
        </w:rPr>
        <w:t>The stored record intentionally excludes the complete raw resume, complete job description and uploaded file bytes. It retains the target role, optional company, filename, status, structured report and small summary fields required for history. Users can delete their own reports, but the present prototype does not yet provide account-wide data export or deletion.</w:t>
      </w:r>
    </w:p>
    <w:p>
      <w:pPr>
        <w:spacing w:line="269" w:lineRule="auto" w:after="140"/>
      </w:pPr>
      <w:r>
        <w:rPr>
          <w:rFonts w:ascii="Arial" w:hAnsi="Arial" w:eastAsia="Arial"/>
          <w:color w:val="000000"/>
          <w:sz w:val="22"/>
        </w:rPr>
        <w:t xml:space="preserve">The Save Report control invokes </w:t>
      </w:r>
      <w:r>
        <w:rPr>
          <w:rFonts w:ascii="Courier New" w:hAnsi="Courier New" w:eastAsia="Courier New"/>
          <w:color w:val="000000"/>
          <w:sz w:val="21"/>
        </w:rPr>
        <w:t>window.print()</w:t>
      </w:r>
      <w:r>
        <w:rPr>
          <w:rFonts w:ascii="Arial" w:hAnsi="Arial" w:eastAsia="Arial"/>
          <w:color w:val="000000"/>
          <w:sz w:val="22"/>
        </w:rPr>
        <w:t xml:space="preserve">. Print-specific CSS hides navigation, upload controls and buttons, switches to white surfaces and dark text, maintains report metadata and uses </w:t>
      </w:r>
      <w:r>
        <w:rPr>
          <w:rFonts w:ascii="Courier New" w:hAnsi="Courier New" w:eastAsia="Courier New"/>
          <w:color w:val="000000"/>
          <w:sz w:val="21"/>
        </w:rPr>
        <w:t>break-inside: avoid</w:t>
      </w:r>
      <w:r>
        <w:rPr>
          <w:rFonts w:ascii="Arial" w:hAnsi="Arial" w:eastAsia="Arial"/>
          <w:color w:val="000000"/>
          <w:sz w:val="22"/>
        </w:rPr>
        <w:t xml:space="preserve"> for compact report sections. This relies on the browser's Save as PDF facility and avoids creating an unsecured public export route.</w:t>
      </w:r>
    </w:p>
    <w:p>
      <w:pPr>
        <w:pStyle w:val="Heading2"/>
      </w:pPr>
      <w:r>
        <w:t>4.8 User-interface implementation</w:t>
      </w:r>
    </w:p>
    <w:p>
      <w:pPr>
        <w:spacing w:line="269" w:lineRule="auto" w:after="140"/>
      </w:pPr>
      <w:r>
        <w:t>The public page explains the product before registration and contains a realistic report preview, benefits, process, privacy summary and final call to action (Figure 9). Auth pages share a branded shell and state the daily allowance clearly (Figure 6). The signed-in dashboard foregrounds the next action, credit reset policy, evidence-first principles and recent reports (Figure 10), while an empty history provides a direct route to the first analysis.</w:t>
      </w:r>
    </w:p>
    <w:p>
      <w:pPr>
        <w:spacing w:line="269" w:lineRule="auto" w:after="140"/>
      </w:pPr>
      <w:r>
        <w:t>The input workspace presents a visible three-stage flow and preserves values after recoverable failures. Figures 11 and 12 show the empty and sample-populated states; target role and company detection remain editable before spending a credit. Submission changes to a focused progress state (Figure 13) and duplicate submission is prevented. The report component renders the same typed data for a newly created report and a historical report. Responsive grids collapse to one column, as demonstrated by the 390-pixel captures in Figure 23.</w:t>
      </w:r>
    </w:p>
    <w:p>
      <w:pPr>
        <w:keepNext/>
        <w:spacing w:before="120" w:after="140" w:line="269" w:lineRule="auto"/>
        <w:jc w:val="center"/>
      </w:pPr>
      <w:r>
        <w:drawing>
          <wp:inline xmlns:a="http://schemas.openxmlformats.org/drawingml/2006/main" xmlns:pic="http://schemas.openxmlformats.org/drawingml/2006/picture">
            <wp:extent cx="5806440" cy="4032250"/>
            <wp:docPr id="10" name="Picture 10"/>
            <wp:cNvGraphicFramePr>
              <a:graphicFrameLocks noChangeAspect="1"/>
            </wp:cNvGraphicFramePr>
            <a:graphic>
              <a:graphicData uri="http://schemas.openxmlformats.org/drawingml/2006/picture">
                <pic:pic>
                  <pic:nvPicPr>
                    <pic:cNvPr id="0" name="00-landing-public.png"/>
                    <pic:cNvPicPr/>
                  </pic:nvPicPr>
                  <pic:blipFill>
                    <a:blip r:embed="rId30"/>
                    <a:stretch>
                      <a:fillRect/>
                    </a:stretch>
                  </pic:blipFill>
                  <pic:spPr>
                    <a:xfrm>
                      <a:off x="0" y="0"/>
                      <a:ext cx="5806440" cy="4032250"/>
                    </a:xfrm>
                    <a:prstGeom prst="rect"/>
                  </pic:spPr>
                </pic:pic>
              </a:graphicData>
            </a:graphic>
          </wp:inline>
        </w:drawing>
      </w:r>
    </w:p>
    <w:p>
      <w:pPr>
        <w:pStyle w:val="Caption"/>
        <w:keepNext w:val="0"/>
        <w:spacing w:after="240"/>
        <w:jc w:val="center"/>
      </w:pPr>
      <w:r>
        <w:t>Figure 9. Public landing page communicates the product value and realistic output before registration. Earlier text-product build.</w:t>
      </w:r>
    </w:p>
    <w:p>
      <w:pPr>
        <w:keepNext/>
        <w:spacing w:before="120" w:after="140" w:line="269" w:lineRule="auto"/>
        <w:jc w:val="center"/>
      </w:pPr>
      <w:r>
        <w:drawing>
          <wp:inline xmlns:a="http://schemas.openxmlformats.org/drawingml/2006/main" xmlns:pic="http://schemas.openxmlformats.org/drawingml/2006/picture">
            <wp:extent cx="3330688" cy="6492240"/>
            <wp:docPr id="11" name="Picture 11"/>
            <wp:cNvGraphicFramePr>
              <a:graphicFrameLocks noChangeAspect="1"/>
            </wp:cNvGraphicFramePr>
            <a:graphic>
              <a:graphicData uri="http://schemas.openxmlformats.org/drawingml/2006/picture">
                <pic:pic>
                  <pic:nvPicPr>
                    <pic:cNvPr id="0" name="01-dashboard.png"/>
                    <pic:cNvPicPr/>
                  </pic:nvPicPr>
                  <pic:blipFill>
                    <a:blip r:embed="rId31"/>
                    <a:stretch>
                      <a:fillRect/>
                    </a:stretch>
                  </pic:blipFill>
                  <pic:spPr>
                    <a:xfrm>
                      <a:off x="0" y="0"/>
                      <a:ext cx="3330688" cy="6492240"/>
                    </a:xfrm>
                    <a:prstGeom prst="rect"/>
                  </pic:spPr>
                </pic:pic>
              </a:graphicData>
            </a:graphic>
          </wp:inline>
        </w:drawing>
      </w:r>
    </w:p>
    <w:p>
      <w:pPr>
        <w:pStyle w:val="Caption"/>
        <w:keepNext w:val="0"/>
        <w:spacing w:after="240"/>
        <w:jc w:val="center"/>
      </w:pPr>
      <w:r>
        <w:t>Figure 10. Signed-in dashboard with the primary action, daily allowance and evidence-first product principles. Earlier text-product build.</w:t>
      </w:r>
    </w:p>
    <w:p>
      <w:pPr>
        <w:keepNext/>
        <w:spacing w:before="120" w:after="140" w:line="269" w:lineRule="auto"/>
        <w:jc w:val="center"/>
      </w:pPr>
      <w:r>
        <w:drawing>
          <wp:inline xmlns:a="http://schemas.openxmlformats.org/drawingml/2006/main" xmlns:pic="http://schemas.openxmlformats.org/drawingml/2006/picture">
            <wp:extent cx="5561989" cy="6492240"/>
            <wp:docPr id="12" name="Picture 12"/>
            <wp:cNvGraphicFramePr>
              <a:graphicFrameLocks noChangeAspect="1"/>
            </wp:cNvGraphicFramePr>
            <a:graphic>
              <a:graphicData uri="http://schemas.openxmlformats.org/drawingml/2006/picture">
                <pic:pic>
                  <pic:nvPicPr>
                    <pic:cNvPr id="0" name="02-analysis-empty.png"/>
                    <pic:cNvPicPr/>
                  </pic:nvPicPr>
                  <pic:blipFill>
                    <a:blip r:embed="rId32"/>
                    <a:stretch>
                      <a:fillRect/>
                    </a:stretch>
                  </pic:blipFill>
                  <pic:spPr>
                    <a:xfrm>
                      <a:off x="0" y="0"/>
                      <a:ext cx="5561989" cy="6492240"/>
                    </a:xfrm>
                    <a:prstGeom prst="rect"/>
                  </pic:spPr>
                </pic:pic>
              </a:graphicData>
            </a:graphic>
          </wp:inline>
        </w:drawing>
      </w:r>
    </w:p>
    <w:p>
      <w:pPr>
        <w:pStyle w:val="Caption"/>
        <w:keepNext w:val="0"/>
        <w:spacing w:after="240"/>
        <w:jc w:val="center"/>
      </w:pPr>
      <w:r>
        <w:t>Figure 11. Empty analysis workspace with the three-stage workflow, input guidance and sample fallback. Earlier text-product build.</w:t>
      </w:r>
    </w:p>
    <w:p>
      <w:pPr>
        <w:keepNext/>
        <w:spacing w:before="120" w:after="140" w:line="269" w:lineRule="auto"/>
        <w:jc w:val="center"/>
      </w:pPr>
      <w:r>
        <w:drawing>
          <wp:inline xmlns:a="http://schemas.openxmlformats.org/drawingml/2006/main" xmlns:pic="http://schemas.openxmlformats.org/drawingml/2006/picture">
            <wp:extent cx="5561989" cy="6492240"/>
            <wp:docPr id="13" name="Picture 13"/>
            <wp:cNvGraphicFramePr>
              <a:graphicFrameLocks noChangeAspect="1"/>
            </wp:cNvGraphicFramePr>
            <a:graphic>
              <a:graphicData uri="http://schemas.openxmlformats.org/drawingml/2006/picture">
                <pic:pic>
                  <pic:nvPicPr>
                    <pic:cNvPr id="0" name="03-analysis-ready.png"/>
                    <pic:cNvPicPr/>
                  </pic:nvPicPr>
                  <pic:blipFill>
                    <a:blip r:embed="rId33"/>
                    <a:stretch>
                      <a:fillRect/>
                    </a:stretch>
                  </pic:blipFill>
                  <pic:spPr>
                    <a:xfrm>
                      <a:off x="0" y="0"/>
                      <a:ext cx="5561989" cy="6492240"/>
                    </a:xfrm>
                    <a:prstGeom prst="rect"/>
                  </pic:spPr>
                </pic:pic>
              </a:graphicData>
            </a:graphic>
          </wp:inline>
        </w:drawing>
      </w:r>
    </w:p>
    <w:p>
      <w:pPr>
        <w:pStyle w:val="Caption"/>
        <w:keepNext w:val="0"/>
        <w:spacing w:after="240"/>
        <w:jc w:val="center"/>
      </w:pPr>
      <w:r>
        <w:t>Figure 12. Sample-populated analysis state with editable role confirmation and a clear credit-cost message. Earlier text-product build.</w:t>
      </w:r>
    </w:p>
    <w:p>
      <w:pPr>
        <w:keepNext/>
        <w:spacing w:before="120" w:after="140" w:line="269" w:lineRule="auto"/>
        <w:jc w:val="center"/>
      </w:pPr>
      <w:r>
        <w:drawing>
          <wp:inline xmlns:a="http://schemas.openxmlformats.org/drawingml/2006/main" xmlns:pic="http://schemas.openxmlformats.org/drawingml/2006/picture">
            <wp:extent cx="5806440" cy="3565357"/>
            <wp:docPr id="14" name="Picture 14"/>
            <wp:cNvGraphicFramePr>
              <a:graphicFrameLocks noChangeAspect="1"/>
            </wp:cNvGraphicFramePr>
            <a:graphic>
              <a:graphicData uri="http://schemas.openxmlformats.org/drawingml/2006/picture">
                <pic:pic>
                  <pic:nvPicPr>
                    <pic:cNvPr id="0" name="04-analysis-progress-safe.jpg"/>
                    <pic:cNvPicPr/>
                  </pic:nvPicPr>
                  <pic:blipFill>
                    <a:blip r:embed="rId34"/>
                    <a:stretch>
                      <a:fillRect/>
                    </a:stretch>
                  </pic:blipFill>
                  <pic:spPr>
                    <a:xfrm>
                      <a:off x="0" y="0"/>
                      <a:ext cx="5806440" cy="3565357"/>
                    </a:xfrm>
                    <a:prstGeom prst="rect"/>
                  </pic:spPr>
                </pic:pic>
              </a:graphicData>
            </a:graphic>
          </wp:inline>
        </w:drawing>
      </w:r>
    </w:p>
    <w:p>
      <w:pPr>
        <w:pStyle w:val="Caption"/>
        <w:keepNext w:val="0"/>
        <w:spacing w:after="240"/>
        <w:jc w:val="center"/>
      </w:pPr>
      <w:r>
        <w:t>Figure 13. Focused progress state displayed while the server constructs and stores the report. Earlier text-product build.</w:t>
      </w:r>
    </w:p>
    <w:p>
      <w:pPr>
        <w:keepNext/>
        <w:spacing w:before="120" w:after="140" w:line="269" w:lineRule="auto"/>
        <w:jc w:val="center"/>
      </w:pPr>
      <w:r>
        <w:drawing>
          <wp:inline xmlns:a="http://schemas.openxmlformats.org/drawingml/2006/main" xmlns:pic="http://schemas.openxmlformats.org/drawingml/2006/picture">
            <wp:extent cx="3505809" cy="6492240"/>
            <wp:docPr id="15" name="Picture 15"/>
            <wp:cNvGraphicFramePr>
              <a:graphicFrameLocks noChangeAspect="1"/>
            </wp:cNvGraphicFramePr>
            <a:graphic>
              <a:graphicData uri="http://schemas.openxmlformats.org/drawingml/2006/picture">
                <pic:pic>
                  <pic:nvPicPr>
                    <pic:cNvPr id="0" name="report-01-summary.jpg"/>
                    <pic:cNvPicPr/>
                  </pic:nvPicPr>
                  <pic:blipFill>
                    <a:blip r:embed="rId35"/>
                    <a:stretch>
                      <a:fillRect/>
                    </a:stretch>
                  </pic:blipFill>
                  <pic:spPr>
                    <a:xfrm>
                      <a:off x="0" y="0"/>
                      <a:ext cx="3505809" cy="6492240"/>
                    </a:xfrm>
                    <a:prstGeom prst="rect"/>
                  </pic:spPr>
                </pic:pic>
              </a:graphicData>
            </a:graphic>
          </wp:inline>
        </w:drawing>
      </w:r>
    </w:p>
    <w:p>
      <w:pPr>
        <w:pStyle w:val="Caption"/>
        <w:keepNext w:val="0"/>
        <w:spacing w:after="240"/>
        <w:jc w:val="center"/>
      </w:pPr>
      <w:r>
        <w:t>Figure 14. Executive summary showing the 70% estimate, role-fit reasoning and final apply/edit decision. Earlier text-product build.</w:t>
      </w:r>
    </w:p>
    <w:p>
      <w:pPr>
        <w:keepNext/>
        <w:spacing w:before="120" w:after="140" w:line="269" w:lineRule="auto"/>
        <w:jc w:val="center"/>
      </w:pPr>
      <w:r>
        <w:drawing>
          <wp:inline xmlns:a="http://schemas.openxmlformats.org/drawingml/2006/main" xmlns:pic="http://schemas.openxmlformats.org/drawingml/2006/picture">
            <wp:extent cx="3690325" cy="6492240"/>
            <wp:docPr id="16" name="Picture 16"/>
            <wp:cNvGraphicFramePr>
              <a:graphicFrameLocks noChangeAspect="1"/>
            </wp:cNvGraphicFramePr>
            <a:graphic>
              <a:graphicData uri="http://schemas.openxmlformats.org/drawingml/2006/picture">
                <pic:pic>
                  <pic:nvPicPr>
                    <pic:cNvPr id="0" name="report-02-gaps.jpg"/>
                    <pic:cNvPicPr/>
                  </pic:nvPicPr>
                  <pic:blipFill>
                    <a:blip r:embed="rId36"/>
                    <a:stretch>
                      <a:fillRect/>
                    </a:stretch>
                  </pic:blipFill>
                  <pic:spPr>
                    <a:xfrm>
                      <a:off x="0" y="0"/>
                      <a:ext cx="3690325" cy="6492240"/>
                    </a:xfrm>
                    <a:prstGeom prst="rect"/>
                  </pic:spPr>
                </pic:pic>
              </a:graphicData>
            </a:graphic>
          </wp:inline>
        </w:drawing>
      </w:r>
    </w:p>
    <w:p>
      <w:pPr>
        <w:pStyle w:val="Caption"/>
        <w:keepNext w:val="0"/>
        <w:spacing w:after="240"/>
        <w:jc w:val="center"/>
      </w:pPr>
      <w:r>
        <w:t>Figure 15. Evidence-grounded strengths and the three highest-priority gaps with concrete proof steps. Earlier text-product build.</w:t>
      </w:r>
    </w:p>
    <w:p>
      <w:pPr>
        <w:keepNext/>
        <w:spacing w:before="120" w:after="140" w:line="269" w:lineRule="auto"/>
        <w:jc w:val="center"/>
      </w:pPr>
      <w:r>
        <w:drawing>
          <wp:inline xmlns:a="http://schemas.openxmlformats.org/drawingml/2006/main" xmlns:pic="http://schemas.openxmlformats.org/drawingml/2006/picture">
            <wp:extent cx="3895344" cy="6492240"/>
            <wp:docPr id="17" name="Picture 17"/>
            <wp:cNvGraphicFramePr>
              <a:graphicFrameLocks noChangeAspect="1"/>
            </wp:cNvGraphicFramePr>
            <a:graphic>
              <a:graphicData uri="http://schemas.openxmlformats.org/drawingml/2006/picture">
                <pic:pic>
                  <pic:nvPicPr>
                    <pic:cNvPr id="0" name="report-03-actions.jpg"/>
                    <pic:cNvPicPr/>
                  </pic:nvPicPr>
                  <pic:blipFill>
                    <a:blip r:embed="rId37"/>
                    <a:stretch>
                      <a:fillRect/>
                    </a:stretch>
                  </pic:blipFill>
                  <pic:spPr>
                    <a:xfrm>
                      <a:off x="0" y="0"/>
                      <a:ext cx="3895344" cy="6492240"/>
                    </a:xfrm>
                    <a:prstGeom prst="rect"/>
                  </pic:spPr>
                </pic:pic>
              </a:graphicData>
            </a:graphic>
          </wp:inline>
        </w:drawing>
      </w:r>
    </w:p>
    <w:p>
      <w:pPr>
        <w:pStyle w:val="Caption"/>
        <w:keepNext w:val="0"/>
        <w:spacing w:after="240"/>
        <w:jc w:val="center"/>
      </w:pPr>
      <w:r>
        <w:t>Figure 16. Time-bounded action roadmap generated from the current high-priority gaps. Earlier text-product build.</w:t>
      </w:r>
    </w:p>
    <w:p>
      <w:pPr>
        <w:keepNext/>
        <w:spacing w:before="120" w:after="140" w:line="269" w:lineRule="auto"/>
        <w:jc w:val="center"/>
      </w:pPr>
      <w:r>
        <w:drawing>
          <wp:inline xmlns:a="http://schemas.openxmlformats.org/drawingml/2006/main" xmlns:pic="http://schemas.openxmlformats.org/drawingml/2006/picture">
            <wp:extent cx="3690325" cy="6492240"/>
            <wp:docPr id="18" name="Picture 18"/>
            <wp:cNvGraphicFramePr>
              <a:graphicFrameLocks noChangeAspect="1"/>
            </wp:cNvGraphicFramePr>
            <a:graphic>
              <a:graphicData uri="http://schemas.openxmlformats.org/drawingml/2006/picture">
                <pic:pic>
                  <pic:nvPicPr>
                    <pic:cNvPr id="0" name="report-04-plan.jpg"/>
                    <pic:cNvPicPr/>
                  </pic:nvPicPr>
                  <pic:blipFill>
                    <a:blip r:embed="rId38"/>
                    <a:stretch>
                      <a:fillRect/>
                    </a:stretch>
                  </pic:blipFill>
                  <pic:spPr>
                    <a:xfrm>
                      <a:off x="0" y="0"/>
                      <a:ext cx="3690325" cy="6492240"/>
                    </a:xfrm>
                    <a:prstGeom prst="rect"/>
                  </pic:spPr>
                </pic:pic>
              </a:graphicData>
            </a:graphic>
          </wp:inline>
        </w:drawing>
      </w:r>
    </w:p>
    <w:p>
      <w:pPr>
        <w:pStyle w:val="Caption"/>
        <w:keepNext w:val="0"/>
        <w:spacing w:after="240"/>
        <w:jc w:val="center"/>
      </w:pPr>
      <w:r>
        <w:t>Figure 17. Four-week proof plan linking resume revision, a small build, validation, deployment and application preparation. Earlier text-product build.</w:t>
      </w:r>
    </w:p>
    <w:p>
      <w:pPr>
        <w:keepNext/>
        <w:spacing w:before="120" w:after="140" w:line="269" w:lineRule="auto"/>
        <w:jc w:val="center"/>
      </w:pPr>
      <w:r>
        <w:drawing>
          <wp:inline xmlns:a="http://schemas.openxmlformats.org/drawingml/2006/main" xmlns:pic="http://schemas.openxmlformats.org/drawingml/2006/picture">
            <wp:extent cx="3690325" cy="6492240"/>
            <wp:docPr id="19" name="Picture 19"/>
            <wp:cNvGraphicFramePr>
              <a:graphicFrameLocks noChangeAspect="1"/>
            </wp:cNvGraphicFramePr>
            <a:graphic>
              <a:graphicData uri="http://schemas.openxmlformats.org/drawingml/2006/picture">
                <pic:pic>
                  <pic:nvPicPr>
                    <pic:cNvPr id="0" name="report-05-evidence-a.jpg"/>
                    <pic:cNvPicPr/>
                  </pic:nvPicPr>
                  <pic:blipFill>
                    <a:blip r:embed="rId39"/>
                    <a:stretch>
                      <a:fillRect/>
                    </a:stretch>
                  </pic:blipFill>
                  <pic:spPr>
                    <a:xfrm>
                      <a:off x="0" y="0"/>
                      <a:ext cx="3690325" cy="6492240"/>
                    </a:xfrm>
                    <a:prstGeom prst="rect"/>
                  </pic:spPr>
                </pic:pic>
              </a:graphicData>
            </a:graphic>
          </wp:inline>
        </w:drawing>
      </w:r>
    </w:p>
    <w:p>
      <w:pPr>
        <w:pStyle w:val="Caption"/>
        <w:keepNext w:val="0"/>
        <w:spacing w:after="240"/>
        <w:jc w:val="center"/>
      </w:pPr>
      <w:r>
        <w:t>Figure 18. Evidence checker using visually distinct Safe to add now, Reframe carefully and Needs proof first statuses. Earlier text-product build.</w:t>
      </w:r>
    </w:p>
    <w:p>
      <w:pPr>
        <w:keepNext/>
        <w:spacing w:before="120" w:after="140" w:line="269" w:lineRule="auto"/>
        <w:jc w:val="center"/>
      </w:pPr>
      <w:r>
        <w:drawing>
          <wp:inline xmlns:a="http://schemas.openxmlformats.org/drawingml/2006/main" xmlns:pic="http://schemas.openxmlformats.org/drawingml/2006/picture">
            <wp:extent cx="3895344" cy="6492240"/>
            <wp:docPr id="20" name="Picture 20"/>
            <wp:cNvGraphicFramePr>
              <a:graphicFrameLocks noChangeAspect="1"/>
            </wp:cNvGraphicFramePr>
            <a:graphic>
              <a:graphicData uri="http://schemas.openxmlformats.org/drawingml/2006/picture">
                <pic:pic>
                  <pic:nvPicPr>
                    <pic:cNvPr id="0" name="report-06-evidence-b.jpg"/>
                    <pic:cNvPicPr/>
                  </pic:nvPicPr>
                  <pic:blipFill>
                    <a:blip r:embed="rId40"/>
                    <a:stretch>
                      <a:fillRect/>
                    </a:stretch>
                  </pic:blipFill>
                  <pic:spPr>
                    <a:xfrm>
                      <a:off x="0" y="0"/>
                      <a:ext cx="3895344" cy="6492240"/>
                    </a:xfrm>
                    <a:prstGeom prst="rect"/>
                  </pic:spPr>
                </pic:pic>
              </a:graphicData>
            </a:graphic>
          </wp:inline>
        </w:drawing>
      </w:r>
    </w:p>
    <w:p>
      <w:pPr>
        <w:pStyle w:val="Caption"/>
        <w:keepNext w:val="0"/>
        <w:spacing w:after="240"/>
        <w:jc w:val="center"/>
      </w:pPr>
      <w:r>
        <w:t>Figure 19. Continuation of requirement-level evidence, showing supported web skills and unsupported cloud or MLOps claims. Earlier text-product build.</w:t>
      </w:r>
    </w:p>
    <w:p>
      <w:pPr>
        <w:keepNext/>
        <w:spacing w:before="120" w:after="140" w:line="269" w:lineRule="auto"/>
        <w:jc w:val="center"/>
      </w:pPr>
      <w:r>
        <w:drawing>
          <wp:inline xmlns:a="http://schemas.openxmlformats.org/drawingml/2006/main" xmlns:pic="http://schemas.openxmlformats.org/drawingml/2006/picture">
            <wp:extent cx="3690325" cy="6492240"/>
            <wp:docPr id="21" name="Picture 21"/>
            <wp:cNvGraphicFramePr>
              <a:graphicFrameLocks noChangeAspect="1"/>
            </wp:cNvGraphicFramePr>
            <a:graphic>
              <a:graphicData uri="http://schemas.openxmlformats.org/drawingml/2006/picture">
                <pic:pic>
                  <pic:nvPicPr>
                    <pic:cNvPr id="0" name="report-07-resume.jpg"/>
                    <pic:cNvPicPr/>
                  </pic:nvPicPr>
                  <pic:blipFill>
                    <a:blip r:embed="rId41"/>
                    <a:stretch>
                      <a:fillRect/>
                    </a:stretch>
                  </pic:blipFill>
                  <pic:spPr>
                    <a:xfrm>
                      <a:off x="0" y="0"/>
                      <a:ext cx="3690325" cy="6492240"/>
                    </a:xfrm>
                    <a:prstGeom prst="rect"/>
                  </pic:spPr>
                </pic:pic>
              </a:graphicData>
            </a:graphic>
          </wp:inline>
        </w:drawing>
      </w:r>
    </w:p>
    <w:p>
      <w:pPr>
        <w:pStyle w:val="Caption"/>
        <w:keepNext w:val="0"/>
        <w:spacing w:after="240"/>
        <w:jc w:val="center"/>
      </w:pPr>
      <w:r>
        <w:t>Figure 20. Resume wording workshop separates supported rewrites from claims that require implementation evidence. Earlier text-product build.</w:t>
      </w:r>
    </w:p>
    <w:p>
      <w:pPr>
        <w:keepNext/>
        <w:spacing w:before="120" w:after="140" w:line="269" w:lineRule="auto"/>
        <w:jc w:val="center"/>
      </w:pPr>
      <w:r>
        <w:drawing>
          <wp:inline xmlns:a="http://schemas.openxmlformats.org/drawingml/2006/main" xmlns:pic="http://schemas.openxmlformats.org/drawingml/2006/picture">
            <wp:extent cx="3895344" cy="6492240"/>
            <wp:docPr id="22" name="Picture 22"/>
            <wp:cNvGraphicFramePr>
              <a:graphicFrameLocks noChangeAspect="1"/>
            </wp:cNvGraphicFramePr>
            <a:graphic>
              <a:graphicData uri="http://schemas.openxmlformats.org/drawingml/2006/picture">
                <pic:pic>
                  <pic:nvPicPr>
                    <pic:cNvPr id="0" name="report-08-interview.jpg"/>
                    <pic:cNvPicPr/>
                  </pic:nvPicPr>
                  <pic:blipFill>
                    <a:blip r:embed="rId42"/>
                    <a:stretch>
                      <a:fillRect/>
                    </a:stretch>
                  </pic:blipFill>
                  <pic:spPr>
                    <a:xfrm>
                      <a:off x="0" y="0"/>
                      <a:ext cx="3895344" cy="6492240"/>
                    </a:xfrm>
                    <a:prstGeom prst="rect"/>
                  </pic:spPr>
                </pic:pic>
              </a:graphicData>
            </a:graphic>
          </wp:inline>
        </w:drawing>
      </w:r>
    </w:p>
    <w:p>
      <w:pPr>
        <w:pStyle w:val="Caption"/>
        <w:keepNext w:val="0"/>
        <w:spacing w:after="240"/>
        <w:jc w:val="center"/>
      </w:pPr>
      <w:r>
        <w:t>Figure 21. Role-specific interview preparation identifies likely questions, supporting evidence and areas not to bluff. Earlier text-product build.</w:t>
      </w:r>
    </w:p>
    <w:p>
      <w:pPr>
        <w:keepNext/>
        <w:spacing w:before="120" w:after="140" w:line="269" w:lineRule="auto"/>
        <w:jc w:val="center"/>
      </w:pPr>
      <w:r>
        <w:drawing>
          <wp:inline xmlns:a="http://schemas.openxmlformats.org/drawingml/2006/main" xmlns:pic="http://schemas.openxmlformats.org/drawingml/2006/picture">
            <wp:extent cx="3048530" cy="6492240"/>
            <wp:docPr id="23" name="Picture 23"/>
            <wp:cNvGraphicFramePr>
              <a:graphicFrameLocks noChangeAspect="1"/>
            </wp:cNvGraphicFramePr>
            <a:graphic>
              <a:graphicData uri="http://schemas.openxmlformats.org/drawingml/2006/picture">
                <pic:pic>
                  <pic:nvPicPr>
                    <pic:cNvPr id="0" name="report-09-final.jpg"/>
                    <pic:cNvPicPr/>
                  </pic:nvPicPr>
                  <pic:blipFill>
                    <a:blip r:embed="rId43"/>
                    <a:stretch>
                      <a:fillRect/>
                    </a:stretch>
                  </pic:blipFill>
                  <pic:spPr>
                    <a:xfrm>
                      <a:off x="0" y="0"/>
                      <a:ext cx="3048530" cy="6492240"/>
                    </a:xfrm>
                    <a:prstGeom prst="rect"/>
                  </pic:spPr>
                </pic:pic>
              </a:graphicData>
            </a:graphic>
          </wp:inline>
        </w:drawing>
      </w:r>
    </w:p>
    <w:p>
      <w:pPr>
        <w:pStyle w:val="Caption"/>
        <w:keepNext w:val="0"/>
        <w:spacing w:after="240"/>
        <w:jc w:val="center"/>
      </w:pPr>
      <w:r>
        <w:t>Figure 22. Category score breakdown and the evidence-based final recommendation at the end of the report. Earlier text-product build.</w:t>
      </w:r>
    </w:p>
    <w:p>
      <w:pPr>
        <w:keepNext/>
        <w:spacing w:before="120" w:after="140" w:line="269" w:lineRule="auto"/>
        <w:jc w:val="center"/>
      </w:pPr>
      <w:r>
        <w:drawing>
          <wp:inline xmlns:a="http://schemas.openxmlformats.org/drawingml/2006/main" xmlns:pic="http://schemas.openxmlformats.org/drawingml/2006/picture">
            <wp:extent cx="5806440" cy="6243808"/>
            <wp:docPr id="24" name="Picture 24"/>
            <wp:cNvGraphicFramePr>
              <a:graphicFrameLocks noChangeAspect="1"/>
            </wp:cNvGraphicFramePr>
            <a:graphic>
              <a:graphicData uri="http://schemas.openxmlformats.org/drawingml/2006/picture">
                <pic:pic>
                  <pic:nvPicPr>
                    <pic:cNvPr id="0" name="19-mobile-pair.jpg"/>
                    <pic:cNvPicPr/>
                  </pic:nvPicPr>
                  <pic:blipFill>
                    <a:blip r:embed="rId44"/>
                    <a:stretch>
                      <a:fillRect/>
                    </a:stretch>
                  </pic:blipFill>
                  <pic:spPr>
                    <a:xfrm>
                      <a:off x="0" y="0"/>
                      <a:ext cx="5806440" cy="6243808"/>
                    </a:xfrm>
                    <a:prstGeom prst="rect"/>
                  </pic:spPr>
                </pic:pic>
              </a:graphicData>
            </a:graphic>
          </wp:inline>
        </w:drawing>
      </w:r>
    </w:p>
    <w:p>
      <w:pPr>
        <w:pStyle w:val="Caption"/>
        <w:keepNext w:val="0"/>
        <w:spacing w:after="240"/>
        <w:jc w:val="center"/>
      </w:pPr>
      <w:r>
        <w:t>Figure 23. Mobile dashboard and report at 390 pixels, demonstrating single-column hierarchy without horizontal overflow. Earlier text-product build.</w:t>
      </w:r>
    </w:p>
    <w:p>
      <w:pPr>
        <w:spacing w:line="269" w:lineRule="auto" w:after="140"/>
      </w:pPr>
      <w:r>
        <w:t>Figures 14-22 document the generated report from executive summary through final recommendation. The captured sample achieved a 70% Good Match: skills 86, experience 76, tools 15 and education 100. Its three highest gaps were cloud platforms, RAG/embeddings and MLOps/CI-CD, producing an Apply after light resume edits recommendation. The local engine fixed these scores and labels; the guarded model improved the explanations and proof-building steps. Figure 24 retains the compact deterministic fixture visualisation for comparison. This case demonstrates both useful strengths and deliberately conservative tool gaps; it is not an accuracy benchmark.</w:t>
      </w:r>
    </w:p>
    <w:p>
      <w:pPr>
        <w:keepNext/>
        <w:spacing w:before="120" w:after="140" w:line="269" w:lineRule="auto"/>
        <w:jc w:val="center"/>
      </w:pPr>
      <w:r>
        <w:drawing>
          <wp:inline xmlns:a="http://schemas.openxmlformats.org/drawingml/2006/main" xmlns:pic="http://schemas.openxmlformats.org/drawingml/2006/picture">
            <wp:extent cx="5943600" cy="2566555"/>
            <wp:docPr id="5" name="Picture 5"/>
            <wp:cNvGraphicFramePr>
              <a:graphicFrameLocks noChangeAspect="1"/>
            </wp:cNvGraphicFramePr>
            <a:graphic>
              <a:graphicData uri="http://schemas.openxmlformats.org/drawingml/2006/picture">
                <pic:pic>
                  <pic:nvPicPr>
                    <pic:cNvPr id="0" name="figure-5-sample-result.png"/>
                    <pic:cNvPicPr/>
                  </pic:nvPicPr>
                  <pic:blipFill>
                    <a:blip r:embed="rId13"/>
                    <a:stretch>
                      <a:fillRect/>
                    </a:stretch>
                  </pic:blipFill>
                  <pic:spPr>
                    <a:xfrm>
                      <a:off x="0" y="0"/>
                      <a:ext cx="5943600" cy="2566555"/>
                    </a:xfrm>
                    <a:prstGeom prst="rect"/>
                  </pic:spPr>
                </pic:pic>
              </a:graphicData>
            </a:graphic>
          </wp:inline>
        </w:drawing>
      </w:r>
    </w:p>
    <w:p>
      <w:pPr>
        <w:pStyle w:val="Caption"/>
        <w:keepNext w:val="0"/>
        <w:spacing w:after="240"/>
        <w:jc w:val="center"/>
      </w:pPr>
      <w:r>
        <w:t>Figure 24. Sample deterministic report output generated from the repository's fixed resume and job-description fixtures. Earlier text-product build.</w:t>
      </w:r>
    </w:p>
    <w:p>
      <w:pPr>
        <w:spacing w:line="269" w:lineRule="auto" w:after="140"/>
      </w:pPr>
      <w:r>
        <w:br w:type="page"/>
      </w:r>
    </w:p>
    <w:p>
      <w:pPr>
        <w:pStyle w:val="Heading2"/>
      </w:pPr>
      <w:r>
        <w:t>4.9 Deployment and maintainability</w:t>
      </w:r>
    </w:p>
    <w:p>
      <w:pPr>
        <w:spacing w:line="269" w:lineRule="auto" w:after="140"/>
      </w:pPr>
      <w:r>
        <w:t>The application is configured for Vercel's Next.js deployment. Public environment variables contain only the Supabase project URL and publishable key. Schema changes are recorded as SQL migrations, while secrets are excluded from the repository. The production build distinguishes static public pages from dynamic authenticated pages and route handlers.</w:t>
      </w:r>
    </w:p>
    <w:p>
      <w:pPr>
        <w:spacing w:line="269" w:lineRule="auto" w:after="140"/>
      </w:pPr>
      <w:r>
        <w:t>The project remains one typed Next.js codebase. The additive migration 20260927203904_add_multimodal_career_workflow.sql extends, rather than rewrites, the foundation. Model IDs are configurable server-side and checked for distinctness. Provider requests have bounded timeouts and no automatic retry multiplication. Reproducible synthetic fixtures, model-result JSON and a disposable-account browser runner support regression checks; the production app itself does not require an administrator key.</w:t>
      </w:r>
    </w:p>
    <w:p>
      <w:pPr>
        <w:spacing w:line="269" w:lineRule="auto" w:after="140"/>
      </w:pPr>
      <w:r>
        <w:br w:type="page"/>
      </w:r>
    </w:p>
    <w:p>
      <w:pPr>
        <w:pStyle w:val="Heading2"/>
      </w:pPr>
      <w:r>
        <w:t>4.10 Scanned resumes and spoken interview practice</w:t>
      </w:r>
    </w:p>
    <w:p>
      <w:pPr>
        <w:spacing w:line="269" w:lineRule="auto" w:after="140"/>
      </w:pPr>
      <w:r>
        <w:t>lib/openai-media.ts supplies server-only adapters for all three media operations. Image extraction uses the Responses API with a bounded text-and-warnings schema. lib/audio.ts decodes accepted audio locally and resamples it to mono 16kHz PCM WAV. The server checks canonical headers, byte counts, duration and non-silent energy before transcription. Audio is limited to ninety seconds; decoding and upload errors leave typed answers available. A selected report question is derived server-side, not accepted as arbitrary client authority.</w:t>
      </w:r>
    </w:p>
    <w:p>
      <w:pPr>
        <w:spacing w:line="269" w:lineRule="auto" w:after="140"/>
      </w:pPr>
      <w:r>
        <w:t>InterviewPractice provides recording, upload, playback, consent, transcript correction and save states on the existing report page. The model receives the answer and report evidence, not permission to change scores. groundedFeedbackSchema constructs an enumeration of actual transcript spans for quotation fields; validateFeedbackQuotes then checks the returned quotations against the source. The rest of the feedback remains generated interpretation and still requires review. A timeout or invalid response stores a clearly labelled local preparation checklist instead of pretending that AI feedback succeeded.</w:t>
      </w:r>
    </w:p>
    <w:p>
      <w:pPr>
        <w:spacing w:line="269" w:lineRule="auto" w:after="140"/>
      </w:pPr>
      <w:r>
        <w:t>The approved additive migration creates owner-only interview_practice and model_operations tables. save_interview_practice checks the reservation owner, parent report and selected question before saving. Report deletion cascades to feedback, while quota records remain until account deletion. The implementation uses media request schemas and streamed body limits, and blocks cross-site browser origins while accommodating Next.js localhost host normalisation. Hydration and audio object-URL lifecycle defects found during browser checks were fixed before the successful rerun.</w:t>
      </w:r>
    </w:p>
    <w:p>
      <w:pPr>
        <w:spacing w:line="269" w:lineRule="auto" w:after="140"/>
      </w:pPr>
      <w:r>
        <w:t>Figures 25-30 document the final local workflow using synthetic content and live providers. They show consent, reviewed extraction, the resulting report, audio preparation, corrected transcription and saved feedback. The earlier Figures 6-23 document the established text-product interface; they are retained for coverage, not presented as evidence of the new media routes. The final mobile and credit-limit states are shown in Figures 31-32.</w:t>
      </w:r>
    </w:p>
    <w:p>
      <w:pPr>
        <w:keepNext/>
        <w:spacing w:line="269" w:lineRule="auto" w:after="140"/>
      </w:pPr>
      <w:r>
        <w:drawing>
          <wp:inline xmlns:a="http://schemas.openxmlformats.org/drawingml/2006/main" xmlns:pic="http://schemas.openxmlformats.org/drawingml/2006/picture">
            <wp:extent cx="5760720" cy="4000500"/>
            <wp:docPr id="27" name="Picture 27"/>
            <wp:cNvGraphicFramePr>
              <a:graphicFrameLocks noChangeAspect="1"/>
            </wp:cNvGraphicFramePr>
            <a:graphic>
              <a:graphicData uri="http://schemas.openxmlformats.org/drawingml/2006/picture">
                <pic:pic>
                  <pic:nvPicPr>
                    <pic:cNvPr id="0" name="03-scan-consent.png"/>
                    <pic:cNvPicPr/>
                  </pic:nvPicPr>
                  <pic:blipFill>
                    <a:blip r:embed="rId47"/>
                    <a:stretch>
                      <a:fillRect/>
                    </a:stretch>
                  </pic:blipFill>
                  <pic:spPr>
                    <a:xfrm>
                      <a:off x="0" y="0"/>
                      <a:ext cx="5760720" cy="4000500"/>
                    </a:xfrm>
                    <a:prstGeom prst="rect"/>
                  </pic:spPr>
                </pic:pic>
              </a:graphicData>
            </a:graphic>
          </wp:inline>
        </w:drawing>
      </w:r>
    </w:p>
    <w:p>
      <w:pPr>
        <w:pStyle w:val="Caption"/>
        <w:keepNext w:val="0"/>
        <w:spacing w:after="240"/>
      </w:pPr>
      <w:r>
        <w:t>Figure 25. Scanned PDF fallback requires explicit consent before provider processing.</w:t>
      </w:r>
    </w:p>
    <w:p>
      <w:pPr>
        <w:keepNext/>
        <w:spacing w:line="269" w:lineRule="auto" w:after="140"/>
      </w:pPr>
      <w:r>
        <w:drawing>
          <wp:inline xmlns:a="http://schemas.openxmlformats.org/drawingml/2006/main" xmlns:pic="http://schemas.openxmlformats.org/drawingml/2006/picture">
            <wp:extent cx="5760720" cy="4000500"/>
            <wp:docPr id="28" name="Picture 28"/>
            <wp:cNvGraphicFramePr>
              <a:graphicFrameLocks noChangeAspect="1"/>
            </wp:cNvGraphicFramePr>
            <a:graphic>
              <a:graphicData uri="http://schemas.openxmlformats.org/drawingml/2006/picture">
                <pic:pic>
                  <pic:nvPicPr>
                    <pic:cNvPr id="0" name="04-reviewed-resume.png"/>
                    <pic:cNvPicPr/>
                  </pic:nvPicPr>
                  <pic:blipFill>
                    <a:blip r:embed="rId48"/>
                    <a:stretch>
                      <a:fillRect/>
                    </a:stretch>
                  </pic:blipFill>
                  <pic:spPr>
                    <a:xfrm>
                      <a:off x="0" y="0"/>
                      <a:ext cx="5760720" cy="4000500"/>
                    </a:xfrm>
                    <a:prstGeom prst="rect"/>
                  </pic:spPr>
                </pic:pic>
              </a:graphicData>
            </a:graphic>
          </wp:inline>
        </w:drawing>
      </w:r>
    </w:p>
    <w:p>
      <w:pPr>
        <w:pStyle w:val="Caption"/>
        <w:keepNext w:val="0"/>
        <w:spacing w:after="240"/>
      </w:pPr>
      <w:r>
        <w:t>Figure 26. Vision output is editable and labelled for review before analysis.</w:t>
      </w:r>
    </w:p>
    <w:p>
      <w:pPr>
        <w:keepNext/>
        <w:spacing w:line="269" w:lineRule="auto" w:after="140"/>
      </w:pPr>
      <w:r>
        <w:drawing>
          <wp:inline xmlns:a="http://schemas.openxmlformats.org/drawingml/2006/main" xmlns:pic="http://schemas.openxmlformats.org/drawingml/2006/picture">
            <wp:extent cx="5760720" cy="4000500"/>
            <wp:docPr id="29" name="Picture 29"/>
            <wp:cNvGraphicFramePr>
              <a:graphicFrameLocks noChangeAspect="1"/>
            </wp:cNvGraphicFramePr>
            <a:graphic>
              <a:graphicData uri="http://schemas.openxmlformats.org/drawingml/2006/picture">
                <pic:pic>
                  <pic:nvPicPr>
                    <pic:cNvPr id="0" name="05-report-summary.png"/>
                    <pic:cNvPicPr/>
                  </pic:nvPicPr>
                  <pic:blipFill>
                    <a:blip r:embed="rId49"/>
                    <a:stretch>
                      <a:fillRect/>
                    </a:stretch>
                  </pic:blipFill>
                  <pic:spPr>
                    <a:xfrm>
                      <a:off x="0" y="0"/>
                      <a:ext cx="5760720" cy="4000500"/>
                    </a:xfrm>
                    <a:prstGeom prst="rect"/>
                  </pic:spPr>
                </pic:pic>
              </a:graphicData>
            </a:graphic>
          </wp:inline>
        </w:drawing>
      </w:r>
    </w:p>
    <w:p>
      <w:pPr>
        <w:pStyle w:val="Caption"/>
        <w:keepNext w:val="0"/>
        <w:spacing w:after="240"/>
      </w:pPr>
      <w:r>
        <w:t>Figure 27. Actual report created from the scanned fixture, with one analysis credit spent.</w:t>
      </w:r>
    </w:p>
    <w:p>
      <w:pPr>
        <w:keepNext/>
        <w:spacing w:line="269" w:lineRule="auto" w:after="140"/>
      </w:pPr>
      <w:r>
        <w:drawing>
          <wp:inline xmlns:a="http://schemas.openxmlformats.org/drawingml/2006/main" xmlns:pic="http://schemas.openxmlformats.org/drawingml/2006/picture">
            <wp:extent cx="5760720" cy="4000500"/>
            <wp:docPr id="30" name="Picture 30"/>
            <wp:cNvGraphicFramePr>
              <a:graphicFrameLocks noChangeAspect="1"/>
            </wp:cNvGraphicFramePr>
            <a:graphic>
              <a:graphicData uri="http://schemas.openxmlformats.org/drawingml/2006/picture">
                <pic:pic>
                  <pic:nvPicPr>
                    <pic:cNvPr id="0" name="07-audio-ready.png"/>
                    <pic:cNvPicPr/>
                  </pic:nvPicPr>
                  <pic:blipFill>
                    <a:blip r:embed="rId50"/>
                    <a:stretch>
                      <a:fillRect/>
                    </a:stretch>
                  </pic:blipFill>
                  <pic:spPr>
                    <a:xfrm>
                      <a:off x="0" y="0"/>
                      <a:ext cx="5760720" cy="4000500"/>
                    </a:xfrm>
                    <a:prstGeom prst="rect"/>
                  </pic:spPr>
                </pic:pic>
              </a:graphicData>
            </a:graphic>
          </wp:inline>
        </w:drawing>
      </w:r>
    </w:p>
    <w:p>
      <w:pPr>
        <w:pStyle w:val="Caption"/>
        <w:keepNext w:val="0"/>
        <w:spacing w:after="240"/>
      </w:pPr>
      <w:r>
        <w:t>Figure 28. Short interview audio can be previewed before transcription.</w:t>
      </w:r>
    </w:p>
    <w:p>
      <w:pPr>
        <w:keepNext/>
        <w:spacing w:line="269" w:lineRule="auto" w:after="140"/>
      </w:pPr>
      <w:r>
        <w:drawing>
          <wp:inline xmlns:a="http://schemas.openxmlformats.org/drawingml/2006/main" xmlns:pic="http://schemas.openxmlformats.org/drawingml/2006/picture">
            <wp:extent cx="5760720" cy="4000500"/>
            <wp:docPr id="31" name="Picture 31"/>
            <wp:cNvGraphicFramePr>
              <a:graphicFrameLocks noChangeAspect="1"/>
            </wp:cNvGraphicFramePr>
            <a:graphic>
              <a:graphicData uri="http://schemas.openxmlformats.org/drawingml/2006/picture">
                <pic:pic>
                  <pic:nvPicPr>
                    <pic:cNvPr id="0" name="08-transcript-review.png"/>
                    <pic:cNvPicPr/>
                  </pic:nvPicPr>
                  <pic:blipFill>
                    <a:blip r:embed="rId51"/>
                    <a:stretch>
                      <a:fillRect/>
                    </a:stretch>
                  </pic:blipFill>
                  <pic:spPr>
                    <a:xfrm>
                      <a:off x="0" y="0"/>
                      <a:ext cx="5760720" cy="4000500"/>
                    </a:xfrm>
                    <a:prstGeom prst="rect"/>
                  </pic:spPr>
                </pic:pic>
              </a:graphicData>
            </a:graphic>
          </wp:inline>
        </w:drawing>
      </w:r>
    </w:p>
    <w:p>
      <w:pPr>
        <w:pStyle w:val="Caption"/>
        <w:keepNext w:val="0"/>
        <w:spacing w:after="240"/>
      </w:pPr>
      <w:r>
        <w:t>Figure 29. The applicant reviews the transcript before requesting feedback.</w:t>
      </w:r>
    </w:p>
    <w:p>
      <w:pPr>
        <w:keepNext/>
        <w:spacing w:line="269" w:lineRule="auto" w:after="140"/>
      </w:pPr>
      <w:r>
        <w:drawing>
          <wp:inline xmlns:a="http://schemas.openxmlformats.org/drawingml/2006/main" xmlns:pic="http://schemas.openxmlformats.org/drawingml/2006/picture">
            <wp:extent cx="5760720" cy="4000500"/>
            <wp:docPr id="32" name="Picture 32"/>
            <wp:cNvGraphicFramePr>
              <a:graphicFrameLocks noChangeAspect="1"/>
            </wp:cNvGraphicFramePr>
            <a:graphic>
              <a:graphicData uri="http://schemas.openxmlformats.org/drawingml/2006/picture">
                <pic:pic>
                  <pic:nvPicPr>
                    <pic:cNvPr id="0" name="09-saved-feedback.png"/>
                    <pic:cNvPicPr/>
                  </pic:nvPicPr>
                  <pic:blipFill>
                    <a:blip r:embed="rId52"/>
                    <a:stretch>
                      <a:fillRect/>
                    </a:stretch>
                  </pic:blipFill>
                  <pic:spPr>
                    <a:xfrm>
                      <a:off x="0" y="0"/>
                      <a:ext cx="5760720" cy="4000500"/>
                    </a:xfrm>
                    <a:prstGeom prst="rect"/>
                  </pic:spPr>
                </pic:pic>
              </a:graphicData>
            </a:graphic>
          </wp:inline>
        </w:drawing>
      </w:r>
    </w:p>
    <w:p>
      <w:pPr>
        <w:pStyle w:val="Caption"/>
        <w:keepNext w:val="0"/>
        <w:spacing w:after="240"/>
      </w:pPr>
      <w:r>
        <w:t>Figure 30. Saved feedback quotes source excerpts and distinguishes unsupported claims.</w:t>
      </w:r>
    </w:p>
    <w:p>
      <w:pPr>
        <w:keepNext/>
        <w:spacing w:line="269" w:lineRule="auto" w:after="140"/>
      </w:pPr>
      <w:r>
        <w:drawing>
          <wp:inline xmlns:a="http://schemas.openxmlformats.org/drawingml/2006/main" xmlns:pic="http://schemas.openxmlformats.org/drawingml/2006/picture">
            <wp:extent cx="2743200" cy="6330462"/>
            <wp:docPr id="33" name="Picture 33"/>
            <wp:cNvGraphicFramePr>
              <a:graphicFrameLocks noChangeAspect="1"/>
            </wp:cNvGraphicFramePr>
            <a:graphic>
              <a:graphicData uri="http://schemas.openxmlformats.org/drawingml/2006/picture">
                <pic:pic>
                  <pic:nvPicPr>
                    <pic:cNvPr id="0" name="10-practice-390.png"/>
                    <pic:cNvPicPr/>
                  </pic:nvPicPr>
                  <pic:blipFill>
                    <a:blip r:embed="rId53"/>
                    <a:stretch>
                      <a:fillRect/>
                    </a:stretch>
                  </pic:blipFill>
                  <pic:spPr>
                    <a:xfrm>
                      <a:off x="0" y="0"/>
                      <a:ext cx="2743200" cy="6330462"/>
                    </a:xfrm>
                    <a:prstGeom prst="rect"/>
                  </pic:spPr>
                </pic:pic>
              </a:graphicData>
            </a:graphic>
          </wp:inline>
        </w:drawing>
      </w:r>
    </w:p>
    <w:p>
      <w:pPr>
        <w:pStyle w:val="Caption"/>
        <w:keepNext w:val="0"/>
        <w:spacing w:after="240"/>
      </w:pPr>
      <w:r>
        <w:t>Figure 31. Final interview workflow at a 390-pixel viewport; no horizontal overflow.</w:t>
      </w:r>
    </w:p>
    <w:p>
      <w:pPr>
        <w:keepNext/>
        <w:spacing w:line="269" w:lineRule="auto" w:after="140"/>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12-zero-credits.png"/>
                    <pic:cNvPicPr/>
                  </pic:nvPicPr>
                  <pic:blipFill>
                    <a:blip r:embed="rId54"/>
                    <a:stretch>
                      <a:fillRect/>
                    </a:stretch>
                  </pic:blipFill>
                  <pic:spPr>
                    <a:xfrm>
                      <a:off x="0" y="0"/>
                      <a:ext cx="5760720" cy="3600450"/>
                    </a:xfrm>
                    <a:prstGeom prst="rect"/>
                  </pic:spPr>
                </pic:pic>
              </a:graphicData>
            </a:graphic>
          </wp:inline>
        </w:drawing>
      </w:r>
    </w:p>
    <w:p>
      <w:pPr>
        <w:pStyle w:val="Caption"/>
        <w:keepNext w:val="0"/>
        <w:spacing w:after="240"/>
      </w:pPr>
      <w:r>
        <w:t>Figure 32. Daily analysis exhaustion produces a clear disabled state.</w:t>
      </w:r>
    </w:p>
    <w:p>
      <w:pPr>
        <w:spacing w:line="269" w:lineRule="auto" w:after="140"/>
      </w:pPr>
      <w:r>
        <w:t>The provider interfaces follow OpenAI image and file-transcription documentation (OpenAI, n.d.-a; n.d.-b). API availability was checked through actual calls; provider model names identify pretrained services, not locally trained checkpoints.</w:t>
      </w:r>
    </w:p>
    <w:p>
      <w:pPr>
        <w:pStyle w:val="Heading1"/>
        <w:pageBreakBefore/>
      </w:pPr>
      <w:r>
        <w:t>5. Evaluation (1967/2500 words)</w:t>
      </w:r>
    </w:p>
    <w:p>
      <w:pPr>
        <w:pStyle w:val="Heading2"/>
      </w:pPr>
      <w:r>
        <w:rPr>
          <w:rFonts w:ascii="Arial" w:hAnsi="Arial" w:eastAsia="Arial"/>
          <w:color w:val="000000"/>
          <w:sz w:val="32"/>
        </w:rPr>
        <w:t>5.1 Evaluation strategy</w:t>
      </w:r>
    </w:p>
    <w:p>
      <w:pPr>
        <w:spacing w:line="269" w:lineRule="auto" w:after="140"/>
      </w:pPr>
      <w:r>
        <w:t>Evaluation addresses model orchestration as well as the web product. Deterministic and schema tests cover invariant preservation; executable SQL tests cover ownership and quota transitions; live model comparisons measure extraction and grounding; and browser tests connect the modalities through a saved report. This combination addresses RQ1-RQ3 without treating a polished screen or one percentage as evidence of career effectiveness.</w:t>
      </w:r>
    </w:p>
    <w:p>
      <w:pPr>
        <w:spacing w:line="269" w:lineRule="auto" w:after="140"/>
      </w:pPr>
      <w:r>
        <w:t>The current evaluation does not use interview outcomes as ground truth because they depend on labour-market conditions, applicant behaviour and employer decisions beyond the document. Nor does a passing test suite prove that career guidance is effective. Automated checks establish correctness for specified cases; manual production tests establish integration feasibility; screenshots establish that the intended states rendered; users and a labelled requirement-evidence corpus are still required to evaluate interpretation, semantic coverage and recommendation usefulness.</w:t>
      </w:r>
    </w:p>
    <w:p>
      <w:pPr>
        <w:pStyle w:val="Heading2"/>
      </w:pPr>
      <w:r>
        <w:t>5.2 Test plan and acceptance criteria</w:t>
      </w:r>
    </w:p>
    <w:p>
      <w:pPr>
        <w:spacing w:line="269" w:lineRule="auto" w:after="140"/>
      </w:pPr>
      <w:r>
        <w:t>Testing follows a risk-based plan (Table 3). Each case states its input, observable outcome and evidence level. Invalid requests should be rejected before processing, models must not change authoritative fields, and new media must not spend a full-analysis credit. Browser checks exercise the actual local application with live Supabase and OpenAI, using disposable synthetic accounts. Database tests run separately in PGlite; they are not labelled hosted stress tests.</w:t>
      </w:r>
    </w:p>
    <w:p>
      <w:pPr>
        <w:spacing w:line="269" w:lineRule="auto" w:after="140"/>
      </w:pPr>
      <w:r>
        <w:t>The matrix distinguishes automated evidence, manual production evidence and remaining limitations. A Pass means the stated criterion was observed in the named run. Partial is used where a contract or prior controlled scenario passed but a stronger runtime test remains necessary. This prevents skipped credential-dependent tests or unperformed destructive fault injection from being counted as current passes.</w:t>
      </w:r>
    </w:p>
    <w:p>
      <w:pPr>
        <w:pStyle w:val="Caption"/>
        <w:keepNext w:val="0"/>
        <w:spacing w:after="240"/>
      </w:pPr>
      <w:r>
        <w:t>Table 3. Risk-based functional, security and presentation test plan with observed results.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blHeader/>
          <w:cantSplit/>
        </w:trPr>
        <w:tc>
          <w:tcPr>
            <w:tcW w:type="dxa" w:w="648"/>
            <w:shd w:fill="E9DDD0"/>
          </w:tcPr>
          <w:p>
            <w:pPr>
              <w:spacing w:after="100"/>
            </w:pPr>
            <w:r>
              <w:rPr>
                <w:sz w:val="18"/>
              </w:rPr>
            </w:r>
            <w:r>
              <w:rPr>
                <w:rFonts w:ascii="Arial" w:hAnsi="Arial"/>
                <w:b/>
                <w:sz w:val="18"/>
              </w:rPr>
              <w:t>ID</w:t>
            </w:r>
          </w:p>
        </w:tc>
        <w:tc>
          <w:tcPr>
            <w:tcW w:type="dxa" w:w="1944"/>
            <w:shd w:fill="E9DDD0"/>
          </w:tcPr>
          <w:p>
            <w:pPr>
              <w:spacing w:after="100"/>
            </w:pPr>
            <w:r>
              <w:rPr>
                <w:sz w:val="18"/>
              </w:rPr>
            </w:r>
            <w:r>
              <w:rPr>
                <w:rFonts w:ascii="Arial" w:hAnsi="Arial"/>
                <w:b/>
                <w:sz w:val="18"/>
              </w:rPr>
              <w:t>Scenario and method</w:t>
            </w:r>
          </w:p>
        </w:tc>
        <w:tc>
          <w:tcPr>
            <w:tcW w:type="dxa" w:w="2520"/>
            <w:shd w:fill="E9DDD0"/>
          </w:tcPr>
          <w:p>
            <w:pPr>
              <w:spacing w:after="100"/>
            </w:pPr>
            <w:r>
              <w:rPr>
                <w:sz w:val="18"/>
              </w:rPr>
            </w:r>
            <w:r>
              <w:rPr>
                <w:rFonts w:ascii="Arial" w:hAnsi="Arial"/>
                <w:b/>
                <w:sz w:val="18"/>
              </w:rPr>
              <w:t>Acceptance criterion</w:t>
            </w:r>
          </w:p>
        </w:tc>
        <w:tc>
          <w:tcPr>
            <w:tcW w:type="dxa" w:w="2520"/>
            <w:shd w:fill="E9DDD0"/>
          </w:tcPr>
          <w:p>
            <w:pPr>
              <w:spacing w:after="100"/>
            </w:pPr>
            <w:r>
              <w:rPr>
                <w:sz w:val="18"/>
              </w:rPr>
            </w:r>
            <w:r>
              <w:rPr>
                <w:rFonts w:ascii="Arial" w:hAnsi="Arial"/>
                <w:b/>
                <w:sz w:val="18"/>
              </w:rPr>
              <w:t>Observed result</w:t>
            </w:r>
          </w:p>
        </w:tc>
        <w:tc>
          <w:tcPr>
            <w:tcW w:type="dxa" w:w="936"/>
            <w:shd w:fill="E9DDD0"/>
          </w:tcPr>
          <w:p>
            <w:pPr>
              <w:spacing w:after="100"/>
            </w:pPr>
            <w:r>
              <w:rPr>
                <w:sz w:val="18"/>
              </w:rPr>
            </w:r>
            <w:r>
              <w:rPr>
                <w:rFonts w:ascii="Arial" w:hAnsi="Arial"/>
                <w:b/>
                <w:sz w:val="18"/>
              </w:rPr>
              <w:t>Status</w:t>
            </w:r>
          </w:p>
        </w:tc>
      </w:tr>
      <w:tr>
        <w:trPr>
          <w:cantSplit/>
        </w:trPr>
        <w:tc>
          <w:tcPr>
            <w:tcW w:type="dxa" w:w="648"/>
          </w:tcPr>
          <w:p>
            <w:pPr>
              <w:spacing w:after="100"/>
            </w:pPr>
            <w:r>
              <w:rPr>
                <w:sz w:val="18"/>
              </w:rPr>
              <w:t>TP01</w:t>
            </w:r>
          </w:p>
        </w:tc>
        <w:tc>
          <w:tcPr>
            <w:tcW w:type="dxa" w:w="1944"/>
          </w:tcPr>
          <w:p>
            <w:pPr>
              <w:spacing w:after="100"/>
            </w:pPr>
            <w:r>
              <w:rPr>
                <w:sz w:val="18"/>
              </w:rPr>
              <w:t>Public browser UI</w:t>
            </w:r>
          </w:p>
        </w:tc>
        <w:tc>
          <w:tcPr>
            <w:tcW w:type="dxa" w:w="2520"/>
          </w:tcPr>
          <w:p>
            <w:pPr>
              <w:spacing w:after="100"/>
            </w:pPr>
            <w:r>
              <w:rPr>
                <w:sz w:val="18"/>
              </w:rPr>
              <w:t>Desktop/mobile entry and validation</w:t>
            </w:r>
          </w:p>
        </w:tc>
        <w:tc>
          <w:tcPr>
            <w:tcW w:type="dxa" w:w="2520"/>
          </w:tcPr>
          <w:p>
            <w:pPr>
              <w:spacing w:after="100"/>
            </w:pPr>
            <w:r>
              <w:rPr>
                <w:sz w:val="18"/>
              </w:rPr>
              <w:t>6 browser checks</w:t>
            </w:r>
          </w:p>
        </w:tc>
        <w:tc>
          <w:tcPr>
            <w:tcW w:type="dxa" w:w="936"/>
            <w:shd w:fill="E8F2EB"/>
          </w:tcPr>
          <w:p>
            <w:pPr>
              <w:spacing w:after="100"/>
            </w:pPr>
            <w:r>
              <w:rPr>
                <w:sz w:val="18"/>
              </w:rPr>
              <w:t>Pass</w:t>
            </w:r>
          </w:p>
        </w:tc>
      </w:tr>
      <w:tr>
        <w:trPr>
          <w:cantSplit/>
        </w:trPr>
        <w:tc>
          <w:tcPr>
            <w:tcW w:type="dxa" w:w="648"/>
          </w:tcPr>
          <w:p>
            <w:pPr>
              <w:spacing w:after="100"/>
            </w:pPr>
            <w:r>
              <w:rPr>
                <w:sz w:val="18"/>
              </w:rPr>
              <w:t>TP02</w:t>
            </w:r>
          </w:p>
        </w:tc>
        <w:tc>
          <w:tcPr>
            <w:tcW w:type="dxa" w:w="1944"/>
          </w:tcPr>
          <w:p>
            <w:pPr>
              <w:spacing w:after="100"/>
            </w:pPr>
            <w:r>
              <w:rPr>
                <w:sz w:val="18"/>
              </w:rPr>
              <w:t>Authentication</w:t>
            </w:r>
          </w:p>
        </w:tc>
        <w:tc>
          <w:tcPr>
            <w:tcW w:type="dxa" w:w="2520"/>
          </w:tcPr>
          <w:p>
            <w:pPr>
              <w:spacing w:after="100"/>
            </w:pPr>
            <w:r>
              <w:rPr>
                <w:sz w:val="18"/>
              </w:rPr>
              <w:t>Login, persisted session, protected routes</w:t>
            </w:r>
          </w:p>
        </w:tc>
        <w:tc>
          <w:tcPr>
            <w:tcW w:type="dxa" w:w="2520"/>
          </w:tcPr>
          <w:p>
            <w:pPr>
              <w:spacing w:after="100"/>
            </w:pPr>
            <w:r>
              <w:rPr>
                <w:sz w:val="18"/>
              </w:rPr>
              <w:t>Disposable accounts; signup email not rerun</w:t>
            </w:r>
          </w:p>
        </w:tc>
        <w:tc>
          <w:tcPr>
            <w:tcW w:type="dxa" w:w="936"/>
            <w:shd w:fill="FFF3DB"/>
          </w:tcPr>
          <w:p>
            <w:pPr>
              <w:spacing w:after="100"/>
            </w:pPr>
            <w:r>
              <w:rPr>
                <w:sz w:val="18"/>
              </w:rPr>
              <w:t>Partial</w:t>
            </w:r>
          </w:p>
        </w:tc>
      </w:tr>
      <w:tr>
        <w:trPr>
          <w:cantSplit/>
        </w:trPr>
        <w:tc>
          <w:tcPr>
            <w:tcW w:type="dxa" w:w="648"/>
          </w:tcPr>
          <w:p>
            <w:pPr>
              <w:spacing w:after="100"/>
            </w:pPr>
            <w:r>
              <w:rPr>
                <w:sz w:val="18"/>
              </w:rPr>
              <w:t>TP03</w:t>
            </w:r>
          </w:p>
        </w:tc>
        <w:tc>
          <w:tcPr>
            <w:tcW w:type="dxa" w:w="1944"/>
          </w:tcPr>
          <w:p>
            <w:pPr>
              <w:spacing w:after="100"/>
            </w:pPr>
            <w:r>
              <w:rPr>
                <w:sz w:val="18"/>
              </w:rPr>
              <w:t>Selectable PDF</w:t>
            </w:r>
          </w:p>
        </w:tc>
        <w:tc>
          <w:tcPr>
            <w:tcW w:type="dxa" w:w="2520"/>
          </w:tcPr>
          <w:p>
            <w:pPr>
              <w:spacing w:after="100"/>
            </w:pPr>
            <w:r>
              <w:rPr>
                <w:sz w:val="18"/>
              </w:rPr>
              <w:t>Local editable extraction</w:t>
            </w:r>
          </w:p>
        </w:tc>
        <w:tc>
          <w:tcPr>
            <w:tcW w:type="dxa" w:w="2520"/>
          </w:tcPr>
          <w:p>
            <w:pPr>
              <w:spacing w:after="100"/>
            </w:pPr>
            <w:r>
              <w:rPr>
                <w:sz w:val="18"/>
              </w:rPr>
              <w:t>Flask text recovered</w:t>
            </w:r>
          </w:p>
        </w:tc>
        <w:tc>
          <w:tcPr>
            <w:tcW w:type="dxa" w:w="936"/>
            <w:shd w:fill="E8F2EB"/>
          </w:tcPr>
          <w:p>
            <w:pPr>
              <w:spacing w:after="100"/>
            </w:pPr>
            <w:r>
              <w:rPr>
                <w:sz w:val="18"/>
              </w:rPr>
              <w:t>Pass</w:t>
            </w:r>
          </w:p>
        </w:tc>
      </w:tr>
      <w:tr>
        <w:trPr>
          <w:cantSplit/>
        </w:trPr>
        <w:tc>
          <w:tcPr>
            <w:tcW w:type="dxa" w:w="648"/>
          </w:tcPr>
          <w:p>
            <w:pPr>
              <w:spacing w:after="100"/>
            </w:pPr>
            <w:r>
              <w:rPr>
                <w:sz w:val="18"/>
              </w:rPr>
              <w:t>TP04</w:t>
            </w:r>
          </w:p>
        </w:tc>
        <w:tc>
          <w:tcPr>
            <w:tcW w:type="dxa" w:w="1944"/>
          </w:tcPr>
          <w:p>
            <w:pPr>
              <w:spacing w:after="100"/>
            </w:pPr>
            <w:r>
              <w:rPr>
                <w:sz w:val="18"/>
              </w:rPr>
              <w:t>Scanned PDF</w:t>
            </w:r>
          </w:p>
        </w:tc>
        <w:tc>
          <w:tcPr>
            <w:tcW w:type="dxa" w:w="2520"/>
          </w:tcPr>
          <w:p>
            <w:pPr>
              <w:spacing w:after="100"/>
            </w:pPr>
            <w:r>
              <w:rPr>
                <w:sz w:val="18"/>
              </w:rPr>
              <w:t>Consent and real vision output</w:t>
            </w:r>
          </w:p>
        </w:tc>
        <w:tc>
          <w:tcPr>
            <w:tcW w:type="dxa" w:w="2520"/>
          </w:tcPr>
          <w:p>
            <w:pPr>
              <w:spacing w:after="100"/>
            </w:pPr>
            <w:r>
              <w:rPr>
                <w:sz w:val="18"/>
              </w:rPr>
              <w:t>Live extraction to report</w:t>
            </w:r>
          </w:p>
        </w:tc>
        <w:tc>
          <w:tcPr>
            <w:tcW w:type="dxa" w:w="936"/>
            <w:shd w:fill="E8F2EB"/>
          </w:tcPr>
          <w:p>
            <w:pPr>
              <w:spacing w:after="100"/>
            </w:pPr>
            <w:r>
              <w:rPr>
                <w:sz w:val="18"/>
              </w:rPr>
              <w:t>Pass</w:t>
            </w:r>
          </w:p>
        </w:tc>
      </w:tr>
      <w:tr>
        <w:trPr>
          <w:cantSplit/>
        </w:trPr>
        <w:tc>
          <w:tcPr>
            <w:tcW w:type="dxa" w:w="648"/>
          </w:tcPr>
          <w:p>
            <w:pPr>
              <w:spacing w:after="100"/>
            </w:pPr>
            <w:r>
              <w:rPr>
                <w:sz w:val="18"/>
              </w:rPr>
              <w:t>TP05</w:t>
            </w:r>
          </w:p>
        </w:tc>
        <w:tc>
          <w:tcPr>
            <w:tcW w:type="dxa" w:w="1944"/>
          </w:tcPr>
          <w:p>
            <w:pPr>
              <w:spacing w:after="100"/>
            </w:pPr>
            <w:r>
              <w:rPr>
                <w:sz w:val="18"/>
              </w:rPr>
              <w:t>Audio upload</w:t>
            </w:r>
          </w:p>
        </w:tc>
        <w:tc>
          <w:tcPr>
            <w:tcW w:type="dxa" w:w="2520"/>
          </w:tcPr>
          <w:p>
            <w:pPr>
              <w:spacing w:after="100"/>
            </w:pPr>
            <w:r>
              <w:rPr>
                <w:sz w:val="18"/>
              </w:rPr>
              <w:t>Verified WAV and transcription</w:t>
            </w:r>
          </w:p>
        </w:tc>
        <w:tc>
          <w:tcPr>
            <w:tcW w:type="dxa" w:w="2520"/>
          </w:tcPr>
          <w:p>
            <w:pPr>
              <w:spacing w:after="100"/>
            </w:pPr>
            <w:r>
              <w:rPr>
                <w:sz w:val="18"/>
              </w:rPr>
              <w:t>Live speech model</w:t>
            </w:r>
          </w:p>
        </w:tc>
        <w:tc>
          <w:tcPr>
            <w:tcW w:type="dxa" w:w="936"/>
            <w:shd w:fill="E8F2EB"/>
          </w:tcPr>
          <w:p>
            <w:pPr>
              <w:spacing w:after="100"/>
            </w:pPr>
            <w:r>
              <w:rPr>
                <w:sz w:val="18"/>
              </w:rPr>
              <w:t>Pass</w:t>
            </w:r>
          </w:p>
        </w:tc>
      </w:tr>
      <w:tr>
        <w:trPr>
          <w:cantSplit/>
        </w:trPr>
        <w:tc>
          <w:tcPr>
            <w:tcW w:type="dxa" w:w="648"/>
          </w:tcPr>
          <w:p>
            <w:pPr>
              <w:spacing w:after="100"/>
            </w:pPr>
            <w:r>
              <w:rPr>
                <w:sz w:val="18"/>
              </w:rPr>
              <w:t>TP06</w:t>
            </w:r>
          </w:p>
        </w:tc>
        <w:tc>
          <w:tcPr>
            <w:tcW w:type="dxa" w:w="1944"/>
          </w:tcPr>
          <w:p>
            <w:pPr>
              <w:spacing w:after="100"/>
            </w:pPr>
            <w:r>
              <w:rPr>
                <w:sz w:val="18"/>
              </w:rPr>
              <w:t>Interview feedback</w:t>
            </w:r>
          </w:p>
        </w:tc>
        <w:tc>
          <w:tcPr>
            <w:tcW w:type="dxa" w:w="2520"/>
          </w:tcPr>
          <w:p>
            <w:pPr>
              <w:spacing w:after="100"/>
            </w:pPr>
            <w:r>
              <w:rPr>
                <w:sz w:val="18"/>
              </w:rPr>
              <w:t>Reviewed answer, source quotes, persistence</w:t>
            </w:r>
          </w:p>
        </w:tc>
        <w:tc>
          <w:tcPr>
            <w:tcW w:type="dxa" w:w="2520"/>
          </w:tcPr>
          <w:p>
            <w:pPr>
              <w:spacing w:after="100"/>
            </w:pPr>
            <w:r>
              <w:rPr>
                <w:sz w:val="18"/>
              </w:rPr>
              <w:t>Live text model and reload</w:t>
            </w:r>
          </w:p>
        </w:tc>
        <w:tc>
          <w:tcPr>
            <w:tcW w:type="dxa" w:w="936"/>
            <w:shd w:fill="E8F2EB"/>
          </w:tcPr>
          <w:p>
            <w:pPr>
              <w:spacing w:after="100"/>
            </w:pPr>
            <w:r>
              <w:rPr>
                <w:sz w:val="18"/>
              </w:rPr>
              <w:t>Pass</w:t>
            </w:r>
          </w:p>
        </w:tc>
      </w:tr>
      <w:tr>
        <w:trPr>
          <w:cantSplit/>
        </w:trPr>
        <w:tc>
          <w:tcPr>
            <w:tcW w:type="dxa" w:w="648"/>
          </w:tcPr>
          <w:p>
            <w:pPr>
              <w:spacing w:after="100"/>
            </w:pPr>
            <w:r>
              <w:rPr>
                <w:sz w:val="18"/>
              </w:rPr>
              <w:t>TP07</w:t>
            </w:r>
          </w:p>
        </w:tc>
        <w:tc>
          <w:tcPr>
            <w:tcW w:type="dxa" w:w="1944"/>
          </w:tcPr>
          <w:p>
            <w:pPr>
              <w:spacing w:after="100"/>
            </w:pPr>
            <w:r>
              <w:rPr>
                <w:sz w:val="18"/>
              </w:rPr>
              <w:t>Credit and duplicate</w:t>
            </w:r>
          </w:p>
        </w:tc>
        <w:tc>
          <w:tcPr>
            <w:tcW w:type="dxa" w:w="2520"/>
          </w:tcPr>
          <w:p>
            <w:pPr>
              <w:spacing w:after="100"/>
            </w:pPr>
            <w:r>
              <w:rPr>
                <w:sz w:val="18"/>
              </w:rPr>
              <w:t>One deduction for concurrent same-key requests</w:t>
            </w:r>
          </w:p>
        </w:tc>
        <w:tc>
          <w:tcPr>
            <w:tcW w:type="dxa" w:w="2520"/>
          </w:tcPr>
          <w:p>
            <w:pPr>
              <w:spacing w:after="100"/>
            </w:pPr>
            <w:r>
              <w:rPr>
                <w:sz w:val="18"/>
              </w:rPr>
              <w:t>201 and 409; fourth request 429</w:t>
            </w:r>
          </w:p>
        </w:tc>
        <w:tc>
          <w:tcPr>
            <w:tcW w:type="dxa" w:w="936"/>
            <w:shd w:fill="E8F2EB"/>
          </w:tcPr>
          <w:p>
            <w:pPr>
              <w:spacing w:after="100"/>
            </w:pPr>
            <w:r>
              <w:rPr>
                <w:sz w:val="18"/>
              </w:rPr>
              <w:t>Pass</w:t>
            </w:r>
          </w:p>
        </w:tc>
      </w:tr>
      <w:tr>
        <w:trPr>
          <w:cantSplit/>
        </w:trPr>
        <w:tc>
          <w:tcPr>
            <w:tcW w:type="dxa" w:w="648"/>
          </w:tcPr>
          <w:p>
            <w:pPr>
              <w:spacing w:after="100"/>
            </w:pPr>
            <w:r>
              <w:rPr>
                <w:sz w:val="18"/>
              </w:rPr>
              <w:t>TP08</w:t>
            </w:r>
          </w:p>
        </w:tc>
        <w:tc>
          <w:tcPr>
            <w:tcW w:type="dxa" w:w="1944"/>
          </w:tcPr>
          <w:p>
            <w:pPr>
              <w:spacing w:after="100"/>
            </w:pPr>
            <w:r>
              <w:rPr>
                <w:sz w:val="18"/>
              </w:rPr>
              <w:t>Failure refund</w:t>
            </w:r>
          </w:p>
        </w:tc>
        <w:tc>
          <w:tcPr>
            <w:tcW w:type="dxa" w:w="2520"/>
          </w:tcPr>
          <w:p>
            <w:pPr>
              <w:spacing w:after="100"/>
            </w:pPr>
            <w:r>
              <w:rPr>
                <w:sz w:val="18"/>
              </w:rPr>
              <w:t>One restoration for pending reservation</w:t>
            </w:r>
          </w:p>
        </w:tc>
        <w:tc>
          <w:tcPr>
            <w:tcW w:type="dxa" w:w="2520"/>
          </w:tcPr>
          <w:p>
            <w:pPr>
              <w:spacing w:after="100"/>
            </w:pPr>
            <w:r>
              <w:rPr>
                <w:sz w:val="18"/>
              </w:rPr>
              <w:t>Executable SQL; no hosted provider fault injection</w:t>
            </w:r>
          </w:p>
        </w:tc>
        <w:tc>
          <w:tcPr>
            <w:tcW w:type="dxa" w:w="936"/>
            <w:shd w:fill="FFF3DB"/>
          </w:tcPr>
          <w:p>
            <w:pPr>
              <w:spacing w:after="100"/>
            </w:pPr>
            <w:r>
              <w:rPr>
                <w:sz w:val="18"/>
              </w:rPr>
              <w:t>Partial</w:t>
            </w:r>
          </w:p>
        </w:tc>
      </w:tr>
      <w:tr>
        <w:trPr>
          <w:cantSplit/>
        </w:trPr>
        <w:tc>
          <w:tcPr>
            <w:tcW w:type="dxa" w:w="648"/>
          </w:tcPr>
          <w:p>
            <w:pPr>
              <w:spacing w:after="100"/>
            </w:pPr>
            <w:r>
              <w:rPr>
                <w:sz w:val="18"/>
              </w:rPr>
              <w:t>TP09</w:t>
            </w:r>
          </w:p>
        </w:tc>
        <w:tc>
          <w:tcPr>
            <w:tcW w:type="dxa" w:w="1944"/>
          </w:tcPr>
          <w:p>
            <w:pPr>
              <w:spacing w:after="100"/>
            </w:pPr>
            <w:r>
              <w:rPr>
                <w:sz w:val="18"/>
              </w:rPr>
              <w:t>Day boundary</w:t>
            </w:r>
          </w:p>
        </w:tc>
        <w:tc>
          <w:tcPr>
            <w:tcW w:type="dxa" w:w="2520"/>
          </w:tcPr>
          <w:p>
            <w:pPr>
              <w:spacing w:after="100"/>
            </w:pPr>
            <w:r>
              <w:rPr>
                <w:sz w:val="18"/>
              </w:rPr>
              <w:t>Singapore dates and independent daily limits</w:t>
            </w:r>
          </w:p>
        </w:tc>
        <w:tc>
          <w:tcPr>
            <w:tcW w:type="dxa" w:w="2520"/>
          </w:tcPr>
          <w:p>
            <w:pPr>
              <w:spacing w:after="100"/>
            </w:pPr>
            <w:r>
              <w:rPr>
                <w:sz w:val="18"/>
              </w:rPr>
              <w:t>Unit and SQL fixtures</w:t>
            </w:r>
          </w:p>
        </w:tc>
        <w:tc>
          <w:tcPr>
            <w:tcW w:type="dxa" w:w="936"/>
            <w:shd w:fill="E8F2EB"/>
          </w:tcPr>
          <w:p>
            <w:pPr>
              <w:spacing w:after="100"/>
            </w:pPr>
            <w:r>
              <w:rPr>
                <w:sz w:val="18"/>
              </w:rPr>
              <w:t>Pass</w:t>
            </w:r>
          </w:p>
        </w:tc>
      </w:tr>
      <w:tr>
        <w:trPr>
          <w:cantSplit/>
        </w:trPr>
        <w:tc>
          <w:tcPr>
            <w:tcW w:type="dxa" w:w="648"/>
          </w:tcPr>
          <w:p>
            <w:pPr>
              <w:spacing w:after="100"/>
            </w:pPr>
            <w:r>
              <w:rPr>
                <w:sz w:val="18"/>
              </w:rPr>
              <w:t>TP10</w:t>
            </w:r>
          </w:p>
        </w:tc>
        <w:tc>
          <w:tcPr>
            <w:tcW w:type="dxa" w:w="1944"/>
          </w:tcPr>
          <w:p>
            <w:pPr>
              <w:spacing w:after="100"/>
            </w:pPr>
            <w:r>
              <w:rPr>
                <w:sz w:val="18"/>
              </w:rPr>
              <w:t>Owner isolation</w:t>
            </w:r>
          </w:p>
        </w:tc>
        <w:tc>
          <w:tcPr>
            <w:tcW w:type="dxa" w:w="2520"/>
          </w:tcPr>
          <w:p>
            <w:pPr>
              <w:spacing w:after="100"/>
            </w:pPr>
            <w:r>
              <w:rPr>
                <w:sz w:val="18"/>
              </w:rPr>
              <w:t>Foreign report, feedback and delete denied</w:t>
            </w:r>
          </w:p>
        </w:tc>
        <w:tc>
          <w:tcPr>
            <w:tcW w:type="dxa" w:w="2520"/>
          </w:tcPr>
          <w:p>
            <w:pPr>
              <w:spacing w:after="100"/>
            </w:pPr>
            <w:r>
              <w:rPr>
                <w:sz w:val="18"/>
              </w:rPr>
              <w:t>Second account 404</w:t>
            </w:r>
          </w:p>
        </w:tc>
        <w:tc>
          <w:tcPr>
            <w:tcW w:type="dxa" w:w="936"/>
            <w:shd w:fill="E8F2EB"/>
          </w:tcPr>
          <w:p>
            <w:pPr>
              <w:spacing w:after="100"/>
            </w:pPr>
            <w:r>
              <w:rPr>
                <w:sz w:val="18"/>
              </w:rPr>
              <w:t>Pass</w:t>
            </w:r>
          </w:p>
        </w:tc>
      </w:tr>
      <w:tr>
        <w:trPr>
          <w:cantSplit/>
        </w:trPr>
        <w:tc>
          <w:tcPr>
            <w:tcW w:type="dxa" w:w="648"/>
          </w:tcPr>
          <w:p>
            <w:pPr>
              <w:spacing w:after="100"/>
            </w:pPr>
            <w:r>
              <w:rPr>
                <w:sz w:val="18"/>
              </w:rPr>
              <w:t>TP11</w:t>
            </w:r>
          </w:p>
        </w:tc>
        <w:tc>
          <w:tcPr>
            <w:tcW w:type="dxa" w:w="1944"/>
          </w:tcPr>
          <w:p>
            <w:pPr>
              <w:spacing w:after="100"/>
            </w:pPr>
            <w:r>
              <w:rPr>
                <w:sz w:val="18"/>
              </w:rPr>
              <w:t>Deletion</w:t>
            </w:r>
          </w:p>
        </w:tc>
        <w:tc>
          <w:tcPr>
            <w:tcW w:type="dxa" w:w="2520"/>
          </w:tcPr>
          <w:p>
            <w:pPr>
              <w:spacing w:after="100"/>
            </w:pPr>
            <w:r>
              <w:rPr>
                <w:sz w:val="18"/>
              </w:rPr>
              <w:t>Confirmation and owner-only deletion</w:t>
            </w:r>
          </w:p>
        </w:tc>
        <w:tc>
          <w:tcPr>
            <w:tcW w:type="dxa" w:w="2520"/>
          </w:tcPr>
          <w:p>
            <w:pPr>
              <w:spacing w:after="100"/>
            </w:pPr>
            <w:r>
              <w:rPr>
                <w:sz w:val="18"/>
              </w:rPr>
              <w:t>Browser plus SQL cascade test</w:t>
            </w:r>
          </w:p>
        </w:tc>
        <w:tc>
          <w:tcPr>
            <w:tcW w:type="dxa" w:w="936"/>
            <w:shd w:fill="E8F2EB"/>
          </w:tcPr>
          <w:p>
            <w:pPr>
              <w:spacing w:after="100"/>
            </w:pPr>
            <w:r>
              <w:rPr>
                <w:sz w:val="18"/>
              </w:rPr>
              <w:t>Pass</w:t>
            </w:r>
          </w:p>
        </w:tc>
      </w:tr>
      <w:tr>
        <w:trPr>
          <w:cantSplit/>
        </w:trPr>
        <w:tc>
          <w:tcPr>
            <w:tcW w:type="dxa" w:w="648"/>
          </w:tcPr>
          <w:p>
            <w:pPr>
              <w:spacing w:after="100"/>
            </w:pPr>
            <w:r>
              <w:rPr>
                <w:sz w:val="18"/>
              </w:rPr>
              <w:t>TP12</w:t>
            </w:r>
          </w:p>
        </w:tc>
        <w:tc>
          <w:tcPr>
            <w:tcW w:type="dxa" w:w="1944"/>
          </w:tcPr>
          <w:p>
            <w:pPr>
              <w:spacing w:after="100"/>
            </w:pPr>
            <w:r>
              <w:rPr>
                <w:sz w:val="18"/>
              </w:rPr>
              <w:t>Grounding</w:t>
            </w:r>
          </w:p>
        </w:tc>
        <w:tc>
          <w:tcPr>
            <w:tcW w:type="dxa" w:w="2520"/>
          </w:tcPr>
          <w:p>
            <w:pPr>
              <w:spacing w:after="100"/>
            </w:pPr>
            <w:r>
              <w:rPr>
                <w:sz w:val="18"/>
              </w:rPr>
              <w:t>Fixed fields preserved; unsupported quotes rejected</w:t>
            </w:r>
          </w:p>
        </w:tc>
        <w:tc>
          <w:tcPr>
            <w:tcW w:type="dxa" w:w="2520"/>
          </w:tcPr>
          <w:p>
            <w:pPr>
              <w:spacing w:after="100"/>
            </w:pPr>
            <w:r>
              <w:rPr>
                <w:sz w:val="18"/>
              </w:rPr>
              <w:t>Contract tests and 26 model trials</w:t>
            </w:r>
          </w:p>
        </w:tc>
        <w:tc>
          <w:tcPr>
            <w:tcW w:type="dxa" w:w="936"/>
            <w:shd w:fill="E8F2EB"/>
          </w:tcPr>
          <w:p>
            <w:pPr>
              <w:spacing w:after="100"/>
            </w:pPr>
            <w:r>
              <w:rPr>
                <w:sz w:val="18"/>
              </w:rPr>
              <w:t>Pass</w:t>
            </w:r>
          </w:p>
        </w:tc>
      </w:tr>
      <w:tr>
        <w:trPr>
          <w:cantSplit/>
        </w:trPr>
        <w:tc>
          <w:tcPr>
            <w:tcW w:type="dxa" w:w="648"/>
          </w:tcPr>
          <w:p>
            <w:pPr>
              <w:spacing w:after="100"/>
            </w:pPr>
            <w:r>
              <w:rPr>
                <w:sz w:val="18"/>
              </w:rPr>
              <w:t>TP13</w:t>
            </w:r>
          </w:p>
        </w:tc>
        <w:tc>
          <w:tcPr>
            <w:tcW w:type="dxa" w:w="1944"/>
          </w:tcPr>
          <w:p>
            <w:pPr>
              <w:spacing w:after="100"/>
            </w:pPr>
            <w:r>
              <w:rPr>
                <w:sz w:val="18"/>
              </w:rPr>
              <w:t>Print</w:t>
            </w:r>
          </w:p>
        </w:tc>
        <w:tc>
          <w:tcPr>
            <w:tcW w:type="dxa" w:w="2520"/>
          </w:tcPr>
          <w:p>
            <w:pPr>
              <w:spacing w:after="100"/>
            </w:pPr>
            <w:r>
              <w:rPr>
                <w:sz w:val="18"/>
              </w:rPr>
              <w:t>window.print called; printable report rendered</w:t>
            </w:r>
          </w:p>
        </w:tc>
        <w:tc>
          <w:tcPr>
            <w:tcW w:type="dxa" w:w="2520"/>
          </w:tcPr>
          <w:p>
            <w:pPr>
              <w:spacing w:after="100"/>
            </w:pPr>
            <w:r>
              <w:rPr>
                <w:sz w:val="18"/>
              </w:rPr>
              <w:t>Chromium PDF; other browsers untested</w:t>
            </w:r>
          </w:p>
        </w:tc>
        <w:tc>
          <w:tcPr>
            <w:tcW w:type="dxa" w:w="936"/>
            <w:shd w:fill="FFF3DB"/>
          </w:tcPr>
          <w:p>
            <w:pPr>
              <w:spacing w:after="100"/>
            </w:pPr>
            <w:r>
              <w:rPr>
                <w:sz w:val="18"/>
              </w:rPr>
              <w:t>Partial</w:t>
            </w:r>
          </w:p>
        </w:tc>
      </w:tr>
      <w:tr>
        <w:trPr>
          <w:cantSplit/>
        </w:trPr>
        <w:tc>
          <w:tcPr>
            <w:tcW w:type="dxa" w:w="648"/>
          </w:tcPr>
          <w:p>
            <w:pPr>
              <w:spacing w:after="100"/>
            </w:pPr>
            <w:r>
              <w:rPr>
                <w:sz w:val="18"/>
              </w:rPr>
              <w:t>TP14</w:t>
            </w:r>
          </w:p>
        </w:tc>
        <w:tc>
          <w:tcPr>
            <w:tcW w:type="dxa" w:w="1944"/>
          </w:tcPr>
          <w:p>
            <w:pPr>
              <w:spacing w:after="100"/>
            </w:pPr>
            <w:r>
              <w:rPr>
                <w:sz w:val="18"/>
              </w:rPr>
              <w:t>Responsive</w:t>
            </w:r>
          </w:p>
        </w:tc>
        <w:tc>
          <w:tcPr>
            <w:tcW w:type="dxa" w:w="2520"/>
          </w:tcPr>
          <w:p>
            <w:pPr>
              <w:spacing w:after="100"/>
            </w:pPr>
            <w:r>
              <w:rPr>
                <w:sz w:val="18"/>
              </w:rPr>
              <w:t>No overflow at 390, 768 and 1440 pixels</w:t>
            </w:r>
          </w:p>
        </w:tc>
        <w:tc>
          <w:tcPr>
            <w:tcW w:type="dxa" w:w="2520"/>
          </w:tcPr>
          <w:p>
            <w:pPr>
              <w:spacing w:after="100"/>
            </w:pPr>
            <w:r>
              <w:rPr>
                <w:sz w:val="18"/>
              </w:rPr>
              <w:t>Authenticated browser checks</w:t>
            </w:r>
          </w:p>
        </w:tc>
        <w:tc>
          <w:tcPr>
            <w:tcW w:type="dxa" w:w="936"/>
            <w:shd w:fill="E8F2EB"/>
          </w:tcPr>
          <w:p>
            <w:pPr>
              <w:spacing w:after="100"/>
            </w:pPr>
            <w:r>
              <w:rPr>
                <w:sz w:val="18"/>
              </w:rPr>
              <w:t>Pass</w:t>
            </w:r>
          </w:p>
        </w:tc>
      </w:tr>
      <w:tr>
        <w:trPr>
          <w:cantSplit/>
        </w:trPr>
        <w:tc>
          <w:tcPr>
            <w:tcW w:type="dxa" w:w="648"/>
          </w:tcPr>
          <w:p>
            <w:pPr>
              <w:spacing w:after="100"/>
            </w:pPr>
            <w:r>
              <w:rPr>
                <w:sz w:val="18"/>
              </w:rPr>
              <w:t>TP15</w:t>
            </w:r>
          </w:p>
        </w:tc>
        <w:tc>
          <w:tcPr>
            <w:tcW w:type="dxa" w:w="1944"/>
          </w:tcPr>
          <w:p>
            <w:pPr>
              <w:spacing w:after="100"/>
            </w:pPr>
            <w:r>
              <w:rPr>
                <w:sz w:val="18"/>
              </w:rPr>
              <w:t>Usability benefit</w:t>
            </w:r>
          </w:p>
        </w:tc>
        <w:tc>
          <w:tcPr>
            <w:tcW w:type="dxa" w:w="2520"/>
          </w:tcPr>
          <w:p>
            <w:pPr>
              <w:spacing w:after="100"/>
            </w:pPr>
            <w:r>
              <w:rPr>
                <w:sz w:val="18"/>
              </w:rPr>
              <w:t>Users understand claims and actionable next steps</w:t>
            </w:r>
          </w:p>
        </w:tc>
        <w:tc>
          <w:tcPr>
            <w:tcW w:type="dxa" w:w="2520"/>
          </w:tcPr>
          <w:p>
            <w:pPr>
              <w:spacing w:after="100"/>
            </w:pPr>
            <w:r>
              <w:rPr>
                <w:sz w:val="18"/>
              </w:rPr>
              <w:t>Study proposed, not performed</w:t>
            </w:r>
          </w:p>
        </w:tc>
        <w:tc>
          <w:tcPr>
            <w:tcW w:type="dxa" w:w="936"/>
            <w:shd w:fill="F1F1F1"/>
          </w:tcPr>
          <w:p>
            <w:pPr>
              <w:spacing w:after="100"/>
            </w:pPr>
            <w:r>
              <w:rPr>
                <w:sz w:val="18"/>
              </w:rPr>
              <w:t>Not tested</w:t>
            </w:r>
          </w:p>
        </w:tc>
      </w:tr>
    </w:tbl>
    <w:p>
      <w:pPr>
        <w:pStyle w:val="Heading2"/>
      </w:pPr>
      <w:r>
        <w:t>5.3 Automated test results</w:t>
      </w:r>
    </w:p>
    <w:p>
      <w:pPr>
        <w:spacing w:line="269" w:lineRule="auto" w:after="140"/>
      </w:pPr>
      <w:r>
        <w:t>The current Vitest run passed 33 tests in eight files. Existing tests cover analysis, credit dates, validation and the narrative merge. New tests execute both SQL migrations in PGlite and check media quotas, duplicate keys, daily-date partitioning, owner isolation, allowed questions, save idempotency, deletion cascade and credit refund behaviour. HTTP tests verify authenticated identity, same-host origin handling and streamed size limits. Media tests reject malformed images, overlong or silent WAV data, injected identity fields and invented quotations. The constrained feedback schema accepts only transcript excerpts.</w:t>
      </w:r>
    </w:p>
    <w:p>
      <w:pPr>
        <w:spacing w:line="269" w:lineRule="auto" w:after="140"/>
      </w:pPr>
      <w:r>
        <w:t>Six public Playwright checks passed across desktop and mobile profiles. A separate authenticated integration case passed against the local application and live services, using two disposable accounts removed afterwards. Table 4 summarises the final command checks. The earlier chart in Figure 33 is retained as historical text-product evidence and must not be read as the current test count.</w:t>
      </w:r>
    </w:p>
    <w:tbl>
      <w:tblPr>
        <w:tblW w:type="dxa" w:w="9360"/>
        <w:jc w:val="left"/>
        <w:tblLayout w:type="fixed"/>
        <w:tblLook w:firstColumn="1" w:firstRow="1" w:lastColumn="0" w:lastRow="0" w:noHBand="0" w:noVBand="1" w:val="04A0"/>
        <w:tblInd w:w="0" w:type="dxa"/>
      </w:tblPr>
      <w:tblGrid>
        <w:gridCol w:w="2232"/>
        <w:gridCol w:w="1944"/>
        <w:gridCol w:w="5184"/>
      </w:tblGrid>
      <w:tr>
        <w:trPr>
          <w:cantSplit/>
          <w:tblHeader w:val="true"/>
          <w:cantSplit/>
          <w:tblHeader/>
          <w:cantSplit/>
        </w:trPr>
        <w:tc>
          <w:tcPr>
            <w:tcW w:type="dxa" w:w="2232"/>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Check</w:t>
            </w:r>
          </w:p>
        </w:tc>
        <w:tc>
          <w:tcPr>
            <w:tcW w:type="dxa" w:w="1944"/>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Result</w:t>
            </w:r>
          </w:p>
        </w:tc>
        <w:tc>
          <w:tcPr>
            <w:tcW w:type="dxa" w:w="5184"/>
            <w:tcMar>
              <w:top w:w="80" w:type="dxa"/>
              <w:start w:w="120" w:type="dxa"/>
              <w:bottom w:w="80" w:type="dxa"/>
              <w:end w:w="120" w:type="dxa"/>
            </w:tcMar>
            <w:vAlign w:val="top"/>
            <w:tcBorders>
              <w:bottom w:val="single" w:sz="10" w:color="DADCE0"/>
            </w:tcBorders>
          </w:tcPr>
          <w:p>
            <w:pPr>
              <w:spacing w:before="0" w:after="100" w:line="276" w:lineRule="auto"/>
            </w:pPr>
            <w:r>
              <w:rPr>
                <w:rFonts w:ascii="Arial" w:hAnsi="Arial" w:eastAsia="Arial"/>
                <w:b/>
                <w:color w:val="000000"/>
                <w:sz w:val="18"/>
              </w:rPr>
              <w:t>Scope</w:t>
            </w:r>
          </w:p>
        </w:tc>
      </w:tr>
      <w:tr>
        <w:trPr>
          <w:cantSplit/>
          <w:cantSplit/>
        </w:trPr>
        <w:tc>
          <w:tcPr>
            <w:tcW w:type="dxa" w:w="2232"/>
            <w:tcMar>
              <w:top w:w="80" w:type="dxa"/>
              <w:start w:w="120" w:type="dxa"/>
              <w:bottom w:w="80" w:type="dxa"/>
              <w:end w:w="120" w:type="dxa"/>
            </w:tcMar>
            <w:vAlign w:val="top"/>
            <w:tcBorders>
              <w:bottom w:val="single" w:sz="4" w:color="DADCE0"/>
            </w:tcBorders>
          </w:tcPr>
          <w:p>
            <w:pPr>
              <w:spacing w:after="100"/>
            </w:pPr>
            <w:r>
              <w:rPr>
                <w:sz w:val="18"/>
              </w:rPr>
              <w:t>Prettier</w:t>
            </w:r>
          </w:p>
        </w:tc>
        <w:tc>
          <w:tcPr>
            <w:tcW w:type="dxa" w:w="1944"/>
            <w:tcMar>
              <w:top w:w="80" w:type="dxa"/>
              <w:start w:w="120" w:type="dxa"/>
              <w:bottom w:w="80" w:type="dxa"/>
              <w:end w:w="120" w:type="dxa"/>
            </w:tcMar>
            <w:vAlign w:val="top"/>
            <w:tcBorders>
              <w:bottom w:val="single" w:sz="4" w:color="DADCE0"/>
            </w:tcBorders>
          </w:tcPr>
          <w:p>
            <w:pPr>
              <w:spacing w:after="100"/>
            </w:pPr>
            <w:r>
              <w:rPr>
                <w:sz w:val="18"/>
              </w:rPr>
              <w:t>Pass</w:t>
            </w:r>
          </w:p>
        </w:tc>
        <w:tc>
          <w:tcPr>
            <w:tcW w:type="dxa" w:w="5184"/>
            <w:tcMar>
              <w:top w:w="80" w:type="dxa"/>
              <w:start w:w="120" w:type="dxa"/>
              <w:bottom w:w="80" w:type="dxa"/>
              <w:end w:w="120" w:type="dxa"/>
            </w:tcMar>
            <w:vAlign w:val="top"/>
            <w:tcBorders>
              <w:bottom w:val="single" w:sz="4" w:color="DADCE0"/>
            </w:tcBorders>
          </w:tcPr>
          <w:p>
            <w:pPr>
              <w:spacing w:after="100"/>
            </w:pPr>
            <w:r>
              <w:rPr>
                <w:sz w:val="18"/>
              </w:rPr>
              <w:t>Repository formatting</w:t>
            </w:r>
          </w:p>
        </w:tc>
      </w:tr>
      <w:tr>
        <w:trPr>
          <w:cantSplit/>
          <w:cantSplit/>
        </w:trPr>
        <w:tc>
          <w:tcPr>
            <w:tcW w:type="dxa" w:w="2232"/>
            <w:tcMar>
              <w:top w:w="80" w:type="dxa"/>
              <w:start w:w="120" w:type="dxa"/>
              <w:bottom w:w="80" w:type="dxa"/>
              <w:end w:w="120" w:type="dxa"/>
            </w:tcMar>
            <w:vAlign w:val="top"/>
            <w:tcBorders>
              <w:bottom w:val="single" w:sz="4" w:color="DADCE0"/>
            </w:tcBorders>
          </w:tcPr>
          <w:p>
            <w:pPr>
              <w:spacing w:after="100"/>
            </w:pPr>
            <w:r>
              <w:rPr>
                <w:sz w:val="18"/>
              </w:rPr>
              <w:t>Lint</w:t>
            </w:r>
          </w:p>
        </w:tc>
        <w:tc>
          <w:tcPr>
            <w:tcW w:type="dxa" w:w="1944"/>
            <w:tcMar>
              <w:top w:w="80" w:type="dxa"/>
              <w:start w:w="120" w:type="dxa"/>
              <w:bottom w:w="80" w:type="dxa"/>
              <w:end w:w="120" w:type="dxa"/>
            </w:tcMar>
            <w:vAlign w:val="top"/>
            <w:tcBorders>
              <w:bottom w:val="single" w:sz="4" w:color="DADCE0"/>
            </w:tcBorders>
          </w:tcPr>
          <w:p>
            <w:pPr>
              <w:spacing w:after="100"/>
            </w:pPr>
            <w:r>
              <w:rPr>
                <w:sz w:val="18"/>
              </w:rPr>
              <w:t>Pass</w:t>
            </w:r>
          </w:p>
        </w:tc>
        <w:tc>
          <w:tcPr>
            <w:tcW w:type="dxa" w:w="5184"/>
            <w:tcMar>
              <w:top w:w="80" w:type="dxa"/>
              <w:start w:w="120" w:type="dxa"/>
              <w:bottom w:w="80" w:type="dxa"/>
              <w:end w:w="120" w:type="dxa"/>
            </w:tcMar>
            <w:vAlign w:val="top"/>
            <w:tcBorders>
              <w:bottom w:val="single" w:sz="4" w:color="DADCE0"/>
            </w:tcBorders>
          </w:tcPr>
          <w:p>
            <w:pPr>
              <w:spacing w:after="100"/>
            </w:pPr>
            <w:r>
              <w:rPr>
                <w:sz w:val="18"/>
              </w:rPr>
              <w:t>ESLint and source security policy</w:t>
            </w:r>
          </w:p>
        </w:tc>
      </w:tr>
      <w:tr>
        <w:trPr>
          <w:cantSplit/>
          <w:cantSplit/>
        </w:trPr>
        <w:tc>
          <w:tcPr>
            <w:tcW w:type="dxa" w:w="2232"/>
            <w:tcMar>
              <w:top w:w="80" w:type="dxa"/>
              <w:start w:w="120" w:type="dxa"/>
              <w:bottom w:w="80" w:type="dxa"/>
              <w:end w:w="120" w:type="dxa"/>
            </w:tcMar>
            <w:vAlign w:val="top"/>
            <w:tcBorders>
              <w:bottom w:val="single" w:sz="4" w:color="DADCE0"/>
            </w:tcBorders>
          </w:tcPr>
          <w:p>
            <w:pPr>
              <w:spacing w:after="100"/>
            </w:pPr>
            <w:r>
              <w:rPr>
                <w:sz w:val="18"/>
              </w:rPr>
              <w:t>TypeScript</w:t>
            </w:r>
          </w:p>
        </w:tc>
        <w:tc>
          <w:tcPr>
            <w:tcW w:type="dxa" w:w="1944"/>
            <w:tcMar>
              <w:top w:w="80" w:type="dxa"/>
              <w:start w:w="120" w:type="dxa"/>
              <w:bottom w:w="80" w:type="dxa"/>
              <w:end w:w="120" w:type="dxa"/>
            </w:tcMar>
            <w:vAlign w:val="top"/>
            <w:tcBorders>
              <w:bottom w:val="single" w:sz="4" w:color="DADCE0"/>
            </w:tcBorders>
          </w:tcPr>
          <w:p>
            <w:pPr>
              <w:spacing w:after="100"/>
            </w:pPr>
            <w:r>
              <w:rPr>
                <w:sz w:val="18"/>
              </w:rPr>
              <w:t>Pass</w:t>
            </w:r>
          </w:p>
        </w:tc>
        <w:tc>
          <w:tcPr>
            <w:tcW w:type="dxa" w:w="5184"/>
            <w:tcMar>
              <w:top w:w="80" w:type="dxa"/>
              <w:start w:w="120" w:type="dxa"/>
              <w:bottom w:w="80" w:type="dxa"/>
              <w:end w:w="120" w:type="dxa"/>
            </w:tcMar>
            <w:vAlign w:val="top"/>
            <w:tcBorders>
              <w:bottom w:val="single" w:sz="4" w:color="DADCE0"/>
            </w:tcBorders>
          </w:tcPr>
          <w:p>
            <w:pPr>
              <w:spacing w:after="100"/>
            </w:pPr>
            <w:r>
              <w:rPr>
                <w:sz w:val="18"/>
              </w:rPr>
              <w:t>Static checking</w:t>
            </w:r>
          </w:p>
        </w:tc>
      </w:tr>
      <w:tr>
        <w:trPr>
          <w:cantSplit/>
          <w:cantSplit/>
        </w:trPr>
        <w:tc>
          <w:tcPr>
            <w:tcW w:type="dxa" w:w="2232"/>
            <w:tcMar>
              <w:top w:w="80" w:type="dxa"/>
              <w:start w:w="120" w:type="dxa"/>
              <w:bottom w:w="80" w:type="dxa"/>
              <w:end w:w="120" w:type="dxa"/>
            </w:tcMar>
            <w:vAlign w:val="top"/>
            <w:tcBorders>
              <w:bottom w:val="single" w:sz="4" w:color="DADCE0"/>
            </w:tcBorders>
          </w:tcPr>
          <w:p>
            <w:pPr>
              <w:spacing w:after="100"/>
            </w:pPr>
            <w:r>
              <w:rPr>
                <w:sz w:val="18"/>
              </w:rPr>
              <w:t>Vitest</w:t>
            </w:r>
          </w:p>
        </w:tc>
        <w:tc>
          <w:tcPr>
            <w:tcW w:type="dxa" w:w="1944"/>
            <w:tcMar>
              <w:top w:w="80" w:type="dxa"/>
              <w:start w:w="120" w:type="dxa"/>
              <w:bottom w:w="80" w:type="dxa"/>
              <w:end w:w="120" w:type="dxa"/>
            </w:tcMar>
            <w:vAlign w:val="top"/>
            <w:tcBorders>
              <w:bottom w:val="single" w:sz="4" w:color="DADCE0"/>
            </w:tcBorders>
          </w:tcPr>
          <w:p>
            <w:pPr>
              <w:spacing w:after="100"/>
            </w:pPr>
            <w:r>
              <w:rPr>
                <w:sz w:val="18"/>
              </w:rPr>
              <w:t>33 tests; 8 files</w:t>
            </w:r>
          </w:p>
        </w:tc>
        <w:tc>
          <w:tcPr>
            <w:tcW w:type="dxa" w:w="5184"/>
            <w:tcMar>
              <w:top w:w="80" w:type="dxa"/>
              <w:start w:w="120" w:type="dxa"/>
              <w:bottom w:w="80" w:type="dxa"/>
              <w:end w:w="120" w:type="dxa"/>
            </w:tcMar>
            <w:vAlign w:val="top"/>
            <w:tcBorders>
              <w:bottom w:val="single" w:sz="4" w:color="DADCE0"/>
            </w:tcBorders>
          </w:tcPr>
          <w:p>
            <w:pPr>
              <w:spacing w:after="100"/>
            </w:pPr>
            <w:r>
              <w:rPr>
                <w:sz w:val="18"/>
              </w:rPr>
              <w:t>Local logic, HTTP and executable SQL</w:t>
            </w:r>
          </w:p>
        </w:tc>
      </w:tr>
      <w:tr>
        <w:trPr>
          <w:cantSplit/>
          <w:cantSplit/>
        </w:trPr>
        <w:tc>
          <w:tcPr>
            <w:tcW w:type="dxa" w:w="2232"/>
            <w:tcMar>
              <w:top w:w="80" w:type="dxa"/>
              <w:start w:w="120" w:type="dxa"/>
              <w:bottom w:w="80" w:type="dxa"/>
              <w:end w:w="120" w:type="dxa"/>
            </w:tcMar>
            <w:vAlign w:val="top"/>
            <w:tcBorders>
              <w:bottom w:val="single" w:sz="4" w:color="DADCE0"/>
            </w:tcBorders>
          </w:tcPr>
          <w:p>
            <w:pPr>
              <w:spacing w:after="100"/>
            </w:pPr>
            <w:r>
              <w:rPr>
                <w:sz w:val="18"/>
              </w:rPr>
              <w:t>Playwright</w:t>
            </w:r>
          </w:p>
        </w:tc>
        <w:tc>
          <w:tcPr>
            <w:tcW w:type="dxa" w:w="1944"/>
            <w:tcMar>
              <w:top w:w="80" w:type="dxa"/>
              <w:start w:w="120" w:type="dxa"/>
              <w:bottom w:w="80" w:type="dxa"/>
              <w:end w:w="120" w:type="dxa"/>
            </w:tcMar>
            <w:vAlign w:val="top"/>
            <w:tcBorders>
              <w:bottom w:val="single" w:sz="4" w:color="DADCE0"/>
            </w:tcBorders>
          </w:tcPr>
          <w:p>
            <w:pPr>
              <w:spacing w:after="100"/>
            </w:pPr>
            <w:r>
              <w:rPr>
                <w:sz w:val="18"/>
              </w:rPr>
              <w:t>6 public + 1 integrated</w:t>
            </w:r>
          </w:p>
        </w:tc>
        <w:tc>
          <w:tcPr>
            <w:tcW w:type="dxa" w:w="5184"/>
            <w:tcMar>
              <w:top w:w="80" w:type="dxa"/>
              <w:start w:w="120" w:type="dxa"/>
              <w:bottom w:w="80" w:type="dxa"/>
              <w:end w:w="120" w:type="dxa"/>
            </w:tcMar>
            <w:vAlign w:val="top"/>
            <w:tcBorders>
              <w:bottom w:val="single" w:sz="4" w:color="DADCE0"/>
            </w:tcBorders>
          </w:tcPr>
          <w:p>
            <w:pPr>
              <w:spacing w:after="100"/>
            </w:pPr>
            <w:r>
              <w:rPr>
                <w:sz w:val="18"/>
              </w:rPr>
              <w:t>Live providers and disposable accounts</w:t>
            </w:r>
          </w:p>
        </w:tc>
      </w:tr>
      <w:tr>
        <w:trPr>
          <w:cantSplit/>
          <w:cantSplit/>
        </w:trPr>
        <w:tc>
          <w:tcPr>
            <w:tcW w:type="dxa" w:w="2232"/>
            <w:tcMar>
              <w:top w:w="80" w:type="dxa"/>
              <w:start w:w="120" w:type="dxa"/>
              <w:bottom w:w="80" w:type="dxa"/>
              <w:end w:w="120" w:type="dxa"/>
            </w:tcMar>
            <w:vAlign w:val="top"/>
            <w:tcBorders>
              <w:bottom w:val="single" w:sz="4" w:color="DADCE0"/>
            </w:tcBorders>
          </w:tcPr>
          <w:p>
            <w:pPr>
              <w:spacing w:after="100"/>
            </w:pPr>
            <w:r>
              <w:rPr>
                <w:sz w:val="18"/>
              </w:rPr>
              <w:t>Production build</w:t>
            </w:r>
          </w:p>
        </w:tc>
        <w:tc>
          <w:tcPr>
            <w:tcW w:type="dxa" w:w="1944"/>
            <w:tcMar>
              <w:top w:w="80" w:type="dxa"/>
              <w:start w:w="120" w:type="dxa"/>
              <w:bottom w:w="80" w:type="dxa"/>
              <w:end w:w="120" w:type="dxa"/>
            </w:tcMar>
            <w:vAlign w:val="top"/>
            <w:tcBorders>
              <w:bottom w:val="single" w:sz="4" w:color="DADCE0"/>
            </w:tcBorders>
          </w:tcPr>
          <w:p>
            <w:pPr>
              <w:spacing w:after="100"/>
            </w:pPr>
            <w:r>
              <w:rPr>
                <w:sz w:val="18"/>
              </w:rPr>
              <w:t>Pass</w:t>
            </w:r>
          </w:p>
        </w:tc>
        <w:tc>
          <w:tcPr>
            <w:tcW w:type="dxa" w:w="5184"/>
            <w:tcMar>
              <w:top w:w="80" w:type="dxa"/>
              <w:start w:w="120" w:type="dxa"/>
              <w:bottom w:w="80" w:type="dxa"/>
              <w:end w:w="120" w:type="dxa"/>
            </w:tcMar>
            <w:vAlign w:val="top"/>
            <w:tcBorders>
              <w:bottom w:val="single" w:sz="4" w:color="DADCE0"/>
            </w:tcBorders>
          </w:tcPr>
          <w:p>
            <w:pPr>
              <w:spacing w:after="100"/>
            </w:pPr>
            <w:r>
              <w:rPr>
                <w:sz w:val="18"/>
              </w:rPr>
              <w:t>Next.js 16 production compilation</w:t>
            </w:r>
          </w:p>
        </w:tc>
      </w:tr>
      <w:tr>
        <w:trPr>
          <w:cantSplit/>
        </w:trPr>
        <w:tc>
          <w:tcPr>
            <w:tcW w:type="dxa" w:w="2232"/>
          </w:tcPr>
          <w:p>
            <w:pPr>
              <w:spacing w:after="100"/>
            </w:pPr>
            <w:r>
              <w:rPr>
                <w:sz w:val="18"/>
              </w:rPr>
              <w:t>npm audit</w:t>
            </w:r>
          </w:p>
        </w:tc>
        <w:tc>
          <w:tcPr>
            <w:tcW w:type="dxa" w:w="1944"/>
          </w:tcPr>
          <w:p>
            <w:pPr>
              <w:spacing w:after="100"/>
            </w:pPr>
            <w:r>
              <w:rPr>
                <w:sz w:val="18"/>
              </w:rPr>
              <w:t>0 vulnerabilities</w:t>
            </w:r>
          </w:p>
        </w:tc>
        <w:tc>
          <w:tcPr>
            <w:tcW w:type="dxa" w:w="5184"/>
          </w:tcPr>
          <w:p>
            <w:pPr>
              <w:spacing w:after="100"/>
            </w:pPr>
            <w:r>
              <w:rPr>
                <w:sz w:val="18"/>
              </w:rPr>
              <w:t>Installed dependencies</w:t>
            </w:r>
          </w:p>
        </w:tc>
      </w:tr>
    </w:tbl>
    <w:p>
      <w:pPr>
        <w:pStyle w:val="Caption"/>
        <w:keepNext w:val="0"/>
        <w:spacing w:after="240"/>
        <w:jc w:val="left"/>
      </w:pPr>
      <w:r>
        <w:t>Table 4. Automated validation rerun for this report update.</w:t>
      </w:r>
    </w:p>
    <w:p>
      <w:pPr>
        <w:keepNext/>
        <w:spacing w:before="120" w:after="140" w:line="269" w:lineRule="auto"/>
        <w:jc w:val="center"/>
      </w:pPr>
      <w:r>
        <w:drawing>
          <wp:inline xmlns:a="http://schemas.openxmlformats.org/drawingml/2006/main" xmlns:pic="http://schemas.openxmlformats.org/drawingml/2006/picture">
            <wp:extent cx="5943600" cy="2566555"/>
            <wp:docPr id="6" name="Picture 6"/>
            <wp:cNvGraphicFramePr>
              <a:graphicFrameLocks noChangeAspect="1"/>
            </wp:cNvGraphicFramePr>
            <a:graphic>
              <a:graphicData uri="http://schemas.openxmlformats.org/drawingml/2006/picture">
                <pic:pic>
                  <pic:nvPicPr>
                    <pic:cNvPr id="0" name="figure-6-validation-results.png"/>
                    <pic:cNvPicPr/>
                  </pic:nvPicPr>
                  <pic:blipFill>
                    <a:blip r:embed="rId14"/>
                    <a:stretch>
                      <a:fillRect/>
                    </a:stretch>
                  </pic:blipFill>
                  <pic:spPr>
                    <a:xfrm>
                      <a:off x="0" y="0"/>
                      <a:ext cx="5943600" cy="2566555"/>
                    </a:xfrm>
                    <a:prstGeom prst="rect"/>
                  </pic:spPr>
                </pic:pic>
              </a:graphicData>
            </a:graphic>
          </wp:inline>
        </w:drawing>
      </w:r>
    </w:p>
    <w:p>
      <w:pPr>
        <w:pStyle w:val="Caption"/>
        <w:keepNext w:val="0"/>
        <w:spacing w:after="240"/>
        <w:jc w:val="center"/>
      </w:pPr>
      <w:r>
        <w:t>Figure 33. Earlier automated validation results; bar lengths show passed checks against executed checks in each suite. Earlier text-product build.</w:t>
      </w:r>
    </w:p>
    <w:p>
      <w:pPr>
        <w:pStyle w:val="Heading2"/>
      </w:pPr>
      <w:r>
        <w:t>5.4 Authenticated end-to-end and security evaluation</w:t>
      </w:r>
    </w:p>
    <w:p>
      <w:pPr>
        <w:spacing w:line="269" w:lineRule="auto" w:after="140"/>
      </w:pPr>
      <w:r>
        <w:t>The final authenticated case uploaded a selectable PDF, then an image-only PDF, obtained consented vision extraction and created a report. It uploaded a synthetic spoken answer, received a transcription, confirmed its text and saved model feedback. Reloading the report recovered the feedback. The daily balance fell from three to two after analysis and stayed at two after transcription and feedback. A second user received an unavailable-report page and HTTP 404 for foreign feedback and deletion requests.</w:t>
      </w:r>
    </w:p>
    <w:p>
      <w:pPr>
        <w:spacing w:line="269" w:lineRule="auto" w:after="140"/>
      </w:pPr>
      <w:r>
        <w:t>The same run submitted concurrent full-analysis requests with one idempotency key: exactly one returned HTTP 201 and the other returned HTTP 409. A third successful analysis exhausted the allowance; the fourth returned HTTP 429 and the UI disabled analysis. Owner deletion required confirmation and succeeded. Window.print invocation was observed through a test replacement, and Chromium produced a PDF for visual inspection. Screenshots are from the actual local application, not design mock-ups.</w:t>
      </w:r>
    </w:p>
    <w:p>
      <w:pPr>
        <w:keepNext/>
        <w:spacing w:before="120" w:after="140" w:line="269" w:lineRule="auto"/>
        <w:jc w:val="center"/>
      </w:pPr>
      <w:r>
        <w:drawing>
          <wp:inline xmlns:a="http://schemas.openxmlformats.org/drawingml/2006/main" xmlns:pic="http://schemas.openxmlformats.org/drawingml/2006/picture">
            <wp:extent cx="5091961" cy="5943600"/>
            <wp:docPr id="25" name="Picture 25"/>
            <wp:cNvGraphicFramePr>
              <a:graphicFrameLocks noChangeAspect="1"/>
            </wp:cNvGraphicFramePr>
            <a:graphic>
              <a:graphicData uri="http://schemas.openxmlformats.org/drawingml/2006/picture">
                <pic:pic>
                  <pic:nvPicPr>
                    <pic:cNvPr id="0" name="13-delete-confirmation.png"/>
                    <pic:cNvPicPr/>
                  </pic:nvPicPr>
                  <pic:blipFill>
                    <a:blip r:embed="rId45"/>
                    <a:stretch>
                      <a:fillRect/>
                    </a:stretch>
                  </pic:blipFill>
                  <pic:spPr>
                    <a:xfrm>
                      <a:off x="0" y="0"/>
                      <a:ext cx="5091961" cy="5943600"/>
                    </a:xfrm>
                    <a:prstGeom prst="rect"/>
                  </pic:spPr>
                </pic:pic>
              </a:graphicData>
            </a:graphic>
          </wp:inline>
        </w:drawing>
      </w:r>
    </w:p>
    <w:p>
      <w:pPr>
        <w:pStyle w:val="Caption"/>
        <w:keepNext w:val="0"/>
        <w:spacing w:after="240"/>
        <w:jc w:val="center"/>
      </w:pPr>
      <w:r>
        <w:t>Figure 34. Destructive report deletion requires an explicit confirmation and states that spent credit is not restored. Earlier text-product build.</w:t>
      </w:r>
    </w:p>
    <w:p>
      <w:pPr>
        <w:spacing w:line="269" w:lineRule="auto" w:after="140"/>
      </w:pPr>
      <w:r>
        <w:t>PGlite provides executable PostgreSQL semantics for the migrations but uses a single local connection, so its overlapping promises are not evidence of distributed concurrency. The hosted duplicate-request case gives narrower integration evidence, not a load benchmark. Supabase advisors reported intentional authenticated security-definer RPCs, disabled leaked-password protection and limited MFA options. Ownership checks and fixed search paths were reviewed, but these warnings and direct owner-callable RPCs mean the product should not be described as independently security-certified or its reports as tamper-proof credentials.</w:t>
      </w:r>
    </w:p>
    <w:p>
      <w:pPr>
        <w:pStyle w:val="Heading2"/>
      </w:pPr>
      <w:r>
        <w:t>5.5 Functional and report evaluation</w:t>
      </w:r>
    </w:p>
    <w:p>
      <w:pPr>
        <w:spacing w:line="269" w:lineRule="auto" w:after="140"/>
      </w:pPr>
      <w:r>
        <w:t>Earlier figures show the established 70% sample report. The new scanned fixture deliberately includes a negated statement: no Docker, cloud deployment or RAG project yet. The unchanged lexical matcher nevertheless assigned partial evidence to some of those terms. This is a substantive failure, not an OCR error: the image model reproduced the words correctly. Preserving deterministic fields limits model authority but also preserves deterministic mistakes. The report must therefore remain an inspectable aid; a future negation-aware evidence benchmark is higher priority than claiming calibrated accuracy.</w:t>
      </w:r>
    </w:p>
    <w:p>
      <w:pPr>
        <w:spacing w:line="269" w:lineRule="auto" w:after="140"/>
      </w:pPr>
      <w:r>
        <w:t>The guarded text layer preserved all tested scores, evidence-map entries and gap severities for both candidate models. That is a contract result, not a proof of truthful prose. Inspection found that the smaller text candidate suggested inserting job-description terms too broadly, while feedback sometimes treated details absent from the compressed evidence context as unverified even when present in the full resume. These observations motivate explicit claim-level validation and better evidence selection. No precision, recall or employment-outcome statistic is inferred from the small fixtures.</w:t>
      </w:r>
    </w:p>
    <w:p>
      <w:pPr>
        <w:spacing w:line="269" w:lineRule="auto" w:after="140"/>
      </w:pPr>
      <w:r>
        <w:t>The browser case found no horizontal overflow at widths 390, 768 and 1440 pixels and no captured console or page errors. The report remained readable with distinct claim labels. Print controls were hidden and a PDF was generated; Safari, unusual paper sizes and very long reports remain outside the observed scope. Microphone recording is implemented, but this automated end-to-end case tested the audio-upload path rather than a physical microphone.</w:t>
      </w:r>
    </w:p>
    <w:p>
      <w:pPr>
        <w:pStyle w:val="Heading2"/>
      </w:pPr>
      <w:r>
        <w:t>5.6 Heuristic usability review</w:t>
      </w:r>
    </w:p>
    <w:p>
      <w:pPr>
        <w:spacing w:line="269" w:lineRule="auto" w:after="140"/>
      </w:pPr>
      <w:r>
        <w:rPr>
          <w:rFonts w:ascii="Arial" w:hAnsi="Arial" w:eastAsia="Arial"/>
          <w:color w:val="000000"/>
          <w:sz w:val="22"/>
        </w:rPr>
        <w:t>Against Nielsen's heuristics, visibility of system status is supported by workflow markers, loading progress, credit count and reset language. Error prevention is addressed through file checks, Zod validation, disabled submission, editable metadata and server-side reservation ordering. User control is supported by editable extracted text, report deletion and logout. Match with the real world is strongest in the evidence labels and time-based roadmap. Recognition rather than recall is supported by sample inputs and visible next actions.</w:t>
      </w:r>
    </w:p>
    <w:p>
      <w:pPr>
        <w:spacing w:line="269" w:lineRule="auto" w:after="140"/>
      </w:pPr>
      <w:r>
        <w:rPr>
          <w:rFonts w:ascii="Arial" w:hAnsi="Arial" w:eastAsia="Arial"/>
          <w:color w:val="000000"/>
          <w:sz w:val="22"/>
        </w:rPr>
        <w:t>The minimalist design is generally successful, but report length remains a tension. A user can understand the executive summary quickly, yet interview preparation, evidence, scores and rewrites create a long page. More collapsing could improve scanning, but hidden sections can weaken print output and discoverability. The current ordering is a reasonable compromise; task observation should determine whether users miss lower sections. Accessibility checks should be expanded beyond semantic labels and focus styles to keyboard-only task completion and automated colour-contrast auditing.</w:t>
      </w:r>
    </w:p>
    <w:p>
      <w:pPr>
        <w:pStyle w:val="Heading2"/>
      </w:pPr>
      <w:r>
        <w:t>5.7 Planned user study</w:t>
      </w:r>
    </w:p>
    <w:p>
      <w:pPr>
        <w:spacing w:line="269" w:lineRule="auto" w:after="140"/>
      </w:pPr>
      <w:r>
        <w:rPr>
          <w:rFonts w:ascii="Arial" w:hAnsi="Arial" w:eastAsia="Arial"/>
          <w:color w:val="000000"/>
          <w:sz w:val="22"/>
        </w:rPr>
        <w:t>A small formative study with approximately six to ten final-year students or recent graduates is proposed. Participants will use either a redacted personal resume or the sample, choose a real junior AI-adjacent job description and complete five tasks: create an analysis, state what the percentage means, identify the three top gaps, decide which claims are currently safe, and select the first roadmap action. Measures will include task success, completion time, assistance, observed errors, SUS, confidence and short interview responses.</w:t>
      </w:r>
    </w:p>
    <w:p>
      <w:pPr>
        <w:spacing w:line="269" w:lineRule="auto" w:after="140"/>
      </w:pPr>
      <w:r>
        <w:rPr>
          <w:rFonts w:ascii="Arial" w:hAnsi="Arial" w:eastAsia="Arial"/>
          <w:color w:val="000000"/>
          <w:sz w:val="22"/>
        </w:rPr>
        <w:t>Two comprehension items are essential. First, participants should answer whether a Needs proof first suggestion can be added immediately; the correct interpretation is no. Second, they should answer whether the match estimate predicts an interview; again, no. For action quality, participants can rate each top recommendation on relevance, specificity, feasibility and evidential value. Qualitative coding should identify confusing terminology, unrealistic effort estimates and missing evidence.</w:t>
      </w:r>
    </w:p>
    <w:p>
      <w:pPr>
        <w:spacing w:line="269" w:lineRule="auto" w:after="140"/>
      </w:pPr>
      <w:r>
        <w:rPr>
          <w:rFonts w:ascii="Arial" w:hAnsi="Arial" w:eastAsia="Arial"/>
          <w:color w:val="000000"/>
          <w:sz w:val="22"/>
        </w:rPr>
        <w:t>The study should avoid collecting unnecessary personal data. Participants can redact contact details, and raw resumes should not be retained in research notes. The report should record aggregate results and anonymised quotations only with consent. As a formative study, it will support design changes but not justify broad statistical generalisation.</w:t>
      </w:r>
    </w:p>
    <w:p>
      <w:pPr>
        <w:pStyle w:val="Heading2"/>
      </w:pPr>
      <w:r>
        <w:t>5.8 Critical assessment and improvements</w:t>
      </w:r>
    </w:p>
    <w:p>
      <w:pPr>
        <w:spacing w:line="269" w:lineRule="auto" w:after="140"/>
      </w:pPr>
      <w:r>
        <w:t>The strongest result is an integrated three-model path with preserved local evidence, private persistence and recoverable model failures. Quotation validation initially rejected five of six model responses; constraining allowed excerpts then produced six accepted reruns without loosening the verification rule. This is concrete iteration based on failure evidence. It does not guarantee that every interpretation of a correctly quoted sentence is sound.</w:t>
      </w:r>
    </w:p>
    <w:p>
      <w:pPr>
        <w:spacing w:line="269" w:lineRule="auto" w:after="140"/>
      </w:pPr>
      <w:r>
        <w:t>The main weaknesses are lexical negation errors, compressed evidence context and evaluation breadth. Synthetic speech has limited accent and delivery diversity, and three resume layouts cannot represent real document noise. No participant usability scores or recruitment outcomes were collected. Hosted configuration still needs stronger account protections, and a future design should prevent clients from directly supplying apparently model-produced report content through owner-callable write RPCs.</w:t>
      </w:r>
    </w:p>
    <w:p>
      <w:pPr>
        <w:spacing w:line="269" w:lineRule="auto" w:after="140"/>
      </w:pPr>
      <w:r>
        <w:t>Next priorities are a human-labelled evidence set with negation cases, a consented speech/document corpus, repeated candidate-model runs and the formative study described above. Operational work includes recording-permission tests, multi-browser print checks, least-privilege server-only finalisation and account-wide deletion. These improvements follow observed limitations rather than adding unrelated features.</w:t>
      </w:r>
    </w:p>
    <w:p>
      <w:pPr>
        <w:spacing w:line="269" w:lineRule="auto" w:after="140"/>
      </w:pPr>
      <w:r>
        <w:br w:type="page"/>
      </w:r>
    </w:p>
    <w:p>
      <w:pPr>
        <w:pStyle w:val="Heading2"/>
      </w:pPr>
      <w:r>
        <w:t>5.9 Model comparison and observed iteration</w:t>
      </w:r>
    </w:p>
    <w:p>
      <w:pPr>
        <w:spacing w:line="269" w:lineRule="auto" w:after="140"/>
      </w:pPr>
      <w:r>
        <w:t>The reproducible dataset contains three synthetic resume layouts (clean, two-column and low-contrast) and three short synthetic answers (specific, unsupported-claim and noisy). macOS speech synthesis supplies a known reference; fixed-seed noise adds one controlled perturbation. Every candidate sees the same inputs. Word error rate is (substitutions + deletions + insertions) divided by reference words after lowercasing and removing punctuation. This measures content order as well as recognition, but misses punctuation and semantic harm. Latencies are single observations, not service-level estimates.</w:t>
      </w:r>
    </w:p>
    <w:p>
      <w:pPr>
        <w:pStyle w:val="Caption"/>
        <w:keepNext w:val="0"/>
        <w:spacing w:after="240"/>
      </w:pPr>
      <w:r>
        <w:t>Table 5. Exploratory live extraction comparison on synthetic fixtures.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72"/>
          </w:tcPr>
          <w:p>
            <w:pPr>
              <w:spacing w:after="100"/>
            </w:pPr>
            <w:r>
              <w:rPr>
                <w:b/>
                <w:sz w:val="18"/>
              </w:rPr>
              <w:t>Task</w:t>
            </w:r>
          </w:p>
        </w:tc>
        <w:tc>
          <w:tcPr>
            <w:tcW w:type="dxa" w:w="1872"/>
          </w:tcPr>
          <w:p>
            <w:pPr>
              <w:spacing w:after="100"/>
            </w:pPr>
            <w:r>
              <w:rPr>
                <w:b/>
                <w:sz w:val="18"/>
              </w:rPr>
              <w:t>Candidate</w:t>
            </w:r>
          </w:p>
        </w:tc>
        <w:tc>
          <w:tcPr>
            <w:tcW w:type="dxa" w:w="1872"/>
          </w:tcPr>
          <w:p>
            <w:pPr>
              <w:spacing w:after="100"/>
            </w:pPr>
            <w:r>
              <w:rPr>
                <w:b/>
                <w:sz w:val="18"/>
              </w:rPr>
              <w:t>Cases</w:t>
            </w:r>
          </w:p>
        </w:tc>
        <w:tc>
          <w:tcPr>
            <w:tcW w:type="dxa" w:w="1872"/>
          </w:tcPr>
          <w:p>
            <w:pPr>
              <w:spacing w:after="100"/>
            </w:pPr>
            <w:r>
              <w:rPr>
                <w:b/>
                <w:sz w:val="18"/>
              </w:rPr>
              <w:t>Mean WER</w:t>
            </w:r>
          </w:p>
        </w:tc>
        <w:tc>
          <w:tcPr>
            <w:tcW w:type="dxa" w:w="1872"/>
          </w:tcPr>
          <w:p>
            <w:pPr>
              <w:spacing w:after="100"/>
            </w:pPr>
            <w:r>
              <w:rPr>
                <w:b/>
                <w:sz w:val="18"/>
              </w:rPr>
              <w:t>Mean latency</w:t>
            </w:r>
          </w:p>
        </w:tc>
      </w:tr>
      <w:tr>
        <w:trPr>
          <w:cantSplit/>
        </w:trPr>
        <w:tc>
          <w:tcPr>
            <w:tcW w:type="dxa" w:w="1872"/>
          </w:tcPr>
          <w:p>
            <w:pPr>
              <w:spacing w:after="100"/>
            </w:pPr>
            <w:r>
              <w:rPr>
                <w:sz w:val="18"/>
              </w:rPr>
              <w:t>vision</w:t>
            </w:r>
          </w:p>
        </w:tc>
        <w:tc>
          <w:tcPr>
            <w:tcW w:type="dxa" w:w="1872"/>
          </w:tcPr>
          <w:p>
            <w:pPr>
              <w:spacing w:after="100"/>
            </w:pPr>
            <w:r>
              <w:rPr>
                <w:sz w:val="18"/>
              </w:rPr>
              <w:t>gpt-4.1-mini</w:t>
            </w:r>
          </w:p>
        </w:tc>
        <w:tc>
          <w:tcPr>
            <w:tcW w:type="dxa" w:w="1872"/>
          </w:tcPr>
          <w:p>
            <w:pPr>
              <w:spacing w:after="100"/>
            </w:pPr>
            <w:r>
              <w:rPr>
                <w:sz w:val="18"/>
              </w:rPr>
              <w:t>3</w:t>
            </w:r>
          </w:p>
        </w:tc>
        <w:tc>
          <w:tcPr>
            <w:tcW w:type="dxa" w:w="1872"/>
          </w:tcPr>
          <w:p>
            <w:pPr>
              <w:spacing w:after="100"/>
            </w:pPr>
            <w:r>
              <w:rPr>
                <w:sz w:val="18"/>
              </w:rPr>
              <w:t>0.00%</w:t>
            </w:r>
          </w:p>
        </w:tc>
        <w:tc>
          <w:tcPr>
            <w:tcW w:type="dxa" w:w="1872"/>
          </w:tcPr>
          <w:p>
            <w:pPr>
              <w:spacing w:after="100"/>
            </w:pPr>
            <w:r>
              <w:rPr>
                <w:sz w:val="18"/>
              </w:rPr>
              <w:t>4.01s</w:t>
            </w:r>
          </w:p>
        </w:tc>
      </w:tr>
      <w:tr>
        <w:trPr>
          <w:cantSplit/>
        </w:trPr>
        <w:tc>
          <w:tcPr>
            <w:tcW w:type="dxa" w:w="1872"/>
          </w:tcPr>
          <w:p>
            <w:pPr>
              <w:spacing w:after="100"/>
            </w:pPr>
            <w:r>
              <w:rPr>
                <w:sz w:val="18"/>
              </w:rPr>
              <w:t>vision</w:t>
            </w:r>
          </w:p>
        </w:tc>
        <w:tc>
          <w:tcPr>
            <w:tcW w:type="dxa" w:w="1872"/>
          </w:tcPr>
          <w:p>
            <w:pPr>
              <w:spacing w:after="100"/>
            </w:pPr>
            <w:r>
              <w:rPr>
                <w:sz w:val="18"/>
              </w:rPr>
              <w:t>gpt-4o-mini</w:t>
            </w:r>
          </w:p>
        </w:tc>
        <w:tc>
          <w:tcPr>
            <w:tcW w:type="dxa" w:w="1872"/>
          </w:tcPr>
          <w:p>
            <w:pPr>
              <w:spacing w:after="100"/>
            </w:pPr>
            <w:r>
              <w:rPr>
                <w:sz w:val="18"/>
              </w:rPr>
              <w:t>3</w:t>
            </w:r>
          </w:p>
        </w:tc>
        <w:tc>
          <w:tcPr>
            <w:tcW w:type="dxa" w:w="1872"/>
          </w:tcPr>
          <w:p>
            <w:pPr>
              <w:spacing w:after="100"/>
            </w:pPr>
            <w:r>
              <w:rPr>
                <w:sz w:val="18"/>
              </w:rPr>
              <w:t>6.22%</w:t>
            </w:r>
          </w:p>
        </w:tc>
        <w:tc>
          <w:tcPr>
            <w:tcW w:type="dxa" w:w="1872"/>
          </w:tcPr>
          <w:p>
            <w:pPr>
              <w:spacing w:after="100"/>
            </w:pPr>
            <w:r>
              <w:rPr>
                <w:sz w:val="18"/>
              </w:rPr>
              <w:t>3.04s</w:t>
            </w:r>
          </w:p>
        </w:tc>
      </w:tr>
      <w:tr>
        <w:trPr>
          <w:cantSplit/>
        </w:trPr>
        <w:tc>
          <w:tcPr>
            <w:tcW w:type="dxa" w:w="1872"/>
          </w:tcPr>
          <w:p>
            <w:pPr>
              <w:spacing w:after="100"/>
            </w:pPr>
            <w:r>
              <w:rPr>
                <w:sz w:val="18"/>
              </w:rPr>
              <w:t>audio</w:t>
            </w:r>
          </w:p>
        </w:tc>
        <w:tc>
          <w:tcPr>
            <w:tcW w:type="dxa" w:w="1872"/>
          </w:tcPr>
          <w:p>
            <w:pPr>
              <w:spacing w:after="100"/>
            </w:pPr>
            <w:r>
              <w:rPr>
                <w:sz w:val="18"/>
              </w:rPr>
              <w:t>gpt-4o-mini-transcribe</w:t>
            </w:r>
          </w:p>
        </w:tc>
        <w:tc>
          <w:tcPr>
            <w:tcW w:type="dxa" w:w="1872"/>
          </w:tcPr>
          <w:p>
            <w:pPr>
              <w:spacing w:after="100"/>
            </w:pPr>
            <w:r>
              <w:rPr>
                <w:sz w:val="18"/>
              </w:rPr>
              <w:t>3</w:t>
            </w:r>
          </w:p>
        </w:tc>
        <w:tc>
          <w:tcPr>
            <w:tcW w:type="dxa" w:w="1872"/>
          </w:tcPr>
          <w:p>
            <w:pPr>
              <w:spacing w:after="100"/>
            </w:pPr>
            <w:r>
              <w:rPr>
                <w:sz w:val="18"/>
              </w:rPr>
              <w:t>0.68%</w:t>
            </w:r>
          </w:p>
        </w:tc>
        <w:tc>
          <w:tcPr>
            <w:tcW w:type="dxa" w:w="1872"/>
          </w:tcPr>
          <w:p>
            <w:pPr>
              <w:spacing w:after="100"/>
            </w:pPr>
            <w:r>
              <w:rPr>
                <w:sz w:val="18"/>
              </w:rPr>
              <w:t>1.90s</w:t>
            </w:r>
          </w:p>
        </w:tc>
      </w:tr>
      <w:tr>
        <w:trPr>
          <w:cantSplit/>
        </w:trPr>
        <w:tc>
          <w:tcPr>
            <w:tcW w:type="dxa" w:w="1872"/>
          </w:tcPr>
          <w:p>
            <w:pPr>
              <w:spacing w:after="100"/>
            </w:pPr>
            <w:r>
              <w:rPr>
                <w:sz w:val="18"/>
              </w:rPr>
              <w:t>audio</w:t>
            </w:r>
          </w:p>
        </w:tc>
        <w:tc>
          <w:tcPr>
            <w:tcW w:type="dxa" w:w="1872"/>
          </w:tcPr>
          <w:p>
            <w:pPr>
              <w:spacing w:after="100"/>
            </w:pPr>
            <w:r>
              <w:rPr>
                <w:sz w:val="18"/>
              </w:rPr>
              <w:t>whisper-1</w:t>
            </w:r>
          </w:p>
        </w:tc>
        <w:tc>
          <w:tcPr>
            <w:tcW w:type="dxa" w:w="1872"/>
          </w:tcPr>
          <w:p>
            <w:pPr>
              <w:spacing w:after="100"/>
            </w:pPr>
            <w:r>
              <w:rPr>
                <w:sz w:val="18"/>
              </w:rPr>
              <w:t>3</w:t>
            </w:r>
          </w:p>
        </w:tc>
        <w:tc>
          <w:tcPr>
            <w:tcW w:type="dxa" w:w="1872"/>
          </w:tcPr>
          <w:p>
            <w:pPr>
              <w:spacing w:after="100"/>
            </w:pPr>
            <w:r>
              <w:rPr>
                <w:sz w:val="18"/>
              </w:rPr>
              <w:t>0.68%</w:t>
            </w:r>
          </w:p>
        </w:tc>
        <w:tc>
          <w:tcPr>
            <w:tcW w:type="dxa" w:w="1872"/>
          </w:tcPr>
          <w:p>
            <w:pPr>
              <w:spacing w:after="100"/>
            </w:pPr>
            <w:r>
              <w:rPr>
                <w:sz w:val="18"/>
              </w:rPr>
              <w:t>2.10s</w:t>
            </w:r>
          </w:p>
        </w:tc>
      </w:tr>
    </w:tbl>
    <w:p>
      <w:pPr>
        <w:spacing w:after="140" w:line="269" w:lineRule="auto"/>
      </w:pPr>
    </w:p>
    <w:p>
      <w:pPr>
        <w:spacing w:line="269" w:lineRule="auto" w:after="140"/>
      </w:pPr>
      <w:r>
        <w:t>The selected vision model reproduced all three normalised references. gpt-4o-mini had 18.67% WER on the two-column case and zero on the others, so gpt-4.1-mini was retained for this workflow despite slower average latency. Both transcription candidates tied at 0%, 2.04% and 0% WER; the selected candidate was slightly faster on average. This is weak selection evidence from one synthetic voice, not proof that Whisper is generally inferior. Both text candidates preserved fixed fields, but the smaller model was not promoted because that invariant alone did not establish safer advice.</w:t>
      </w:r>
    </w:p>
    <w:p>
      <w:pPr>
        <w:spacing w:line="269" w:lineRule="auto" w:after="140"/>
      </w:pPr>
      <w:r>
        <w:t>There were 26 recorded provider trials: six vision, six transcription, two report-guidance, six initial interview-feedback and six revised-feedback calls. Five initial interview responses failed exact-quotation validation. The application rejected them. Constraining quotations to source-span enums yielded six accepted reruns. This demonstrates a useful engineering correction, not zero hallucination: quoted evidence can still be misinterpreted and unseen inputs can fail. Token usage is retained where returned, but no unmeasured monetary cost or statistical significance is claimed.</w:t>
      </w:r>
    </w:p>
    <w:p>
      <w:pPr>
        <w:pStyle w:val="Heading1"/>
        <w:pageBreakBefore/>
      </w:pPr>
      <w:r>
        <w:t>6. Conclusion (346/1000 words)</w:t>
      </w:r>
    </w:p>
    <w:p>
      <w:pPr>
        <w:spacing w:line="269" w:lineRule="auto" w:after="140"/>
      </w:pPr>
      <w:r>
        <w:t>KopiBridge AI implements CM3020 Project Idea 1, section 4.1, through three distinct pretrained models handling images, text and audio within one career-preparation workflow. Scanned documents become reviewed resume text; a deterministic report anchors language guidance; and a reviewed interview transcript receives private feedback tied to that report. The original account, credit, history and print functions remain part of the integrated product.</w:t>
      </w:r>
    </w:p>
    <w:p>
      <w:pPr>
        <w:spacing w:line="269" w:lineRule="auto" w:after="140"/>
      </w:pPr>
      <w:r>
        <w:t>The contribution is the orchestration and evidence policy rather than a new foundation model. Explicit review points, constrained response schemas and immutable local fields reduce the opportunity for generated prose to become unsupported authority. The quotation redesign shows how evaluation can lead to a concrete implementation improvement. At the same time, a preserved heuristic can still be wrong, so inspectability must not be confused with semantic correctness.</w:t>
      </w:r>
    </w:p>
    <w:p>
      <w:pPr>
        <w:spacing w:line="269" w:lineRule="auto" w:after="140"/>
      </w:pPr>
      <w:r>
        <w:t>The final evidence includes 33 passing automated tests, six passing public browser checks, one passing authenticated end-to-end workflow and 26 recorded live model trials. The selected vision model had zero normalised word error on three synthetic layouts; the selected speech model had zero error on two answers and one word error on the third. Both text candidates preserved fixed assessment fields. Five initial interview outputs were rejected for quotation mismatch, followed by six valid constrained reruns. These small results support technical feasibility, not general model superiority or a measured improvement in employability.</w:t>
      </w:r>
    </w:p>
    <w:p>
      <w:pPr>
        <w:spacing w:line="269" w:lineRule="auto" w:after="140"/>
      </w:pPr>
      <w:r>
        <w:t>The multimodal code is validated locally against live services and its approved database migration is applied. Publishing that extension remains separate from implementation. The public repository must contain the submitted revision and remain accessible until results are issued. Further research should test real users, diverse speech and document layouts, claim-level correctness and the effect of completed proof tasks. No unperformed user study is presented as a finding.</w:t>
      </w:r>
    </w:p>
    <w:p>
      <w:pPr>
        <w:spacing w:line="269" w:lineRule="auto" w:after="140"/>
      </w:pPr>
      <w:r>
        <w:rPr>
          <w:rFonts w:ascii="Arial" w:hAnsi="Arial" w:eastAsia="Arial"/>
          <w:color w:val="000000"/>
          <w:sz w:val="22"/>
        </w:rPr>
        <w:t>More broadly, the project argues that responsible career technology should help users build truthful evidence rather than optimise appearances alone. KopiBridge AI does not promise employment and should not decide whether a person is capable. Its value lies in making a document comparison inspectable, converting uncertainty into proportionate action, and preserving the user's responsibility for what they ultimately claim.</w:t>
      </w:r>
    </w:p>
    <w:p>
      <w:pPr>
        <w:spacing w:line="269" w:lineRule="auto" w:after="140"/>
      </w:pPr>
      <w:r>
        <w:br w:type="page"/>
      </w:r>
    </w:p>
    <w:p>
      <w:pPr>
        <w:pStyle w:val="Heading1"/>
        <w:pageBreakBefore/>
      </w:pPr>
      <w:r>
        <w:rPr>
          <w:rFonts w:ascii="Arial" w:hAnsi="Arial" w:eastAsia="Arial"/>
          <w:color w:val="000000"/>
          <w:sz w:val="40"/>
        </w:rPr>
        <w:t>References</w:t>
      </w:r>
    </w:p>
    <w:p>
      <w:pPr>
        <w:spacing w:after="140" w:line="269" w:lineRule="auto"/>
        <w:ind w:left="360" w:hanging="360"/>
      </w:pPr>
      <w:r>
        <w:t>Amershi, S. et al. (2019) Guidelines for Human-AI Interaction. Proceedings of CHI 2019. doi:10.1145/3290605.3300233. https://www.microsoft.com/en-us/research/publication/guidelines-for-human-ai-interaction/</w:t>
      </w:r>
    </w:p>
    <w:p>
      <w:pPr>
        <w:spacing w:after="140" w:line="269" w:lineRule="auto"/>
        <w:ind w:left="360" w:hanging="360"/>
      </w:pPr>
      <w:r>
        <w:t>Bogen, M. and Rieke, A. (2018) Help Wanted: An Examination of Hiring Algorithms, Equity, and Bias. Upturn. Available at: https://www.upturn.org/work/help-wanted/</w:t>
      </w:r>
    </w:p>
    <w:p>
      <w:pPr>
        <w:spacing w:after="140" w:line="269" w:lineRule="auto"/>
        <w:ind w:left="360" w:hanging="360"/>
      </w:pPr>
      <w:r>
        <w:t>Brooke, J. (1996) 'SUS: A quick and dirty usability scale', in Jordan, P.W., Thomas, B., Weerdmeester, B.A. and McClelland, I.L. (eds.) Usability Evaluation in Industry. London: Taylor &amp; Francis.</w:t>
      </w:r>
    </w:p>
    <w:p>
      <w:pPr>
        <w:spacing w:after="140" w:line="269" w:lineRule="auto"/>
        <w:ind w:left="360" w:hanging="360"/>
      </w:pPr>
      <w:r>
        <w:t>Devlin, J., Chang, M.-W., Lee, K. and Toutanova, K. (2019) 'BERT: Pre-training of Deep Bidirectional Transformers for Language Understanding', Proceedings of NAACL-HLT 2019, pp. 4171-4186. doi: 10.18653/v1/N19-1423. Available at: https://aclanthology.org/N19-1423/</w:t>
      </w:r>
    </w:p>
    <w:p>
      <w:pPr>
        <w:spacing w:after="140" w:line="269" w:lineRule="auto"/>
        <w:ind w:left="360" w:hanging="360"/>
      </w:pPr>
      <w:r>
        <w:t>Doshi-Velez, F. and Kim, B. (2017) 'Towards a rigorous science of interpretable machine learning', arXiv:1702.08608. Available at: https://arxiv.org/abs/1702.08608</w:t>
      </w:r>
    </w:p>
    <w:p>
      <w:pPr>
        <w:spacing w:after="140" w:line="269" w:lineRule="auto"/>
        <w:ind w:left="360" w:hanging="360"/>
      </w:pPr>
      <w:r>
        <w:t>European Commission (n.d.) What is ESCO? Available at: https://esco.ec.europa.eu/en/about-esco/what-esco</w:t>
      </w:r>
    </w:p>
    <w:p>
      <w:pPr>
        <w:spacing w:after="140" w:line="269" w:lineRule="auto"/>
        <w:ind w:left="360" w:hanging="360"/>
      </w:pPr>
      <w:r>
        <w:t>Guidotti, R., Monreale, A., Ruggieri, S., Turini, F., Giannotti, F. and Pedreschi, D. (2018) 'A survey of methods for explaining black box models', ACM Computing Surveys, 51(5), Article 93. doi: 10.1145/3236009.</w:t>
      </w:r>
    </w:p>
    <w:p>
      <w:pPr>
        <w:spacing w:after="140" w:line="269" w:lineRule="auto"/>
        <w:ind w:left="360" w:hanging="360"/>
      </w:pPr>
      <w:r>
        <w:t>ISO (2019) ISO 9241-210:2019 Ergonomics of human-system interaction - Part 210: Human-centred design for interactive systems. Available at: https://www.iso.org/standard/77520.html</w:t>
      </w:r>
    </w:p>
    <w:p>
      <w:pPr>
        <w:spacing w:after="140" w:line="269" w:lineRule="auto"/>
        <w:ind w:left="360" w:hanging="360"/>
      </w:pPr>
      <w:r>
        <w:t>Kim, G. et al. (2022) OCR-free Document Understanding Transformer. Proceedings of ECCV 2022. https://arxiv.org/abs/2111.15664</w:t>
      </w:r>
    </w:p>
    <w:p>
      <w:pPr>
        <w:spacing w:after="140" w:line="269" w:lineRule="auto"/>
        <w:ind w:left="360" w:hanging="360"/>
      </w:pPr>
      <w:r>
        <w:t>Mozilla (n.d.) PDF.js. Available at: https://mozilla.github.io/pdf.js/</w:t>
      </w:r>
    </w:p>
    <w:p>
      <w:pPr>
        <w:spacing w:after="140" w:line="269" w:lineRule="auto"/>
        <w:ind w:left="360" w:hanging="360"/>
      </w:pPr>
      <w:r>
        <w:t>National Center for ONET Development (n.d.) The ONET Content Model. Available at: https://www.onetcenter.org/content.html</w:t>
      </w:r>
    </w:p>
    <w:p>
      <w:pPr>
        <w:spacing w:after="140" w:line="269" w:lineRule="auto"/>
        <w:ind w:left="360" w:hanging="360"/>
      </w:pPr>
      <w:r>
        <w:t>Nielsen, J. (1994) 10 Usability Heuristics for User Interface Design. Nielsen Norman Group. Available at: https://www.nngroup.com/articles/ten-usability-heuristics/</w:t>
      </w:r>
    </w:p>
    <w:p>
      <w:pPr>
        <w:spacing w:after="140" w:line="269" w:lineRule="auto"/>
        <w:ind w:left="360" w:hanging="360"/>
      </w:pPr>
      <w:r>
        <w:t>OpenAI (n.d.-a) Images and vision. https://developers.openai.com/api/docs/guides/images-vision (Accessed 28 September 2026).</w:t>
      </w:r>
    </w:p>
    <w:p>
      <w:pPr>
        <w:spacing w:after="140" w:line="269" w:lineRule="auto"/>
        <w:ind w:left="360" w:hanging="360"/>
      </w:pPr>
      <w:r>
        <w:t>OpenAI (n.d.-b) File transcription. https://developers.openai.com/api/docs/guides/speech-to-text (Accessed 28 September 2026).</w:t>
      </w:r>
    </w:p>
    <w:p>
      <w:pPr>
        <w:spacing w:after="140" w:line="269" w:lineRule="auto"/>
        <w:ind w:left="360" w:hanging="360"/>
      </w:pPr>
      <w:r>
        <w:t>OpenAI (n.d.-c) Structured model outputs. https://developers.openai.com/api/docs/guides/structured-outputs (Accessed 28 September 2026).</w:t>
      </w:r>
    </w:p>
    <w:p>
      <w:pPr>
        <w:spacing w:line="269" w:lineRule="auto" w:after="140"/>
      </w:pPr>
      <w:r>
        <w:t>OWASP (n.d.) Input Validation Cheat Sheet. Available at: https://cheatsheetseries.owasp.org/cheatsheets/Input_Validation_Cheat_Sheet.html</w:t>
      </w:r>
    </w:p>
    <w:p>
      <w:pPr>
        <w:spacing w:line="269" w:lineRule="auto" w:after="140"/>
      </w:pPr>
      <w:r>
        <w:t>Radford, A., Kim, J.W., Xu, T., Brockman, G., McLeavey, C. and Sutskever, I. (2023) Robust Speech Recognition via Large-Scale Weak Supervision. Proceedings of ICML, PMLR 202, pp. 28492-28518. https://proceedings.mlr.press/v202/radford23a.html</w:t>
      </w:r>
    </w:p>
    <w:p>
      <w:pPr>
        <w:spacing w:line="269" w:lineRule="auto" w:after="140"/>
      </w:pPr>
      <w:r>
        <w:t>Raghavan, M., Barocas, S., Kleinberg, J. and Levy, K. (2020) 'Mitigating bias in algorithmic hiring: Evaluating claims and practices', Proceedings of the 2020 Conference on Fairness, Accountability, and Transparency, pp. 469-481. doi: 10.1145/3351095.3372828.</w:t>
      </w:r>
    </w:p>
    <w:p>
      <w:pPr>
        <w:spacing w:line="269" w:lineRule="auto" w:after="140"/>
      </w:pPr>
      <w:r>
        <w:t>Reimers, N. and Gurevych, I. (2019) 'Sentence-BERT: Sentence embeddings using Siamese BERT-networks', Proceedings of EMNLP-IJCNLP 2019, pp. 3982-3992. doi: 10.18653/v1/D19-1410. Available at: https://aclanthology.org/D19-1410/</w:t>
      </w:r>
    </w:p>
    <w:p>
      <w:pPr>
        <w:spacing w:line="269" w:lineRule="auto" w:after="140"/>
      </w:pPr>
      <w:r>
        <w:t>Supabase (n.d.-a) Server-Side Rendering. Available at: https://supabase.com/docs/guides/auth/server-side</w:t>
      </w:r>
    </w:p>
    <w:p>
      <w:pPr>
        <w:spacing w:line="269" w:lineRule="auto" w:after="140"/>
      </w:pPr>
      <w:r>
        <w:t>Supabase (n.d.-b) Row Level Security. Available at: https://supabase.com/docs/guides/database/postgres/row-level-security</w:t>
      </w:r>
    </w:p>
    <w:p>
      <w:pPr>
        <w:spacing w:line="269" w:lineRule="auto" w:after="140"/>
      </w:pPr>
      <w:r>
        <w:t>University of London (n.d.) Final Project Templates. CM3020 Artificial Intelligence, Project Idea 1, section 4.1, pp. 19-21. Course project brief supplied with the project.</w:t>
      </w:r>
    </w:p>
    <w:sectPr w:rsidR="00FC693F" w:rsidRPr="0006063C" w:rsidSect="00034616">
      <w:footerReference w:type="default" r:id="rId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suff w:val="tab"/>
      <w:pPr>
        <w:tabs>
          <w:tab w:val="num" w:pos="720"/>
        </w:tabs>
        <w:ind w:left="720" w:hanging="360"/>
        <w:spacing w:after="80" w:line="276" w:lineRule="auto"/>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200"/>
    </w:pPr>
    <w:rPr>
      <w:rFonts w:ascii="Arial" w:hAnsi="Arial"/>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www.upturn.org/work/help-wanted/" TargetMode="External"/><Relationship Id="rId16" Type="http://schemas.openxmlformats.org/officeDocument/2006/relationships/hyperlink" Target="https://aclanthology.org/N19-1423/" TargetMode="External"/><Relationship Id="rId17" Type="http://schemas.openxmlformats.org/officeDocument/2006/relationships/hyperlink" Target="https://arxiv.org/abs/1702.08608" TargetMode="External"/><Relationship Id="rId18" Type="http://schemas.openxmlformats.org/officeDocument/2006/relationships/hyperlink" Target="https://esco.ec.europa.eu/en/about-esco/what-esco" TargetMode="External"/><Relationship Id="rId19" Type="http://schemas.openxmlformats.org/officeDocument/2006/relationships/hyperlink" Target="https://www.iso.org/standard/77520.html" TargetMode="External"/><Relationship Id="rId20" Type="http://schemas.openxmlformats.org/officeDocument/2006/relationships/hyperlink" Target="https://mozilla.github.io/pdf.js/" TargetMode="External"/><Relationship Id="rId21" Type="http://schemas.openxmlformats.org/officeDocument/2006/relationships/hyperlink" Target="https://www.onetcenter.org/content.html" TargetMode="External"/><Relationship Id="rId22" Type="http://schemas.openxmlformats.org/officeDocument/2006/relationships/hyperlink" Target="https://www.nngroup.com/articles/ten-usability-heuristics/" TargetMode="External"/><Relationship Id="rId23" Type="http://schemas.openxmlformats.org/officeDocument/2006/relationships/hyperlink" Target="https://cheatsheetseries.owasp.org/cheatsheets/Input_Validation_Cheat_Sheet.html" TargetMode="External"/><Relationship Id="rId24" Type="http://schemas.openxmlformats.org/officeDocument/2006/relationships/hyperlink" Target="https://aclanthology.org/D19-1410/" TargetMode="External"/><Relationship Id="rId25" Type="http://schemas.openxmlformats.org/officeDocument/2006/relationships/hyperlink" Target="https://supabase.com/docs/guides/auth/server-side" TargetMode="External"/><Relationship Id="rId26" Type="http://schemas.openxmlformats.org/officeDocument/2006/relationships/hyperlink" Target="https://supabase.com/docs/guides/database/postgres/row-level-security" TargetMode="External"/><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jpg"/><Relationship Id="rId38" Type="http://schemas.openxmlformats.org/officeDocument/2006/relationships/image" Target="media/image18.jpg"/><Relationship Id="rId39" Type="http://schemas.openxmlformats.org/officeDocument/2006/relationships/image" Target="media/image19.jpg"/><Relationship Id="rId40" Type="http://schemas.openxmlformats.org/officeDocument/2006/relationships/image" Target="media/image20.jpg"/><Relationship Id="rId41" Type="http://schemas.openxmlformats.org/officeDocument/2006/relationships/image" Target="media/image21.jpg"/><Relationship Id="rId42" Type="http://schemas.openxmlformats.org/officeDocument/2006/relationships/image" Target="media/image22.jpg"/><Relationship Id="rId43" Type="http://schemas.openxmlformats.org/officeDocument/2006/relationships/image" Target="media/image23.jpg"/><Relationship Id="rId44" Type="http://schemas.openxmlformats.org/officeDocument/2006/relationships/image" Target="media/image24.jp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KopiBridge AI Final Project Report</dc:title>
  <dc:subject>CM3020 Project Idea 1 Section 4.1</dc:subject>
  <dc:creator>KopiBridge AI project</dc:creator>
  <cp:keywords>KopiBridge AI, resume analysis, career roadmap, Next.js, Supabase</cp:keywords>
  <dc:description>generated by python-docx</dc:description>
  <cp:lastModifiedBy/>
  <cp:revision>1</cp:revision>
  <dcterms:created xsi:type="dcterms:W3CDTF">2013-12-23T23:15:00Z</dcterms:created>
  <dcterms:modified xsi:type="dcterms:W3CDTF">2013-12-23T23:15:00Z</dcterms:modified>
  <cp:category/>
</cp:coreProperties>
</file>