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jc w:val="left"/>
      </w:pPr>
      <w:r>
        <w:rPr>
          <w:rFonts w:ascii="Calibri" w:hAnsi="Calibri"/>
          <w:b/>
          <w:i w:val="0"/>
          <w:color w:val="1F4E79"/>
          <w:sz w:val="42"/>
        </w:rPr>
        <w:t>ОТЧЁТ О ПРОДЕЛАННОЙ РАБОТЕ</w:t>
      </w:r>
    </w:p>
    <w:p>
      <w:pPr>
        <w:spacing w:after="180"/>
      </w:pPr>
      <w:r>
        <w:rPr>
          <w:rFonts w:ascii="Calibri" w:hAnsi="Calibri"/>
          <w:b/>
          <w:i w:val="0"/>
          <w:color w:val="1F1F1F"/>
          <w:sz w:val="24"/>
        </w:rPr>
        <w:t>Разработка алгоритма поэтапного вознаграждения для обучения VLA-моделей в SimpleVLA-RL</w:t>
      </w:r>
    </w:p>
    <w:p>
      <w:pPr>
        <w:spacing w:after="40"/>
      </w:pPr>
      <w:r>
        <w:rPr>
          <w:rFonts w:ascii="Calibri" w:hAnsi="Calibri"/>
          <w:b/>
          <w:i w:val="0"/>
          <w:color w:val="1F4E79"/>
          <w:sz w:val="22"/>
        </w:rPr>
        <w:t xml:space="preserve">Название проекта: </w:t>
      </w:r>
      <w:r>
        <w:rPr>
          <w:rFonts w:ascii="Calibri" w:hAnsi="Calibri"/>
          <w:b w:val="0"/>
          <w:i w:val="0"/>
          <w:color w:val="1F1F1F"/>
          <w:sz w:val="22"/>
        </w:rPr>
        <w:t>Разработка алгоритма поэтапного вознаграждения для обучения VLA-моделей в SimpleVLA-RL.</w:t>
      </w:r>
    </w:p>
    <w:p>
      <w:pPr>
        <w:spacing w:after="100"/>
      </w:pPr>
      <w:r>
        <w:rPr>
          <w:rFonts w:ascii="Calibri" w:hAnsi="Calibri"/>
          <w:b/>
          <w:i w:val="0"/>
          <w:color w:val="1F4E79"/>
          <w:sz w:val="22"/>
        </w:rPr>
        <w:t xml:space="preserve">Руководитель: </w:t>
      </w:r>
      <w:r>
        <w:rPr>
          <w:rFonts w:ascii="Calibri" w:hAnsi="Calibri"/>
          <w:b w:val="0"/>
          <w:i w:val="0"/>
          <w:color w:val="1F1F1F"/>
          <w:sz w:val="22"/>
        </w:rPr>
        <w:t>Алексей Корнаев.</w:t>
      </w:r>
    </w:p>
    <w:p>
      <w:pPr>
        <w:pStyle w:val="Heading1"/>
        <w:keepNext/>
        <w:pageBreakBefore w:val="0"/>
      </w:pPr>
      <w:r>
        <w:rPr>
          <w:rFonts w:ascii="Calibri" w:hAnsi="Calibri"/>
          <w:b/>
          <w:i w:val="0"/>
          <w:color w:val="1F4E79"/>
          <w:sz w:val="26"/>
        </w:rPr>
        <w:t>Цель проекта</w:t>
      </w:r>
    </w:p>
    <w:p>
      <w:pPr>
        <w:keepLines/>
        <w:spacing w:after="100"/>
      </w:pPr>
      <w:r>
        <w:rPr>
          <w:rFonts w:ascii="Calibri" w:hAnsi="Calibri"/>
          <w:b w:val="0"/>
          <w:i w:val="0"/>
          <w:color w:val="1F1F1F"/>
          <w:sz w:val="22"/>
        </w:rPr>
        <w:t>Повысить информативность сигнала подкрепления при обучении vision-language-action моделей робототехническим манипуляциям в среде LIBERO: перейти от исключительно терминальной оценки успеха к поэтапной оценке продвижения по траектории, сохранив совместимость с исходным конвейером SimpleVLA-RL.</w:t>
      </w:r>
    </w:p>
    <w:p>
      <w:pPr>
        <w:pStyle w:val="Heading1"/>
        <w:keepNext/>
        <w:pageBreakBefore w:val="0"/>
      </w:pPr>
      <w:r>
        <w:rPr>
          <w:rFonts w:ascii="Calibri" w:hAnsi="Calibri"/>
          <w:b/>
          <w:i w:val="0"/>
          <w:color w:val="1F4E79"/>
          <w:sz w:val="26"/>
        </w:rPr>
        <w:t>Задачи</w:t>
      </w:r>
    </w:p>
    <w:p>
      <w:pPr>
        <w:pStyle w:val="ReportBullet"/>
        <w:numPr>
          <w:ilvl w:val="0"/>
          <w:numId w:val="10"/>
        </w:numPr>
      </w:pPr>
      <w:r>
        <w:rPr>
          <w:rFonts w:ascii="Calibri" w:hAnsi="Calibri"/>
          <w:b w:val="0"/>
          <w:i w:val="0"/>
          <w:color w:val="1F1F1F"/>
          <w:sz w:val="22"/>
        </w:rPr>
        <w:t>выделить наблюдаемые подцели типовой задачи pick-and-place и определить для них непрерывные меры прогресса;</w:t>
      </w:r>
    </w:p>
    <w:p>
      <w:pPr>
        <w:pStyle w:val="ReportBullet"/>
        <w:numPr>
          <w:ilvl w:val="0"/>
          <w:numId w:val="10"/>
        </w:numPr>
      </w:pPr>
      <w:r>
        <w:rPr>
          <w:rFonts w:ascii="Calibri" w:hAnsi="Calibri"/>
          <w:b w:val="0"/>
          <w:i w:val="0"/>
          <w:color w:val="1F1F1F"/>
          <w:sz w:val="22"/>
        </w:rPr>
        <w:t>реализовать независимое онлайн-отслеживание фаз для каждого rollout без использования будущих состояний;</w:t>
      </w:r>
    </w:p>
    <w:p>
      <w:pPr>
        <w:pStyle w:val="ReportBullet"/>
        <w:numPr>
          <w:ilvl w:val="0"/>
          <w:numId w:val="10"/>
        </w:numPr>
      </w:pPr>
      <w:r>
        <w:rPr>
          <w:rFonts w:ascii="Calibri" w:hAnsi="Calibri"/>
          <w:b w:val="0"/>
          <w:i w:val="0"/>
          <w:color w:val="1F1F1F"/>
          <w:sz w:val="22"/>
        </w:rPr>
        <w:t>сформировать настраиваемую функцию плотного вознаграждения и встроить её в обучение GRPO/PPO;</w:t>
      </w:r>
    </w:p>
    <w:p>
      <w:pPr>
        <w:pStyle w:val="ReportBullet"/>
        <w:numPr>
          <w:ilvl w:val="0"/>
          <w:numId w:val="10"/>
        </w:numPr>
      </w:pPr>
      <w:r>
        <w:rPr>
          <w:rFonts w:ascii="Calibri" w:hAnsi="Calibri"/>
          <w:b w:val="0"/>
          <w:i w:val="0"/>
          <w:color w:val="1F1F1F"/>
          <w:sz w:val="22"/>
        </w:rPr>
        <w:t>сохранить режим исходного терминального вознаграждения и предусмотреть безопасное поведение для неподдерживаемых задач;</w:t>
      </w:r>
    </w:p>
    <w:p>
      <w:pPr>
        <w:pStyle w:val="ReportBullet"/>
        <w:numPr>
          <w:ilvl w:val="0"/>
          <w:numId w:val="10"/>
        </w:numPr>
      </w:pPr>
      <w:r>
        <w:rPr>
          <w:rFonts w:ascii="Calibri" w:hAnsi="Calibri"/>
          <w:b w:val="0"/>
          <w:i w:val="0"/>
          <w:color w:val="1F1F1F"/>
          <w:sz w:val="22"/>
        </w:rPr>
        <w:t>провести сравнительные эксперименты, проанализировать качество, устойчивость обновлений и корректность сигнала подцелей.</w:t>
      </w:r>
    </w:p>
    <w:p>
      <w:pPr>
        <w:pStyle w:val="Heading1"/>
        <w:keepNext/>
        <w:pageBreakBefore w:val="0"/>
      </w:pPr>
      <w:r>
        <w:rPr>
          <w:rFonts w:ascii="Calibri" w:hAnsi="Calibri"/>
          <w:b/>
          <w:i w:val="0"/>
          <w:color w:val="1F4E79"/>
          <w:sz w:val="26"/>
        </w:rPr>
        <w:t>Используемые методы и подходы</w:t>
      </w:r>
    </w:p>
    <w:p>
      <w:pPr>
        <w:keepLines/>
        <w:spacing w:after="100"/>
      </w:pPr>
      <w:r>
        <w:rPr>
          <w:rFonts w:ascii="Calibri" w:hAnsi="Calibri"/>
          <w:b w:val="0"/>
          <w:i w:val="0"/>
          <w:color w:val="1F1F1F"/>
          <w:sz w:val="22"/>
        </w:rPr>
        <w:t>Задача манипуляции декомпозирована на пять последовательных фаз: приближение к объекту, захват, подъём, перенос к цели и размещение/успех. Состояние извлекается из наблюдений LIBERO/robosuite в режиме best effort, поэтому отсутствие отдельных признаков не нарушает базовое обучение.</w:t>
      </w:r>
    </w:p>
    <w:p>
      <w:pPr>
        <w:keepLines/>
        <w:spacing w:after="100"/>
      </w:pPr>
      <w:r>
        <w:rPr>
          <w:rFonts w:ascii="Calibri" w:hAnsi="Calibri"/>
          <w:b w:val="0"/>
          <w:i w:val="0"/>
          <w:color w:val="1F1F1F"/>
          <w:sz w:val="22"/>
        </w:rPr>
        <w:t>Для каждого экземпляра rollout создан отдельный монотонный трекер фаз. Вознаграждается только положительное приращение лучшего достигнутого прогресса, что предотвращает накопление награды за циклические движения. Итоговый сигнал объединяет прогресс подцели, завершение фазы, терминальный успех и опциональный штраф за резкость действий; плотная часть ограничивается clipping. Поддержаны режимы log_only, add и replace, а GRPO-нормализация выполняется внутри групп одной задачи. Для оценки использованы unit-тесты, анализ логов обучения и сопоставление терминального, плотного, ограниченного по градиенту и разреженного вариантов.</w:t>
      </w:r>
    </w:p>
    <w:p>
      <w:pPr>
        <w:pStyle w:val="Heading1"/>
        <w:keepNext/>
        <w:pageBreakBefore/>
      </w:pPr>
      <w:r>
        <w:rPr>
          <w:rFonts w:ascii="Calibri" w:hAnsi="Calibri"/>
          <w:b/>
          <w:i w:val="0"/>
          <w:color w:val="1F4E79"/>
          <w:sz w:val="26"/>
        </w:rPr>
        <w:t>Достигнутые результаты</w:t>
      </w:r>
    </w:p>
    <w:p>
      <w:pPr>
        <w:pStyle w:val="ReportBullet"/>
        <w:numPr>
          <w:ilvl w:val="0"/>
          <w:numId w:val="10"/>
        </w:numPr>
      </w:pPr>
      <w:r>
        <w:rPr>
          <w:rFonts w:ascii="Calibri" w:hAnsi="Calibri"/>
          <w:b w:val="0"/>
          <w:i w:val="0"/>
          <w:color w:val="1F1F1F"/>
          <w:sz w:val="22"/>
        </w:rPr>
        <w:t>Реализован модульный пакет subgoal_reward и его интеграция в rollout worker, менеджер вознаграждений, конфигурацию тренера и журналирование. При отключённой опции исходный путь SimpleVLA-RL остаётся неизменным.</w:t>
      </w:r>
    </w:p>
    <w:p>
      <w:pPr>
        <w:pStyle w:val="ReportBullet"/>
        <w:numPr>
          <w:ilvl w:val="0"/>
          <w:numId w:val="10"/>
        </w:numPr>
      </w:pPr>
      <w:r>
        <w:rPr>
          <w:rFonts w:ascii="Calibri" w:hAnsi="Calibri"/>
          <w:b w:val="0"/>
          <w:i w:val="0"/>
          <w:color w:val="1F1F1F"/>
          <w:sz w:val="22"/>
        </w:rPr>
        <w:t>Подготовлено восемь unit-тестов на сброс состояния, монотонность фаз, защиту от повторного получения награды, независимость rollout-трекеров, группировку GRPO и сохранение базового вознаграждения.</w:t>
      </w:r>
    </w:p>
    <w:p>
      <w:pPr>
        <w:pStyle w:val="ReportBullet"/>
        <w:numPr>
          <w:ilvl w:val="0"/>
          <w:numId w:val="10"/>
        </w:numPr>
      </w:pPr>
      <w:r>
        <w:rPr>
          <w:rFonts w:ascii="Calibri" w:hAnsi="Calibri"/>
          <w:b w:val="0"/>
          <w:i w:val="0"/>
          <w:color w:val="1F1F1F"/>
          <w:sz w:val="22"/>
        </w:rPr>
        <w:t>В исходном плотном запуске достигнуто среднее validation-качество 0,957 и максимум 0,983, однако итог снизился до 0,933. Анализ показал повышенную частоту обновлений и выявил, что метрики прироста прогресса и завершения фаз фактически не активировались; также обнаружен риск повторного учёта терминального сигнала в режиме add.</w:t>
      </w:r>
    </w:p>
    <w:p>
      <w:pPr>
        <w:pStyle w:val="ReportBullet"/>
        <w:numPr>
          <w:ilvl w:val="0"/>
          <w:numId w:val="10"/>
        </w:numPr>
      </w:pPr>
      <w:r>
        <w:rPr>
          <w:rFonts w:ascii="Calibri" w:hAnsi="Calibri"/>
          <w:b w:val="0"/>
          <w:i w:val="0"/>
          <w:color w:val="1F1F1F"/>
          <w:sz w:val="22"/>
        </w:rPr>
        <w:t>В новом 42-шаговом запуске сигнал подцелей стал наблюдаемым: средний прогресс — 0,107, положительное приращение — 0,040, среднее число завершённых фаз — 4,226. Максимальная validation-оценка составила 0,967 против 0,933 у терминального варианта на сопоставимом горизонте. Короткий горизонт пока не позволяет утверждать долгосрочное превосходство.</w:t>
      </w:r>
    </w:p>
    <w:p>
      <w:pPr>
        <w:keepLines/>
        <w:spacing w:before="40" w:after="100"/>
      </w:pPr>
      <w:r>
        <w:rPr>
          <w:rFonts w:ascii="Calibri" w:hAnsi="Calibri"/>
          <w:b/>
          <w:i w:val="0"/>
          <w:color w:val="1F4E79"/>
          <w:sz w:val="22"/>
        </w:rPr>
        <w:t xml:space="preserve">Новизна и значимость. </w:t>
      </w:r>
      <w:r>
        <w:rPr>
          <w:rFonts w:ascii="Calibri" w:hAnsi="Calibri"/>
          <w:b w:val="0"/>
          <w:i w:val="0"/>
          <w:color w:val="1F1F1F"/>
          <w:sz w:val="22"/>
        </w:rPr>
        <w:t>В рамках проекта предложен интерпретируемый фазовый сигнал, который вычисляется онлайн, изолирован по rollout и устойчив к «фармингу» награды за счёт учёта лучшего прогресса. Решение позволяет различать неудачные траектории по степени фактического продвижения, диагностировать отдельные стадии поведения и подключать reward shaping без изменения базовой линии. Экспериментальный анализ не только подтвердил работоспособность инструментария, но и выявил ограничения масштаба и состава награды, задав обоснованные направления настройки.</w:t>
      </w:r>
    </w:p>
    <w:p>
      <w:pPr>
        <w:pStyle w:val="Heading1"/>
        <w:keepNext/>
        <w:pageBreakBefore w:val="0"/>
      </w:pPr>
      <w:r>
        <w:rPr>
          <w:rFonts w:ascii="Calibri" w:hAnsi="Calibri"/>
          <w:b/>
          <w:i w:val="0"/>
          <w:color w:val="1F4E79"/>
          <w:sz w:val="26"/>
        </w:rPr>
        <w:t>Публикации, патенты и награды</w:t>
      </w:r>
    </w:p>
    <w:p>
      <w:pPr>
        <w:keepLines/>
        <w:spacing w:after="100"/>
      </w:pPr>
      <w:r>
        <w:rPr>
          <w:rFonts w:ascii="Calibri" w:hAnsi="Calibri"/>
          <w:b w:val="0"/>
          <w:i w:val="0"/>
          <w:color w:val="1F1F1F"/>
          <w:sz w:val="22"/>
        </w:rPr>
        <w:t>На текущем этапе публикации, патенты и награды по проекту отсутствуют.</w:t>
      </w:r>
    </w:p>
    <w:p>
      <w:pPr>
        <w:pStyle w:val="Heading1"/>
        <w:keepNext/>
        <w:pageBreakBefore w:val="0"/>
      </w:pPr>
      <w:r>
        <w:rPr>
          <w:rFonts w:ascii="Calibri" w:hAnsi="Calibri"/>
          <w:b/>
          <w:i w:val="0"/>
          <w:color w:val="1F4E79"/>
          <w:sz w:val="26"/>
        </w:rPr>
        <w:t>План дальнейшей работы</w:t>
      </w:r>
    </w:p>
    <w:p>
      <w:pPr>
        <w:keepLines/>
        <w:spacing w:after="0"/>
      </w:pPr>
      <w:r>
        <w:rPr>
          <w:rFonts w:ascii="Calibri" w:hAnsi="Calibri"/>
          <w:b w:val="0"/>
          <w:i w:val="0"/>
          <w:color w:val="1F1F1F"/>
          <w:sz w:val="22"/>
        </w:rPr>
        <w:t>При продолжении проекта в качестве дипломной работы планируется перенести алгоритм на SmolVLA, чтобы уменьшить вычислительные затраты и ускорить серию экспериментов. Далее предполагается адаптировать извлечение состояний и интерфейсы rollout, проверить корректность всех фаз, откалибровать масштаб shaping-награды без дублирования терминального успеха, провести более длинные запуски с несколькими random seed и сравнить результаты по отдельным задачам LIBERO. Итогом должна стать воспроизводимая оценка влияния поэтапного вознаграждения на скорость обучения, устойчивость и обобщающую способность компактной VLA-модели.</w:t>
      </w:r>
    </w:p>
    <w:sectPr w:rsidR="00FC693F" w:rsidRPr="0006063C" w:rsidSect="00034616">
      <w:headerReference w:type="default" r:id="rId9"/>
      <w:footerReference w:type="default" r:id="rId10"/>
      <w:pgSz w:w="12240" w:h="15840"/>
      <w:pgMar w:top="1181"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5F6368"/>
        <w:sz w:val="18"/>
      </w:rPr>
      <w:t xml:space="preserve">Страница </w:t>
    </w:r>
    <w:r>
      <w:rPr>
        <w:rFonts w:ascii="Calibri" w:hAnsi="Calibri"/>
        <w:b w:val="0"/>
        <w:i w:val="0"/>
        <w:color w:val="5F6368"/>
        <w:sz w:val="18"/>
      </w:rPr>
      <w:fldChar w:fldCharType="begin"/>
      <w:instrText xml:space="preserve">PAGE</w:instrText>
      <w:fldChar w:fldCharType="separate"/>
      <w:t>1</w:t>
      <w:fldChar w:fldCharType="end"/>
    </w:r>
    <w:r>
      <w:rPr>
        <w:rFonts w:ascii="Calibri" w:hAnsi="Calibri"/>
        <w:b w:val="0"/>
        <w:i w:val="0"/>
        <w:color w:val="5F6368"/>
        <w:sz w:val="18"/>
      </w:rPr>
      <w:t xml:space="preserve"> из </w:t>
    </w:r>
    <w:r>
      <w:rPr>
        <w:rFonts w:ascii="Calibri" w:hAnsi="Calibri"/>
        <w:b w:val="0"/>
        <w:i w:val="0"/>
        <w:color w:val="5F6368"/>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5F6368"/>
        <w:sz w:val="17"/>
      </w:rPr>
      <w:t>SimpleVLA-RL · отчёт о проделанной работе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Symbol" w:hAnsi="Symbo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Normal"/>
    <w:pPr>
      <w:spacing w:before="0" w:after="5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проделанной работе — SimpleVLA-RL</dc:title>
  <dc:subject>Алгоритм поэтапного вознаграждения для VLA-моделей</dc:subject>
  <dc:creator/>
  <cp:keywords/>
  <dc:description>Личный отчёт</dc:description>
  <cp:lastModifiedBy/>
  <cp:revision>1</cp:revision>
  <dcterms:created xsi:type="dcterms:W3CDTF">2013-12-23T23:15:00Z</dcterms:created>
  <dcterms:modified xsi:type="dcterms:W3CDTF">2013-12-23T23:15:00Z</dcterms:modified>
  <cp:category/>
</cp:coreProperties>
</file>