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120"/>
        <w:jc w:val="center"/>
      </w:pPr>
      <w:r>
        <w:rPr>
          <w:rFonts w:ascii="Arial" w:hAnsi="Arial"/>
          <w:b/>
          <w:color w:val="1F4E78"/>
          <w:sz w:val="42"/>
        </w:rPr>
        <w:t>SOFTWARE REQUIREMENT SPECIFICATION</w:t>
      </w:r>
    </w:p>
    <w:p>
      <w:pPr>
        <w:jc w:val="center"/>
      </w:pPr>
      <w:r>
        <w:rPr>
          <w:b/>
          <w:color w:val="1F4E78"/>
          <w:sz w:val="60"/>
        </w:rPr>
        <w:t>MSP PORTAL</w:t>
      </w:r>
    </w:p>
    <w:p>
      <w:pPr>
        <w:jc w:val="center"/>
      </w:pPr>
      <w:r>
        <w:rPr>
          <w:i/>
          <w:sz w:val="26"/>
        </w:rPr>
        <w:t>Production Managed Service Provider Platform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7"/>
        <w:gridCol w:w="4527"/>
      </w:tblGrid>
      <w:tr>
        <w:trPr>
          <w:tblHeader w:val="true"/>
        </w:trPr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626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SRS baseline for product design, implementation, SIT and UAT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Prepared for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MSP Portal Product Team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Prepared by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Business Analysis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Baseline date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20 August 2026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Source baseline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Backend, frontend, migrations, test suite and provider documentation in MSP_V2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Confidentiality</w:t>
            </w:r>
          </w:p>
        </w:tc>
        <w:tc>
          <w:tcPr>
            <w:tcW w:type="dxa" w:w="62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Internal product documentation</w:t>
            </w:r>
          </w:p>
        </w:tc>
      </w:tr>
    </w:tbl>
    <w:p/>
    <w:p>
      <w:r>
        <w:t>This SRS is the target-state production specification. “As-is” identifies implementation evidence found in the current codebase; “To-be” identifies work required to complete the product. The document uses the supplied CineBook file only as its document template and does not adopt CineBook business content.</w:t>
      </w:r>
    </w:p>
    <w:p>
      <w:r>
        <w:br/>
      </w:r>
    </w:p>
    <w:p>
      <w:pPr>
        <w:pStyle w:val="Heading1"/>
      </w:pPr>
      <w:r>
        <w:t>Table of Contents</w:t>
      </w:r>
    </w:p>
    <w:p>
      <w:r>
        <w:t>I. Record of Changes</w:t>
      </w:r>
    </w:p>
    <w:p>
      <w:r>
        <w:t>II. Software Requirement Specification</w:t>
      </w:r>
    </w:p>
    <w:p>
      <w:r>
        <w:t>1. Overall Requirements</w:t>
      </w:r>
    </w:p>
    <w:p>
      <w:r>
        <w:t>2. Use Case Specifications</w:t>
      </w:r>
    </w:p>
    <w:p>
      <w:r>
        <w:t>3. Functional Requirements</w:t>
      </w:r>
    </w:p>
    <w:p>
      <w:r>
        <w:t>4. Non-Functional Requirements</w:t>
      </w:r>
    </w:p>
    <w:p>
      <w:r>
        <w:t>5. Requirement Appendix</w:t>
      </w:r>
    </w:p>
    <w:p>
      <w:r>
        <w:br/>
      </w:r>
    </w:p>
    <w:p>
      <w:pPr>
        <w:pStyle w:val="Heading1"/>
      </w:pPr>
      <w:r>
        <w:t>I. Record of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4"/>
        <w:gridCol w:w="2264"/>
        <w:gridCol w:w="2264"/>
        <w:gridCol w:w="2264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0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A/M/D</w:t>
            </w:r>
          </w:p>
        </w:tc>
        <w:tc>
          <w:tcPr>
            <w:tcW w:type="dxa" w:w="208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 charge</w:t>
            </w:r>
          </w:p>
        </w:tc>
        <w:tc>
          <w:tcPr>
            <w:tcW w:type="dxa" w:w="43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Change description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20 Aug 2026</w:t>
            </w:r>
          </w:p>
        </w:tc>
        <w:tc>
          <w:tcPr>
            <w:tcW w:type="dxa" w:w="10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Business Analysis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Initial target-state MSP Portal SRS based on the MSP_V2 source baseline.</w:t>
            </w:r>
          </w:p>
        </w:tc>
      </w:tr>
    </w:tbl>
    <w:p/>
    <w:p>
      <w:pPr>
        <w:pStyle w:val="Heading1"/>
      </w:pPr>
      <w:r>
        <w:t>II. Software Requirement Specification</w:t>
      </w:r>
    </w:p>
    <w:p>
      <w:pPr>
        <w:pStyle w:val="Heading2"/>
      </w:pPr>
      <w:r>
        <w:t>1. Overall Requirements</w:t>
      </w:r>
    </w:p>
    <w:p>
      <w:pPr>
        <w:pStyle w:val="Heading3"/>
      </w:pPr>
      <w:r>
        <w:t>1.1 Product Context</w:t>
      </w:r>
    </w:p>
    <w:p>
      <w:r>
        <w:t>MSP Portal is a multi-tenant SaaS product for a Managed Service Provider (MSP). It provides a single platform to operate and commercialize managed monitoring, security, backup and service-desk services for multiple customer organizations. The product’s lifecycle is provider data collection → canonical operational data → entitlement-controlled service consumption → SLA/usage evidence → reporting and billing-ready outputs.</w:t>
      </w:r>
    </w:p>
    <w:p>
      <w:r>
        <w:t>The decisive rule is that provider acquisition is independent of customer subscription. A connected provider must collect all data that is available within the provider credential, configured scope and applicable consent/retention rules. Contract, subscription, role and entitlement are enforced later to determine which customer-facing data, history, capabilities, reports, exports and actions are available.</w:t>
      </w:r>
    </w:p>
    <w:p>
      <w:pPr>
        <w:pStyle w:val="Heading3"/>
      </w:pPr>
      <w:r>
        <w:t>1.2 Product Objectives</w:t>
      </w:r>
    </w:p>
    <w:p>
      <w:pPr>
        <w:ind w:left="389" w:hanging="245"/>
      </w:pPr>
      <w:r>
        <w:t>• Enable MSP staff to onboard and operate many customer tenants without cross-tenant data leakage.</w:t>
      </w:r>
    </w:p>
    <w:p>
      <w:pPr>
        <w:ind w:left="389" w:hanging="245"/>
      </w:pPr>
      <w:r>
        <w:t>• Collect, retain and trace provider data so service quality and commercial use can be evidenced.</w:t>
      </w:r>
    </w:p>
    <w:p>
      <w:pPr>
        <w:ind w:left="389" w:hanging="245"/>
      </w:pPr>
      <w:r>
        <w:t>• Expose only the service level and data detail purchased by each customer.</w:t>
      </w:r>
    </w:p>
    <w:p>
      <w:pPr>
        <w:ind w:left="389" w:hanging="245"/>
      </w:pPr>
      <w:r>
        <w:t>• Manage incidents, tickets, alerts, vulnerabilities and backup health from one operating model.</w:t>
      </w:r>
    </w:p>
    <w:p>
      <w:pPr>
        <w:ind w:left="389" w:hanging="245"/>
      </w:pPr>
      <w:r>
        <w:t>• Measure SLA, RPO and RTO honestly from source evidence; distinguish compliant, breached, stale and not-available states.</w:t>
      </w:r>
    </w:p>
    <w:p>
      <w:pPr>
        <w:ind w:left="389" w:hanging="245"/>
      </w:pPr>
      <w:r>
        <w:t>• Collect usage for contractual limits, overage and finance export while preserving adjustment/audit history.</w:t>
      </w:r>
    </w:p>
    <w:p>
      <w:pPr>
        <w:pStyle w:val="Heading3"/>
      </w:pPr>
      <w:r>
        <w:t>1.3 Actor and Five-Role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1"/>
        <w:gridCol w:w="1811"/>
        <w:gridCol w:w="1811"/>
        <w:gridCol w:w="1811"/>
        <w:gridCol w:w="1811"/>
      </w:tblGrid>
      <w:tr>
        <w:trPr>
          <w:tblHeader w:val="true"/>
        </w:trPr>
        <w:tc>
          <w:tcPr>
            <w:tcW w:type="dxa" w:w="187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System role</w:t>
            </w:r>
          </w:p>
        </w:tc>
        <w:tc>
          <w:tcPr>
            <w:tcW w:type="dxa" w:w="144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Display role</w:t>
            </w:r>
          </w:p>
        </w:tc>
        <w:tc>
          <w:tcPr>
            <w:tcW w:type="dxa" w:w="15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Organization</w:t>
            </w:r>
          </w:p>
        </w:tc>
        <w:tc>
          <w:tcPr>
            <w:tcW w:type="dxa" w:w="208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Tenant scope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Target-state responsibilities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ROLE_PLATFORM_ADMIN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MSP platform owner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Cross-tenant, with explicit active tenant selection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Manages tenant/customer lifecycle, user administration, provider connections, global configuration, plans and governed access.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ROLE_PLATFORM_TECH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Tech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MSP operations technician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Only assigned/customer-authorized tenant scope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Operates tickets, SLA, usage and approved operational workflows; no global tenant or plan administration.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ROLE_CUSTOMER_ADMIN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Admin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service owner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Own tenant only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Views/operates entitled services and manages customer settings/users within approved scope.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ROLE_CUSTOMER_TECH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Tech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IT technician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Own tenant only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Works permitted operational records and actions within entitlement; cannot administer contract, users or provider credentials.</w:t>
            </w:r>
          </w:p>
        </w:tc>
      </w:tr>
      <w:tr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ROLE_CUSTOMER_READONLY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Read-Only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stakeholder/auditor</w:t>
            </w:r>
          </w:p>
        </w:tc>
        <w:tc>
          <w:tcPr>
            <w:tcW w:type="dxa" w:w="20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Own tenant only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Views entitled dashboards, records and reports; cannot change operational, contractual or configuration data.</w:t>
            </w:r>
          </w:p>
        </w:tc>
      </w:tr>
    </w:tbl>
    <w:p/>
    <w:p>
      <w:r>
        <w:t>As-is code evidence: Platform Admin, Platform Tech, Customer Admin, Customer Tech and Customer Read-Only labels are present in the frontend. Current server enforcement is partial and inconsistent, therefore the target matrix below is normative for completion.</w:t>
      </w:r>
    </w:p>
    <w:p>
      <w:pPr>
        <w:pStyle w:val="Heading3"/>
      </w:pPr>
      <w:r>
        <w:t>1.4 Authorization and Entitlement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8"/>
        <w:gridCol w:w="3018"/>
        <w:gridCol w:w="3018"/>
      </w:tblGrid>
      <w:tr>
        <w:trPr>
          <w:tblHeader w:val="true"/>
        </w:trPr>
        <w:tc>
          <w:tcPr>
            <w:tcW w:type="dxa" w:w="19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Decision layer</w:t>
            </w:r>
          </w:p>
        </w:tc>
        <w:tc>
          <w:tcPr>
            <w:tcW w:type="dxa" w:w="453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Mandatory rule</w:t>
            </w:r>
          </w:p>
        </w:tc>
        <w:tc>
          <w:tcPr>
            <w:tcW w:type="dxa" w:w="309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As-is evidence / gap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Authentication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Identify user, role and active tenant before protected request.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JWT/login/profile is implemented; role model must be completed and standardized.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Tenant isolation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Every tenant-owned query, identifier lookup, job and export is constrained to tenant scope.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Tenant context/base tenant entity and security tests exist.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 authorization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 determines allowed operation; platform roles may access a tenant only when assigned/selected.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 guards/services exist; five-role permission matrix remains incomplete.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Contract/subscription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Effective contract/subscription determines service eligibility and limits.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Plan/subscription/contract/usage entities and UI exist; full lifecycle is unfinished.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Entitlement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Feature + provider capability + data class/history/action/export rules filter responses.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Feature and provider entitlement foundations exist; data-granularity controls are To-be.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Presentation</w:t>
            </w:r>
          </w:p>
        </w:tc>
        <w:tc>
          <w:tcPr>
            <w:tcW w:type="dxa" w:w="45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API filtering occurs before UI rendering; UI hides unavailable controls.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FeatureGuard exists; API/filter parity is To-be.</w:t>
            </w:r>
          </w:p>
        </w:tc>
      </w:tr>
    </w:tbl>
    <w:p/>
    <w:p>
      <w:pPr>
        <w:pStyle w:val="Heading3"/>
      </w:pPr>
      <w:r>
        <w:t>1.5 Core Business Processes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8"/>
        <w:gridCol w:w="3018"/>
        <w:gridCol w:w="3018"/>
      </w:tblGrid>
      <w:tr>
        <w:trPr>
          <w:tblHeader w:val="true"/>
        </w:trPr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1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Business process</w:t>
            </w:r>
          </w:p>
        </w:tc>
        <w:tc>
          <w:tcPr>
            <w:tcW w:type="dxa" w:w="53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Target outcome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BP-01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onboarding and full collection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connection is secured, tested and synced; raw data, canonical mapping, error and freshness evidence exist.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BP-02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Entitled customer experience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User sees only services/data/actions granted by role, tenant and active subscription.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BP-03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Operations and incident handling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Monitoring/security/backup signals are triaged, correlated and managed through ticket workflow.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BP-04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Contract and subscription lifecycle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service terms create effective entitlement and limit rules.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BP-05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SLA/RPO/RTO evidence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Service performance is calculated from source/ticket events and escalated on risk/breach.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BP-06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Usage and billing readiness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Metered records are reviewed, period-closed and exported with immutable audit evidence.</w:t>
            </w:r>
          </w:p>
        </w:tc>
      </w:tr>
    </w:tbl>
    <w:p/>
    <w:p>
      <w:pPr>
        <w:pStyle w:val="Heading3"/>
      </w:pPr>
      <w:r>
        <w:t>1.6 Scope and External Interfaces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8"/>
        <w:gridCol w:w="3018"/>
        <w:gridCol w:w="3018"/>
      </w:tblGrid>
      <w:tr>
        <w:trPr>
          <w:tblHeader w:val="true"/>
        </w:trPr>
        <w:tc>
          <w:tcPr>
            <w:tcW w:type="dxa" w:w="194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Interface/domain</w:t>
            </w:r>
          </w:p>
        </w:tc>
        <w:tc>
          <w:tcPr>
            <w:tcW w:type="dxa" w:w="446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In-scope target behavior</w:t>
            </w:r>
          </w:p>
        </w:tc>
        <w:tc>
          <w:tcPr>
            <w:tcW w:type="dxa" w:w="295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Current code baseline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Monitoring providers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Zabbix, Prometheus and future registered monitoring adapters provide device, metrics, alert and discovery data.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Zabbix client/provider, Prometheus and registry exist; complete discovery/sync support is incomplete.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Security providers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Wazuh, CounterCraft, CIH and future adapters provide endpoint, event, vulnerability and deception/campaign data.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abstractions/models exist; several adapters are TODO/mock.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Backup providers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Veeam, Commvault, Bacula and future adapters provide repository, job, execution and alert data.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abstractions/models exist; run execution includes mock behavior.</w:t>
            </w:r>
          </w:p>
        </w:tc>
      </w:tr>
      <w:t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Identity/email/storage/finance</w:t>
            </w:r>
          </w:p>
        </w:tc>
        <w:tc>
          <w:tcPr>
            <w:tcW w:type="dxa" w:w="44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Support secure authentication, notification, evidence/attachment storage and usage/billing export.</w:t>
            </w:r>
          </w:p>
        </w:tc>
        <w:tc>
          <w:tcPr>
            <w:tcW w:type="dxa" w:w="29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Login/JWT exists; final integrations are To-be.</w:t>
            </w:r>
          </w:p>
        </w:tc>
      </w:tr>
    </w:tbl>
    <w:p/>
    <w:p>
      <w:pPr>
        <w:pStyle w:val="Heading2"/>
      </w:pPr>
      <w:r>
        <w:t>2. Use Case Specifications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8"/>
        <w:gridCol w:w="3018"/>
        <w:gridCol w:w="3018"/>
      </w:tblGrid>
      <w:tr>
        <w:trPr>
          <w:tblHeader w:val="true"/>
        </w:trPr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3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Primary actor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UC-01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Login and establish active tenant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All roles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UC-02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Switch active tenant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UC-03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Manage user and role assignment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/ Customer Admin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UC-04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Configure/test/enable provider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UC-05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Run full provider sync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Automation / Platform Admin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UC-06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Discover/import provider resources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/ Platform Tech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UC-07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View entitled monitoring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All roles per entitlement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UC-08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Acknowledge/resolve monitoring alert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roles / entitled customer roles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UC-09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View entitled security posture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All roles per entitlement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UC-10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Triage security event/vulnerability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roles / entitled customer roles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UC-11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Operate backup service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roles / entitled customer roles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UC-12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Create and manage ticket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All entitled operational roles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UC-13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Correlate critical signal to ticket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Automation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UC-14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Manage contract and subscription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/ authorized Customer Admin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UC-15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Resolve provider/data entitlement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UC-16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Define/monitor SLA policy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/ Platform Tech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UC-17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Collect/review/close usage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/ Platform Tech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UC-18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Export operational/SLA/usage report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Entitled role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UC-19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View audit and lineage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Authorized platform role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UC-20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Request/approve provider action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Requester / approver</w:t>
            </w:r>
          </w:p>
        </w:tc>
      </w:tr>
    </w:tbl>
    <w:p/>
    <w:p>
      <w:pPr>
        <w:pStyle w:val="Heading3"/>
      </w:pPr>
      <w:r>
        <w:t>UC-01 — Login and establish active tenant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7"/>
        <w:gridCol w:w="45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Primary actor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All roles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Trigger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User submits email/password.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Main success flow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validates credentials/status, creates JWT session with role and tenant context, loads entitlement summary, routes user to authorized dashboard.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Alternative/exception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Invalid/disabled user receives safe error; no tenant data is returned.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Postcondition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Authenticated user has exactly one active tenant context.</w:t>
            </w:r>
          </w:p>
        </w:tc>
      </w:tr>
    </w:tbl>
    <w:p/>
    <w:p>
      <w:pPr>
        <w:pStyle w:val="Heading3"/>
      </w:pPr>
      <w:r>
        <w:t>UC-04 — Configure, test and enable provider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7"/>
        <w:gridCol w:w="45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Primary actor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Trigger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Administrator adds provider connection.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Main success flow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validates provider type/base URL/capabilities, stores secret reference, tests connection without exposing secret, records audit, then enables connection.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Alternative/exception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Test failure keeps connection disabled and records sanitized provider error.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Postcondition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Enabled, tenant-owned connection is eligible for sync.</w:t>
            </w:r>
          </w:p>
        </w:tc>
      </w:tr>
    </w:tbl>
    <w:p/>
    <w:p>
      <w:pPr>
        <w:pStyle w:val="Heading3"/>
      </w:pPr>
      <w:r>
        <w:t>UC-05 — Run full provider 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7"/>
        <w:gridCol w:w="45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Primary actor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Automation / Platform Admin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Trigger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Scheduled/manual sync begins.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Main success flow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creates sync run, pages through all configured resource classes, persists raw records, maps canonical records, records counts/watermarks/freshness/errors and final status.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Alternative/exception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 provider failure marks PARTIAL/FAILED; prior valid data remains with freshness warning; bounded retry applies.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Postcondition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Complete collected dataset and lineage are retained independently of subscription visibility.</w:t>
            </w:r>
          </w:p>
        </w:tc>
      </w:tr>
    </w:tbl>
    <w:p/>
    <w:p>
      <w:pPr>
        <w:pStyle w:val="Heading3"/>
      </w:pPr>
      <w:r>
        <w:t>UC-12 — Create and manage ticket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7"/>
        <w:gridCol w:w="45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Primary actor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Entitled operational role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Trigger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User creates a ticket or system creates an alert-origin ticket.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Main success flow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validates tenant/entitlement, creates ticket/history, applies priority/status/SLA policy, allows authorized assignment/comments/transitions and retains source links.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Alternative/exception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Invalid transition or cross-tenant target is denied. Internal comment is never exposed to customer roles.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Postcondition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Ticket history, SLA evidence and linked sources are available to authorized users.</w:t>
            </w:r>
          </w:p>
        </w:tc>
      </w:tr>
    </w:tbl>
    <w:p/>
    <w:p>
      <w:pPr>
        <w:pStyle w:val="Heading3"/>
      </w:pPr>
      <w:r>
        <w:t>UC-14 — Manage contract and subscription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7"/>
        <w:gridCol w:w="45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Primary actor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/ authorized Customer Admin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Trigger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User opens contract workspace.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Main success flow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creates/updates effective-dated customer account, contract and subscription records; validates dates/status; resolves plan, features, provider capabilities and limits.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Alternative/exception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Overlapping/conflicting active term is rejected or requires approved amendment.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Postcondition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Current entitlement is recalculated and audit captured.</w:t>
            </w:r>
          </w:p>
        </w:tc>
      </w:tr>
    </w:tbl>
    <w:p/>
    <w:p>
      <w:pPr>
        <w:pStyle w:val="Heading3"/>
      </w:pPr>
      <w:r>
        <w:t>UC-16 — Define and monitor SLA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7"/>
        <w:gridCol w:w="45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Primary actor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/ Platform Tech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Trigger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Manager defines/assigns service policy.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Main success flow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validates targets/calendar/priority scope, measures ticket response/resolution and provider backup evidence, emits at-risk/breached/not-available state and report evidence.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Alternative/exception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Missing source evidence returns NOT_AVAILABLE, never compliant.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Postcondition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Policy version and calculated evidence are auditable.</w:t>
            </w:r>
          </w:p>
        </w:tc>
      </w:tr>
    </w:tbl>
    <w:p/>
    <w:p>
      <w:pPr>
        <w:pStyle w:val="Heading3"/>
      </w:pPr>
      <w:r>
        <w:t>UC-17 — Collect/review/close usage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27"/>
        <w:gridCol w:w="4527"/>
      </w:tblGrid>
      <w:tr>
        <w:trPr>
          <w:tblHeader w:val="true"/>
        </w:trPr>
        <w:tc>
          <w:tcPr>
            <w:tcW w:type="dxa" w:w="223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1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Primary actor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/ Platform Tech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Trigger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Billing period is ready for review.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Main success flow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aggregates defined meter data, presents tenant/contract/category usage and entitlement usage, manager reviews anomalies/adjustments, closes statement and exports finance record.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Alternative/exception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Late data becomes adjustment candidate; closed data is versioned and immutable.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Postcondition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Approved period statement has audit/source evidence.</w:t>
            </w:r>
          </w:p>
        </w:tc>
      </w:tr>
    </w:tbl>
    <w:p/>
    <w:p>
      <w:r>
        <w:br/>
      </w:r>
    </w:p>
    <w:p>
      <w:pPr>
        <w:pStyle w:val="Heading2"/>
      </w:pPr>
      <w:r>
        <w:t>3. Functional Requirements</w:t>
      </w:r>
    </w:p>
    <w:p>
      <w:r>
        <w:t>Each requirement below is a target-state production requirement. Source Baseline identifies whether code evidence exists (As-is), exists partly (Partial), or is a required capability not yet implemented (To-be). UAT must trace every Must requirement to one or more executable test cases.</w:t>
      </w:r>
    </w:p>
    <w:p>
      <w:pPr>
        <w:pStyle w:val="Heading3"/>
      </w:pPr>
      <w:r>
        <w:t>3.1 Identity, Multi-Tenancy and Five-Role Access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Normative 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baseline</w:t>
            </w:r>
          </w:p>
        </w:tc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acceptance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FR-IAM-001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Active tenant context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require active tenant context for every protected request, async job and export.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Missing context is denied and audited.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FR-IAM-002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Tenant data isolation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apply tenant filtering and ownership authorization to all tenant-owned record retrieval, including direct IDs.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Cross-tenant request leaks no title, ID, count or metadata.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FR-IAM-003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Five-role permission matrix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implement the five role definitions in Section 1.3 consistently in API, UI, job and export authorization.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Each denied/allowed operation is proven in UAT role matrix.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FR-IAM-004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cross-tenant access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Admin shall select tenant explicitly; Platform Tech requires assigned scope; neither may use an implicit arbitrary tenant parameter.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Audit contains acting user, selected tenant and purpose.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FR-IAM-005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scope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Admin, Customer Tech and Read-Only roles shall access only their own tenant and permitted service scope.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Direct URL/API cross-tenant access is denied.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FR-IAM-006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Read-only enforcement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Read-Only role shall never create, modify, acknowledge, resolve, export sensitive data or trigger provider action.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All mutation endpoints return 403 for Read-Only.</w:t>
            </w:r>
          </w:p>
        </w:tc>
      </w:tr>
    </w:tbl>
    <w:p/>
    <w:p>
      <w:pPr>
        <w:pStyle w:val="Heading3"/>
      </w:pPr>
      <w:r>
        <w:t>3.2 Provider Connection, Collection, Raw Data and Lineage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Normative 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baseline</w:t>
            </w:r>
          </w:p>
        </w:tc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acceptance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FR-INT-001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Connection lifecycle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create/list/update/test/disable tenant-owned provider connections with type, endpoint, capabilities, schedule and credential reference.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Unauthorized user/tenant cannot manage connection.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FR-INT-002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Protected credentials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secret values shall be stored in protected secret management and never returned/logged/exported.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Credential test/log audit contains no secret value.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FR-INT-003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Full collection invariant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Sync shall collect all provider-authorized data in configured scope, irrespective of customer plan/features.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Equivalent provider source scope produces equivalent collected raw count for limited/full plans.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FR-INT-004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Sync run evidence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Every sync shall record start/end, initiator, connection, resource scope, counts, watermark, state and sanitized errors.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Run page/API explains COMPLETED/PARTIAL/FAILED.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FR-INT-005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Raw evidence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retain provider object ID, payload/evidence reference, hash, source timestamp, connection and sync run linkage.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Canonical record can show lineage to source evidence.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FR-INT-006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Idempotent reconciliation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Repeated/retried sync must not create duplicate canonical object, incident or usage candidate.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Repeat sync test shows stable identities/counts.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FR-INT-007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Freshness status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calculate/display data freshness per connection/resource and distinguish stale/partial/failed.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Dashboard/status shows last successful timestamp and current state.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FR-INT-008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error handling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classify connection/auth/rate-limit/schema/data errors, retry transient failures and expose actionable sanitized error.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429/network/auth simulations produce prescribed states.</w:t>
            </w:r>
          </w:p>
        </w:tc>
      </w:tr>
    </w:tbl>
    <w:p/>
    <w:p>
      <w:pPr>
        <w:pStyle w:val="Heading3"/>
      </w:pPr>
      <w:r>
        <w:t>3.3 Contract, Subscription, Feature and Provider Entitlement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Normative 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baseline</w:t>
            </w:r>
          </w:p>
        </w:tc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acceptance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FR-ENT-001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Effective contract lifecycle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manage customer account and effective-dated contract status, start/end dates, renewal, amendment and termination history.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Historical report uses term valid at report date.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FR-ENT-002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Subscription lifecycle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manage plan/subscription ACTIVE, SUSPENDED, EXPIRED and CANCELLED behavior with a configured grace/read-only policy.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Expiry changes access without destroying collected data.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FR-ENT-003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Feature entitlement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server-side enforce subscribed features for every module/API/action; client navigation is supplementary.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Direct unentitled API is denied.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FR-ENT-004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capability entitlement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resolve plan/tenant entitlement to provider type/capability separately from provider collection.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may be denied provider capability visibility without stopping collection.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FR-ENT-005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Data-detail entitlement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support data class, metric/detail, historical range, raw evidence, export and action controls.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Summary-only plan cannot infer withheld data through count/search/export.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FR-ENT-006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Entitlement-safe aggregation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All dashboards/reports/search facets shall aggregate only records visible to requesting entitlement.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Excluded asset/event does not affect customer aggregate.</w:t>
            </w:r>
          </w:p>
        </w:tc>
      </w:tr>
    </w:tbl>
    <w:p/>
    <w:p>
      <w:pPr>
        <w:pStyle w:val="Heading3"/>
      </w:pPr>
      <w:r>
        <w:t>3.4 Monitoring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Normative 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baseline</w:t>
            </w:r>
          </w:p>
        </w:tc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acceptance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FR-MON-001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Sites/devices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manage tenant sites and canonical devices with provider mapping, health/status and operational metadata.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Site/device CRUD validates tenant and entitlement.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FR-MON-002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Metrics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persist/query device metric history with timestamp, quality/freshness and entitled range/granularity.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User sees only authorized history/detail.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FR-MON-003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Monitoring alerts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ingest/list/detail/acknowledge/resolve alerts with source/device link and history.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Action records actor/time and obeys role.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FR-MON-004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data explorer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Should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Advanced entitled users shall inspect mapped provider data for device, including freshness/lineage; raw evidence is MSP-restricted by default.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cannot access raw provider data without explicit entitlement.</w:t>
            </w:r>
          </w:p>
        </w:tc>
      </w:tr>
    </w:tbl>
    <w:p/>
    <w:p>
      <w:pPr>
        <w:pStyle w:val="Heading3"/>
      </w:pPr>
      <w:r>
        <w:t>3.5 Security and Backup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Normative 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baseline</w:t>
            </w:r>
          </w:p>
        </w:tc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acceptance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FR-SEC-001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Security endpoints/events/vulnerabilities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normalize and manage security endpoints, events and vulnerabilities with severity/status/source lineage.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List/detail/filter/action obey tenant and feature guard.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FR-SEC-002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Security evidence access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Raw security evidence and indicators shall be restricted by data classification, role and entitlement.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Read-Only cannot call protected raw evidence API.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FR-BKP-001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Backup inventory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manage repositories, jobs, execution history and backup alerts with provider mapping.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Authorized role can list/detail entitled inventory.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FR-BKP-002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Backup operations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Job run/restore/provider action shall require capability, entitlement, role and approval where configured.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Unsupported/unauthorized command is not dispatched.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FR-BKP-003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Recovery evidence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retain recovery-point/execution evidence needed for RPO/RTO and distinguish unavailable evidence.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RPO result links to evidence timestamp; RTO is NOT_AVAILABLE until evidenced.</w:t>
            </w:r>
          </w:p>
        </w:tc>
      </w:tr>
    </w:tbl>
    <w:p/>
    <w:p>
      <w:pPr>
        <w:pStyle w:val="Heading3"/>
      </w:pPr>
      <w:r>
        <w:t>3.6 Ticketing, Incident Correlation and AI Advisory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Normative 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baseline</w:t>
            </w:r>
          </w:p>
        </w:tc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acceptance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FR-TKT-001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Ticket lifecycle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create/list/view/update/assign/priority/status/comment/history for tenant tickets.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As-is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Valid transition/history and tenant isolation are proven.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FR-TKT-002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Customer/internal visibility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Ticket comments/fields shall support customer-visible versus internal classification.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roles cannot retrieve internal content.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FR-TKT-003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Signal-to-ticket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Should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Policy may correlate qualifying critical monitoring/security/backup signal and create/update ticket with source links.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Duplicate correlation key does not create duplicate ticket.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FR-TKT-004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AI advisory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Should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AI output shall be labeled advisory, traceable to model/rule version and unable to autonomously perform high-risk action.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AI cannot close ticket or dispatch provider action.</w:t>
            </w:r>
          </w:p>
        </w:tc>
      </w:tr>
    </w:tbl>
    <w:p/>
    <w:p>
      <w:pPr>
        <w:pStyle w:val="Heading3"/>
      </w:pPr>
      <w:r>
        <w:t>3.7 SLA, RPO and RTO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Normative 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baseline</w:t>
            </w:r>
          </w:p>
        </w:tc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acceptance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FR-SLA-001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SLA policy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define versioned policies for ticket response/resolution, RPO/RTO, warning threshold, priority/service scope and effective period.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Validation prevents invalid target/effective overlap.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FR-SLA-002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Business calendar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calculate ticket clocks with timezone, business hours, holidays and approved pause rules.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Weekend/holiday UAT produces expected elapsed minutes.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FR-SLA-003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RPO calculation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calculate RPO from latest qualifying recovery evidence and display target, actual age, freshness and status.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Missing evidence is NOT_AVAILABLE/DATA_STALE, not compliant.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FR-SLA-004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RTO calculation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calculate RTO only from evidenced restore/recovery completion or approved measurement event.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No evidence yields NOT_AVAILABLE.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FR-SLA-005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Breach lifecycle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create at-risk/breached/paused/recovered events and notification/escalation evidence.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Breach contains policy version/target/actual/source.</w:t>
            </w:r>
          </w:p>
        </w:tc>
      </w:tr>
    </w:tbl>
    <w:p/>
    <w:p>
      <w:pPr>
        <w:pStyle w:val="Heading3"/>
      </w:pPr>
      <w:r>
        <w:t>3.8 Usage, Reporting, Audit and 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blHeader w:val="true"/>
        </w:trPr>
        <w:tc>
          <w:tcPr>
            <w:tcW w:type="dxa" w:w="122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384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Normative 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 baseline</w:t>
            </w:r>
          </w:p>
        </w:tc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acceptance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FR-USG-001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Usage categories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report subscription/service usage by canonical category (e.g., monitored device, protected endpoint, backup job/capacity) and plan limits.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Usage view reconciles to tenant source counts.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FR-USG-002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Usage ledger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retain timestamped meter candidates, source lineage, aggregation rule/version and period statement.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Total drill-down traces to source records.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FR-USG-003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Usage period close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review/approve/freeze usage; late data/adjustments are versioned.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Closed statement cannot be silently changed.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FR-RPT-001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Entitlement-safe reports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Operational/SLA/usage reports and exports shall filter by tenant/role/subscription and log every export.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To-be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Export matches authorized on-screen result set.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FR-AUD-001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Audit log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System shall append audit event for authentication, denial, provider/configuration, contract/subscription, SLA, usage, export, approval and provider actions.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Audit record is immutable to ordinary user.</w:t>
            </w:r>
          </w:p>
        </w:tc>
      </w:tr>
      <w:tr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FR-APR-001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Approval workflow</w:t>
            </w:r>
          </w:p>
        </w:tc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Configured high-risk provider actions and commercial/SLA overrides require request/approval/decision trail; separation of duties applies.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Requester cannot self-approve when policy enabled.</w:t>
            </w:r>
          </w:p>
        </w:tc>
      </w:tr>
    </w:tbl>
    <w:p/>
    <w:p>
      <w:r>
        <w:br/>
      </w:r>
    </w:p>
    <w:p>
      <w:pPr>
        <w:pStyle w:val="Heading2"/>
      </w:pPr>
      <w:r>
        <w:t>4. Non-Functional Requirements</w:t>
      </w:r>
    </w:p>
    <w:p>
      <w:pPr>
        <w:pStyle w:val="Heading3"/>
      </w:pPr>
      <w:r>
        <w:t>4.1 Security and Privacy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4"/>
        <w:gridCol w:w="2264"/>
        <w:gridCol w:w="2264"/>
        <w:gridCol w:w="2264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target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NFR-SEC-01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TLS and encryption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TLS 1.2+ in transit; encrypted data/secrets at rest.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NFR-SEC-02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OWASP and API security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Input validation, output encoding, rate limiting, secure headers, dependency scanning and authorization tests.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NFR-SEC-03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Secret hygiene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No provider credential/token/password in logs, errors, exports, browser storage or audit payload.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NFR-SEC-04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Privacy/retention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Classify sensitive data and apply contract/legal retention, archive, legal hold and deletion controls.</w:t>
            </w:r>
          </w:p>
        </w:tc>
      </w:tr>
    </w:tbl>
    <w:p/>
    <w:p>
      <w:pPr>
        <w:pStyle w:val="Heading3"/>
      </w:pPr>
      <w:r>
        <w:t>4.2 Availability, Recovery and Job Resilience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4"/>
        <w:gridCol w:w="2264"/>
        <w:gridCol w:w="2264"/>
        <w:gridCol w:w="2264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target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NFR-REL-01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Core availability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Target 99.9% monthly availability excluding approved maintenance/provider outage.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NFR-REL-02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backup/recovery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Platform RPO &lt;=24h and RTO &lt;=8h, restore tested quarterly.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NFR-REL-03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Job durability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Sync/metering/notification jobs are idempotent, restart-safe and persist progress/status.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NFR-REL-04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isolation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failure/rate-limit/malformed payload does not affect other provider/tenant workloads.</w:t>
            </w:r>
          </w:p>
        </w:tc>
      </w:tr>
    </w:tbl>
    <w:p/>
    <w:p>
      <w:pPr>
        <w:pStyle w:val="Heading3"/>
      </w:pPr>
      <w:r>
        <w:t>4.3 Performance and Scalability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4"/>
        <w:gridCol w:w="2264"/>
        <w:gridCol w:w="2264"/>
        <w:gridCol w:w="2264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target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NFR-PERF-01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Interactive API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p95 authorized list/detail response &lt;=2 seconds under approved production load.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NFR-PERF-02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Dashboard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p95 entitled summary &lt;=3 seconds; summary displays freshness timestamp.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NFR-PERF-03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Large data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Lists/reports paginate or async export; ingestion streams/pages without loading full provider dataset into memory.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NFR-PERF-04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Capacity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Monitor API/DB/queue/storage/provider quota and alert before exhaustion.</w:t>
            </w:r>
          </w:p>
        </w:tc>
      </w:tr>
    </w:tbl>
    <w:p/>
    <w:p>
      <w:pPr>
        <w:pStyle w:val="Heading3"/>
      </w:pPr>
      <w:r>
        <w:t>4.4 Observability, Usability and 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4"/>
        <w:gridCol w:w="2264"/>
        <w:gridCol w:w="2264"/>
        <w:gridCol w:w="2264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8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432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target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NFR-OPS-01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Structured observability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Logs/metrics/traces contain correlation ID, safe tenant context, sync/job outcome and latency/error measures.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NFR-OPS-02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Operational alerts/runbooks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Critical service, queue, sync freshness and security alerts have ownership and runbooks.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NFR-UX-01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New/changed UI conforms WCAG 2.1 AA: keyboard, focus, labels, contrast and validation feedback.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NFR-QA-01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 traceability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Every Must FR/NFR maps to UAT case, evidence, tester, date and pass/fail decision.</w:t>
            </w:r>
          </w:p>
        </w:tc>
      </w:tr>
      <w:tr>
        <w:tc>
          <w:tcPr>
            <w:tcW w:type="dxa" w:w="16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NFR-REL-05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Time/data integrity</w:t>
            </w:r>
          </w:p>
        </w:tc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Must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Store timestamps UTC with source offset; preserve source/evidence/transformation version for SLA/usage/report values.</w:t>
            </w:r>
          </w:p>
        </w:tc>
      </w:tr>
    </w:tbl>
    <w:p/>
    <w:p>
      <w:r>
        <w:br/>
      </w:r>
    </w:p>
    <w:p>
      <w:pPr>
        <w:pStyle w:val="Heading2"/>
      </w:pPr>
      <w:r>
        <w:t>5. Requirement Appendix</w:t>
      </w:r>
    </w:p>
    <w:p>
      <w:pPr>
        <w:pStyle w:val="Heading3"/>
      </w:pPr>
      <w:r>
        <w:t>5.1 Mandatory Business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8"/>
        <w:gridCol w:w="3018"/>
        <w:gridCol w:w="3018"/>
      </w:tblGrid>
      <w:tr>
        <w:trPr>
          <w:tblHeader w:val="true"/>
        </w:trPr>
        <w:tc>
          <w:tcPr>
            <w:tcW w:type="dxa" w:w="115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37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Business rule</w:t>
            </w:r>
          </w:p>
        </w:tc>
        <w:tc>
          <w:tcPr>
            <w:tcW w:type="dxa" w:w="640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BR-01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Collect before filtering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collection is independent of customer plan; entitlement filters access after data is collected.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BR-02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No data leak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Denied data cannot leak through object values, aggregates, search, export, error, timing or notification.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BR-03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Tenant first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No tenant-owned object, mapping or evidence may be accessed without active tenant/role authorization.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BR-04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Truthful SLA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Missing/stale evidence must be NOT_AVAILABLE/DATA_STALE, never compliant.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BR-05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Commercial versioning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Contract, plan, entitlement, meter and closed usage records are effective-dated/versioned.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BR-06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Raw evidence restriction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Raw provider data is available only to authorized platform roles unless explicit customer entitlement grants it.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BR-07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action governance</w:t>
            </w:r>
          </w:p>
        </w:tc>
        <w:tc>
          <w:tcPr>
            <w:tcW w:type="dxa" w:w="6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High-risk action requires supported capability, role, entitlement, policy and approval.</w:t>
            </w:r>
          </w:p>
        </w:tc>
      </w:tr>
    </w:tbl>
    <w:p/>
    <w:p>
      <w:pPr>
        <w:pStyle w:val="Heading3"/>
      </w:pPr>
      <w:r>
        <w:t>5.2 UAT Minimum Test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8"/>
        <w:gridCol w:w="3018"/>
        <w:gridCol w:w="3018"/>
      </w:tblGrid>
      <w:tr>
        <w:trPr>
          <w:tblHeader w:val="true"/>
        </w:trPr>
        <w:tc>
          <w:tcPr>
            <w:tcW w:type="dxa" w:w="108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UAT ID</w:t>
            </w:r>
          </w:p>
        </w:tc>
        <w:tc>
          <w:tcPr>
            <w:tcW w:type="dxa" w:w="316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68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Expected evidence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UAT-01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Five-role matrix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Every role/API/UI action allowed or denied according to matrix; denied action is server-side.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UAT-02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Tenant isolation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Cross-tenant direct ID/list/search/export causes no data disclosure.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UAT-03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Full provider collection vs plan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Same provider source scope collected for limited/full subscriptions; customer exposure differs only by entitlement.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UAT-04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 failure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Partial/failed run retains prior data, reports freshness/error and retry is idempotent.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UAT-05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Entitlement-safe dashboard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Excluded data does not affect customer totals, search or export.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UAT-06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Ticket/SLA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Clock, pause, breach and history match specified policy/calendar.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UAT-07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RPO/RTO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RPO links to recovery evidence; RTO missing evidence is not available.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UAT-08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Usage close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Closed usage is immutable; late data/adjustment is versioned.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UAT-09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Approval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Requester cannot self-approve; action audit chain is complete.</w:t>
            </w:r>
          </w:p>
        </w:tc>
      </w:tr>
      <w:tr>
        <w:tc>
          <w:tcPr>
            <w:tcW w:type="dxa" w:w="10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UAT-10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NFR smoke</w:t>
            </w:r>
          </w:p>
        </w:tc>
        <w:tc>
          <w:tcPr>
            <w:tcW w:type="dxa" w:w="56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Security, performance, accessibility, resilience and restore evidence satisfy release gate.</w:t>
            </w:r>
          </w:p>
        </w:tc>
      </w:tr>
    </w:tbl>
    <w:p/>
    <w:p>
      <w:pPr>
        <w:pStyle w:val="Heading3"/>
      </w:pPr>
      <w:r>
        <w:t>5.3 Source Baseline and Known Completion Gaps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8"/>
        <w:gridCol w:w="3018"/>
        <w:gridCol w:w="3018"/>
      </w:tblGrid>
      <w:tr>
        <w:trPr>
          <w:tblHeader w:val="true"/>
        </w:trPr>
        <w:tc>
          <w:tcPr>
            <w:tcW w:type="dxa" w:w="1728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816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Current code evidence</w:t>
            </w:r>
          </w:p>
        </w:tc>
        <w:tc>
          <w:tcPr>
            <w:tcW w:type="dxa" w:w="439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Completion gap for production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Roles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Five frontend labels; backend enforcement mainly Platform Admin/Tech/Customer Admin.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Formal permission model and complete Customer Tech/Read-Only server enforcement.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Provider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Connection/raw data/sync/mapping/provider capability models and initial adapters.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Complete real provider adapter coverage, scheduler/retry/reconciliation and conformance tests.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Subscription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Plan/features/provider entitlements and guards.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Fine-grained data/history/export/action entitlement and aggregate safety.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SLA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Policy entity/service/controller and RPO helper.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Business calendars, breach lifecycle, RTO evidence and formal reports.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Contract/usage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Customer account/contract/usage services, pages and migrations.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Effective-dated lifecycle, meter ledger, close/adjustment/rating/finance integration.</w:t>
            </w:r>
          </w:p>
        </w:tc>
      </w:tr>
      <w:t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Operations</w:t>
            </w:r>
          </w:p>
        </w:tc>
        <w:tc>
          <w:tcPr>
            <w:tcW w:type="dxa" w:w="38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Monitoring/security/backup/ticket modules and UI.</w:t>
            </w:r>
          </w:p>
        </w:tc>
        <w:tc>
          <w:tcPr>
            <w:tcW w:type="dxa" w:w="43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rial" w:hAnsi="Arial"/>
                <w:sz w:val="16"/>
              </w:rPr>
              <w:t>Production integration completeness, workflow governance, alerts/notifications and end-to-end UAT.</w:t>
            </w:r>
          </w:p>
        </w:tc>
      </w:tr>
    </w:tbl>
    <w:p/>
    <w:sectPr w:rsidR="009B2614">
      <w:footerReference w:type="default" r:id="rId29"/>
      <w:pgSz w:w="11906" w:h="16838"/>
      <w:pgMar w:top="1368" w:right="1411" w:bottom="1224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18FB7" w14:textId="77777777" w:rsidR="009837DE" w:rsidRDefault="009837DE">
      <w:pPr>
        <w:spacing w:line="240" w:lineRule="auto"/>
      </w:pPr>
      <w:r>
        <w:separator/>
      </w:r>
    </w:p>
  </w:endnote>
  <w:endnote w:type="continuationSeparator" w:id="0">
    <w:p w14:paraId="25678905" w14:textId="77777777" w:rsidR="009837DE" w:rsidRDefault="009837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">
    <w:altName w:val="Segoe U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t xml:space="preserve">MSP Portal SRS v1.0 | Internal | Page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5F188" w14:textId="77777777" w:rsidR="009837DE" w:rsidRDefault="009837DE">
      <w:pPr>
        <w:spacing w:after="0"/>
      </w:pPr>
      <w:r>
        <w:separator/>
      </w:r>
    </w:p>
  </w:footnote>
  <w:footnote w:type="continuationSeparator" w:id="0">
    <w:p w14:paraId="34ACBC14" w14:textId="77777777" w:rsidR="009837DE" w:rsidRDefault="009837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447C1"/>
    <w:multiLevelType w:val="multilevel"/>
    <w:tmpl w:val="555447C1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A865E4C"/>
    <w:multiLevelType w:val="multilevel"/>
    <w:tmpl w:val="6A865E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14633"/>
    <w:multiLevelType w:val="multilevel"/>
    <w:tmpl w:val="792146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034407">
    <w:abstractNumId w:val="0"/>
  </w:num>
  <w:num w:numId="2" w16cid:durableId="1587955064">
    <w:abstractNumId w:val="1"/>
  </w:num>
  <w:num w:numId="3" w16cid:durableId="1584996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E0"/>
    <w:rsid w:val="00000D0B"/>
    <w:rsid w:val="00001480"/>
    <w:rsid w:val="00071D84"/>
    <w:rsid w:val="000D6D59"/>
    <w:rsid w:val="00102A25"/>
    <w:rsid w:val="00132651"/>
    <w:rsid w:val="001D4227"/>
    <w:rsid w:val="00207F1F"/>
    <w:rsid w:val="002429FA"/>
    <w:rsid w:val="0029797E"/>
    <w:rsid w:val="002C38A3"/>
    <w:rsid w:val="002C501A"/>
    <w:rsid w:val="003E036D"/>
    <w:rsid w:val="003F56F7"/>
    <w:rsid w:val="00407C7D"/>
    <w:rsid w:val="00413FA4"/>
    <w:rsid w:val="0043263A"/>
    <w:rsid w:val="004465A5"/>
    <w:rsid w:val="00451A89"/>
    <w:rsid w:val="00452DDC"/>
    <w:rsid w:val="004647CB"/>
    <w:rsid w:val="004721EF"/>
    <w:rsid w:val="004A31E4"/>
    <w:rsid w:val="004B1DCE"/>
    <w:rsid w:val="005152F2"/>
    <w:rsid w:val="00517FE2"/>
    <w:rsid w:val="0055105F"/>
    <w:rsid w:val="005B2191"/>
    <w:rsid w:val="005E449F"/>
    <w:rsid w:val="005F6E61"/>
    <w:rsid w:val="00643D66"/>
    <w:rsid w:val="00671D2D"/>
    <w:rsid w:val="006910A0"/>
    <w:rsid w:val="00692F48"/>
    <w:rsid w:val="00693F2E"/>
    <w:rsid w:val="006953D9"/>
    <w:rsid w:val="006B6F65"/>
    <w:rsid w:val="006C5747"/>
    <w:rsid w:val="006D5596"/>
    <w:rsid w:val="00700AA0"/>
    <w:rsid w:val="007B19F5"/>
    <w:rsid w:val="008A0E8F"/>
    <w:rsid w:val="008C1C85"/>
    <w:rsid w:val="008D5525"/>
    <w:rsid w:val="008E17B2"/>
    <w:rsid w:val="008F621A"/>
    <w:rsid w:val="00981BB8"/>
    <w:rsid w:val="009837DE"/>
    <w:rsid w:val="009B2614"/>
    <w:rsid w:val="009B2ECB"/>
    <w:rsid w:val="009D49EC"/>
    <w:rsid w:val="00A76FBE"/>
    <w:rsid w:val="00B14C10"/>
    <w:rsid w:val="00B46E0B"/>
    <w:rsid w:val="00B47D4F"/>
    <w:rsid w:val="00C81EF7"/>
    <w:rsid w:val="00C84CA5"/>
    <w:rsid w:val="00CF3117"/>
    <w:rsid w:val="00D50085"/>
    <w:rsid w:val="00D546E4"/>
    <w:rsid w:val="00DB32AE"/>
    <w:rsid w:val="00DC07E0"/>
    <w:rsid w:val="00DD329C"/>
    <w:rsid w:val="00DE4236"/>
    <w:rsid w:val="00DF5810"/>
    <w:rsid w:val="00E02C19"/>
    <w:rsid w:val="00F25E93"/>
    <w:rsid w:val="00F3006A"/>
    <w:rsid w:val="00F445CD"/>
    <w:rsid w:val="58401905"/>
    <w:rsid w:val="6913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0A58A1"/>
  <w15:docId w15:val="{25ED8213-B981-4BA6-97A5-077EF76C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hAnsi="Arial"/>
      <w:sz w:val="20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120"/>
      <w:outlineLvl w:val="0"/>
    </w:pPr>
    <w:rPr>
      <w:rFonts w:ascii="Arial" w:hAnsi="Arial"/>
      <w:b/>
      <w:color w:val="1F4E78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/>
      <w:outlineLvl w:val="1"/>
    </w:pPr>
    <w:rPr>
      <w:rFonts w:ascii="Arial" w:hAnsi="Arial"/>
      <w:b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40" w:after="120"/>
      <w:outlineLvl w:val="2"/>
    </w:pPr>
    <w:rPr>
      <w:rFonts w:ascii="Arial" w:hAnsi="Arial"/>
      <w:b/>
      <w:color w:val="1F4E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120"/>
      <w:outlineLvl w:val="3"/>
    </w:pPr>
    <w:rPr>
      <w:rFonts w:ascii="Arial" w:hAnsi="Arial"/>
      <w:b/>
      <w:i/>
      <w:color w:val="2F75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240" w:after="120"/>
      <w:outlineLvl w:val="4"/>
    </w:pPr>
    <w:rPr>
      <w:rFonts w:ascii="Arial" w:hAnsi="Arial"/>
      <w:b/>
      <w:color w:val="5B9BD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color w:val="1E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60" w:after="200" w:line="360" w:lineRule="auto"/>
      <w:jc w:val="center"/>
    </w:pPr>
    <w:rPr>
      <w:rFonts w:ascii="Arial" w:eastAsia="Times New Roman" w:hAnsi="Arial" w:cs="Times New Roman"/>
      <w:b/>
      <w:iCs/>
      <w:color w:val="44546A" w:themeColor="text2"/>
      <w:sz w:val="18"/>
      <w:szCs w:val="18"/>
      <w:lang w:eastAsia="en-GB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Normal"/>
    <w:semiHidden/>
    <w:qFormat/>
    <w:pPr>
      <w:spacing w:after="120" w:line="240" w:lineRule="exact"/>
      <w:ind w:left="1353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color w:val="1F4E79" w:themeColor="accent1" w:themeShade="80"/>
      <w:sz w:val="24"/>
      <w:szCs w:val="24"/>
    </w:rPr>
  </w:style>
  <w:style w:type="table" w:customStyle="1" w:styleId="Kiu2">
    <w:name w:val="Kiểu2"/>
    <w:basedOn w:val="TableNormal"/>
    <w:uiPriority w:val="99"/>
    <w:qFormat/>
    <w:rPr>
      <w:rFonts w:ascii="Times New Roman" w:eastAsiaTheme="minorEastAsia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paragraph" w:customStyle="1" w:styleId="bang">
    <w:name w:val="bang"/>
    <w:basedOn w:val="Normal"/>
    <w:autoRedefine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pPr>
      <w:keepNext w:val="0"/>
      <w:keepLines w:val="0"/>
      <w:autoSpaceDE w:val="0"/>
      <w:autoSpaceDN w:val="0"/>
      <w:spacing w:before="80" w:after="80" w:line="240" w:lineRule="auto"/>
      <w:jc w:val="center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fontstyle01">
    <w:name w:val="fontstyle01"/>
    <w:basedOn w:val="DefaultParagraphFont"/>
    <w:rPr>
      <w:rFonts w:ascii="Helvetica" w:hAnsi="Helvetica" w:hint="default"/>
      <w:color w:val="000000"/>
      <w:sz w:val="14"/>
      <w:szCs w:val="1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emplate">
    <w:name w:val="template"/>
    <w:basedOn w:val="Normal"/>
    <w:pPr>
      <w:spacing w:after="0" w:line="240" w:lineRule="exact"/>
    </w:pPr>
    <w:rPr>
      <w:rFonts w:ascii="Arial" w:eastAsia="Times New Roman" w:hAnsi="Arial" w:cs="Times New Roman"/>
      <w:i/>
      <w:szCs w:val="20"/>
      <w:lang w:val="en-US"/>
    </w:rPr>
  </w:style>
  <w:style w:type="paragraph" w:customStyle="1" w:styleId="TableText">
    <w:name w:val="Table Text"/>
    <w:basedOn w:val="Normal"/>
    <w:qFormat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Italic">
    <w:name w:val="Italic"/>
    <w:uiPriority w:val="4"/>
    <w:qFormat/>
    <w:rPr>
      <w:rFonts w:ascii="Segoe" w:hAnsi="Segoe"/>
      <w:i/>
      <w:iCs/>
    </w:rPr>
  </w:style>
  <w:style w:type="paragraph" w:customStyle="1" w:styleId="TableHead">
    <w:name w:val="Table Head"/>
    <w:basedOn w:val="Heading3"/>
    <w:next w:val="TableText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i/>
      <w:color w:val="auto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Normalunindented">
    <w:name w:val="Normal (unindented)"/>
    <w:basedOn w:val="Normal"/>
    <w:qFormat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eastAsia="Times New Roman" w:hAnsi="Segoe" w:cs="Segoe"/>
      <w:color w:val="000000"/>
      <w:sz w:val="18"/>
      <w:szCs w:val="19"/>
      <w:lang w:val="en-US"/>
    </w:rPr>
  </w:style>
  <w:style w:type="paragraph" w:customStyle="1" w:styleId="TableTextindent">
    <w:name w:val="Table Text indent"/>
    <w:basedOn w:val="TableText"/>
    <w:qFormat/>
    <w:pPr>
      <w:ind w:left="1782" w:hanging="1350"/>
    </w:pPr>
  </w:style>
  <w:style w:type="paragraph" w:customStyle="1" w:styleId="TableTextindent2">
    <w:name w:val="Table Text indent 2"/>
    <w:basedOn w:val="TableTextindent"/>
    <w:qFormat/>
    <w:pPr>
      <w:ind w:hanging="990"/>
    </w:pPr>
  </w:style>
  <w:style w:type="paragraph" w:customStyle="1" w:styleId="Fig-Graphic">
    <w:name w:val="Fig-Graphic"/>
    <w:basedOn w:val="Normal"/>
    <w:next w:val="Normal"/>
    <w:qFormat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eastAsia="Times New Roman" w:hAnsi="Segoe" w:cs="Segoe"/>
      <w:iCs/>
      <w:color w:val="000000"/>
      <w:sz w:val="18"/>
      <w:szCs w:val="19"/>
      <w:lang w:val="en-US"/>
    </w:rPr>
  </w:style>
  <w:style w:type="paragraph" w:customStyle="1" w:styleId="TableTextsmall">
    <w:name w:val="Table Text small"/>
    <w:basedOn w:val="Normal"/>
    <w:pPr>
      <w:spacing w:after="20" w:line="240" w:lineRule="exact"/>
      <w:ind w:left="-14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level5">
    <w:name w:val="level 5"/>
    <w:basedOn w:val="Normal"/>
    <w:pPr>
      <w:tabs>
        <w:tab w:val="left" w:pos="2520"/>
      </w:tabs>
      <w:spacing w:after="0" w:line="240" w:lineRule="exact"/>
      <w:ind w:left="135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level4text">
    <w:name w:val="level 4 text"/>
    <w:basedOn w:val="Normal"/>
    <w:qFormat/>
    <w:pPr>
      <w:spacing w:after="120" w:line="240" w:lineRule="exact"/>
      <w:ind w:left="2160" w:hanging="806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InfoBlue">
    <w:name w:val="InfoBlue"/>
    <w:basedOn w:val="Normal"/>
    <w:next w:val="BodyText"/>
    <w:autoRedefine/>
    <w:pPr>
      <w:widowControl w:val="0"/>
      <w:spacing w:after="0" w:line="240" w:lineRule="auto"/>
      <w:jc w:val="both"/>
    </w:pPr>
    <w:rPr>
      <w:rFonts w:ascii="Tahoma" w:eastAsia="Times New Roman" w:hAnsi="Tahoma" w:cs="Tahoma"/>
      <w:i/>
      <w:color w:val="0000FF"/>
      <w:sz w:val="20"/>
      <w:szCs w:val="20"/>
      <w:lang w:val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b w:val="0"/>
      <w:color w:val="2E74B5" w:themeColor="accent1" w:themeShade="BF"/>
      <w:lang w:val="en-US"/>
    </w:rPr>
  </w:style>
  <w:style w:type="paragraph" w:customStyle="1" w:styleId="Bang0">
    <w:name w:val="Bang"/>
    <w:basedOn w:val="Normal"/>
    <w:autoRedefine/>
    <w:qFormat/>
    <w:pPr>
      <w:spacing w:before="80" w:after="80" w:line="240" w:lineRule="auto"/>
    </w:pPr>
    <w:rPr>
      <w:rFonts w:ascii="Tahoma" w:eastAsia="Times New Roman" w:hAnsi="Tahoma" w:cs="Tahoma"/>
      <w:sz w:val="18"/>
      <w:szCs w:val="18"/>
      <w:lang w:val="en-US"/>
    </w:rPr>
  </w:style>
  <w:style w:type="paragraph" w:customStyle="1" w:styleId="HeadingLv1">
    <w:name w:val="Heading Lv1"/>
    <w:basedOn w:val="Normal"/>
    <w:autoRedefine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Theme="majorHAnsi" w:eastAsiaTheme="majorEastAsia" w:hAnsiTheme="majorHAnsi" w:cstheme="majorBidi"/>
      <w:color w:val="1F4E79" w:themeColor="accent1" w:themeShade="80"/>
    </w:rPr>
  </w:style>
  <w:style w:type="table" w:customStyle="1" w:styleId="Style56">
    <w:name w:val="_Style 56"/>
    <w:basedOn w:val="TableNormal"/>
    <w:qFormat/>
    <w:tblPr>
      <w:tblCellMar>
        <w:left w:w="80" w:type="dxa"/>
        <w:right w:w="80" w:type="dxa"/>
      </w:tblCellMar>
    </w:tblPr>
  </w:style>
  <w:style w:type="table" w:customStyle="1" w:styleId="Style57">
    <w:name w:val="_Style 57"/>
    <w:basedOn w:val="TableNormal"/>
    <w:tblPr>
      <w:tblCellMar>
        <w:left w:w="115" w:type="dxa"/>
        <w:right w:w="115" w:type="dxa"/>
      </w:tblCellMar>
    </w:tblPr>
  </w:style>
  <w:style w:type="table" w:customStyle="1" w:styleId="Style58">
    <w:name w:val="_Style 58"/>
    <w:basedOn w:val="TableNormal"/>
    <w:tblPr>
      <w:tblCellMar>
        <w:left w:w="115" w:type="dxa"/>
        <w:right w:w="115" w:type="dxa"/>
      </w:tblCellMar>
    </w:tblPr>
  </w:style>
  <w:style w:type="table" w:customStyle="1" w:styleId="Style59">
    <w:name w:val="_Style 5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0">
    <w:name w:val="_Style 60"/>
    <w:basedOn w:val="TableNormal"/>
    <w:tblPr>
      <w:tblCellMar>
        <w:left w:w="115" w:type="dxa"/>
        <w:right w:w="115" w:type="dxa"/>
      </w:tblCellMar>
    </w:tblPr>
  </w:style>
  <w:style w:type="table" w:customStyle="1" w:styleId="Style61">
    <w:name w:val="_Style 6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2">
    <w:name w:val="_Style 62"/>
    <w:basedOn w:val="TableNormal"/>
    <w:qFormat/>
    <w:rPr>
      <w:rFonts w:ascii="Times New Roman" w:eastAsia="Times New Roman" w:hAnsi="Times New Roman" w:cs="Times New Roman"/>
      <w:sz w:val="24"/>
      <w:szCs w:val="24"/>
    </w:rPr>
    <w:tblPr>
      <w:tblCellMar>
        <w:left w:w="115" w:type="dxa"/>
        <w:right w:w="115" w:type="dxa"/>
      </w:tblCellMar>
    </w:tblPr>
    <w:tcPr>
      <w:vAlign w:val="center"/>
    </w:tcPr>
  </w:style>
  <w:style w:type="table" w:customStyle="1" w:styleId="Style63">
    <w:name w:val="_Style 63"/>
    <w:basedOn w:val="TableNormal"/>
    <w:tblPr>
      <w:tblCellMar>
        <w:left w:w="0" w:type="dxa"/>
        <w:right w:w="0" w:type="dxa"/>
      </w:tblCellMar>
    </w:tblPr>
  </w:style>
  <w:style w:type="table" w:customStyle="1" w:styleId="Style64">
    <w:name w:val="_Style 64"/>
    <w:basedOn w:val="TableNormal"/>
    <w:qFormat/>
    <w:rPr>
      <w:rFonts w:ascii="Times New Roman" w:eastAsia="Times New Roman" w:hAnsi="Times New Roman" w:cs="Times New Roman"/>
      <w:sz w:val="24"/>
      <w:szCs w:val="24"/>
    </w:rPr>
    <w:tblPr>
      <w:tblCellMar>
        <w:left w:w="115" w:type="dxa"/>
        <w:right w:w="115" w:type="dxa"/>
      </w:tblCellMar>
    </w:tblPr>
    <w:tcPr>
      <w:vAlign w:val="center"/>
    </w:tcPr>
  </w:style>
  <w:style w:type="table" w:customStyle="1" w:styleId="Style65">
    <w:name w:val="_Style 65"/>
    <w:basedOn w:val="TableNormal"/>
    <w:qFormat/>
    <w:rPr>
      <w:rFonts w:ascii="Times New Roman" w:eastAsia="Times New Roman" w:hAnsi="Times New Roman" w:cs="Times New Roman"/>
      <w:sz w:val="24"/>
      <w:szCs w:val="24"/>
    </w:rPr>
    <w:tblPr>
      <w:tblCellMar>
        <w:left w:w="115" w:type="dxa"/>
        <w:right w:w="115" w:type="dxa"/>
      </w:tblCellMar>
    </w:tblPr>
    <w:tcPr>
      <w:vAlign w:val="center"/>
    </w:tcPr>
  </w:style>
  <w:style w:type="table" w:customStyle="1" w:styleId="Style67">
    <w:name w:val="_Style 67"/>
    <w:basedOn w:val="TableNormal"/>
    <w:tblPr>
      <w:tblCellMar>
        <w:left w:w="80" w:type="dxa"/>
        <w:right w:w="80" w:type="dxa"/>
      </w:tblCellMar>
    </w:tblPr>
  </w:style>
  <w:style w:type="table" w:customStyle="1" w:styleId="Style68">
    <w:name w:val="_Style 6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9">
    <w:name w:val="_Style 6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0">
    <w:name w:val="_Style 7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1">
    <w:name w:val="_Style 7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2">
    <w:name w:val="_Style 72"/>
    <w:basedOn w:val="TableNormal"/>
    <w:qFormat/>
    <w:rPr>
      <w:rFonts w:ascii="Times New Roman" w:eastAsia="Times New Roman" w:hAnsi="Times New Roman" w:cs="Times New Roman"/>
      <w:sz w:val="24"/>
      <w:szCs w:val="24"/>
    </w:rPr>
    <w:tblPr>
      <w:tblCellMar>
        <w:left w:w="115" w:type="dxa"/>
        <w:right w:w="115" w:type="dxa"/>
      </w:tblCellMar>
    </w:tblPr>
    <w:tcPr>
      <w:vAlign w:val="center"/>
    </w:tcPr>
    <w:tblStylePr w:type="firstRow">
      <w:rPr>
        <w:rFonts w:ascii="Times New Roman" w:eastAsia="Times New Roman" w:hAnsi="Times New Roman" w:cs="Times New Roman"/>
        <w:b w:val="0"/>
        <w:i w:val="0"/>
        <w:sz w:val="24"/>
        <w:szCs w:val="24"/>
        <w:u w:val="none"/>
      </w:rPr>
      <w:tblPr/>
      <w:tcPr>
        <w:shd w:val="clear" w:color="auto" w:fill="BDD7EE"/>
      </w:tcPr>
    </w:tblStylePr>
  </w:style>
  <w:style w:type="table" w:customStyle="1" w:styleId="Style73">
    <w:name w:val="_Style 7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4">
    <w:name w:val="_Style 7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5">
    <w:name w:val="_Style 75"/>
    <w:basedOn w:val="TableNormal"/>
    <w:qFormat/>
    <w:tblPr/>
  </w:style>
  <w:style w:type="table" w:customStyle="1" w:styleId="Style76">
    <w:name w:val="_Style 76"/>
    <w:basedOn w:val="TableNormal"/>
    <w:qFormat/>
    <w:tblPr/>
  </w:style>
  <w:style w:type="table" w:customStyle="1" w:styleId="Style77">
    <w:name w:val="_Style 77"/>
    <w:basedOn w:val="TableNormal"/>
    <w:qFormat/>
    <w:tblPr/>
  </w:style>
  <w:style w:type="table" w:customStyle="1" w:styleId="Style78">
    <w:name w:val="_Style 78"/>
    <w:basedOn w:val="TableNormal"/>
    <w:qFormat/>
    <w:tblPr>
      <w:tblCellMar>
        <w:left w:w="0" w:type="dxa"/>
        <w:right w:w="0" w:type="dxa"/>
      </w:tblCellMar>
    </w:tblPr>
  </w:style>
  <w:style w:type="table" w:customStyle="1" w:styleId="Style79">
    <w:name w:val="_Style 79"/>
    <w:basedOn w:val="TableNormal"/>
    <w:qFormat/>
    <w:rPr>
      <w:rFonts w:ascii="Times New Roman" w:eastAsia="Times New Roman" w:hAnsi="Times New Roman" w:cs="Times New Roman"/>
      <w:sz w:val="24"/>
      <w:szCs w:val="24"/>
    </w:rPr>
    <w:tblPr>
      <w:tblCellMar>
        <w:left w:w="115" w:type="dxa"/>
        <w:right w:w="115" w:type="dxa"/>
      </w:tblCellMar>
    </w:tblPr>
    <w:tcPr>
      <w:vAlign w:val="center"/>
    </w:tcPr>
  </w:style>
  <w:style w:type="table" w:customStyle="1" w:styleId="Style80">
    <w:name w:val="_Style 80"/>
    <w:basedOn w:val="TableNormal"/>
    <w:qFormat/>
    <w:rPr>
      <w:rFonts w:ascii="Times New Roman" w:eastAsia="Times New Roman" w:hAnsi="Times New Roman" w:cs="Times New Roman"/>
      <w:sz w:val="24"/>
      <w:szCs w:val="24"/>
    </w:rPr>
    <w:tblPr>
      <w:tblCellMar>
        <w:left w:w="115" w:type="dxa"/>
        <w:right w:w="115" w:type="dxa"/>
      </w:tblCellMar>
    </w:tblPr>
    <w:tcPr>
      <w:vAlign w:val="center"/>
    </w:tcPr>
  </w:style>
  <w:style w:type="character" w:styleId="UnresolvedMention">
    <w:name w:val="Unresolved Mention"/>
    <w:basedOn w:val="DefaultParagraphFont"/>
    <w:uiPriority w:val="99"/>
    <w:semiHidden/>
    <w:unhideWhenUsed/>
    <w:rsid w:val="00E02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0q8XsKtvZGVMLFUQa+4DZxTTtA==">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</go:docsCustomData>
</go:gDocsCustomXmlDataStorage>
</file>

<file path=customXml/itemProps1.xml><?xml version="1.0" encoding="utf-8"?>
<ds:datastoreItem xmlns:ds="http://schemas.openxmlformats.org/officeDocument/2006/customXml" ds:itemID="{123D93AB-7D0E-4AE5-BB21-9C3B371FA7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69</Pages>
  <Words>18248</Words>
  <Characters>104019</Characters>
  <Application>Microsoft Office Word</Application>
  <DocSecurity>0</DocSecurity>
  <Lines>866</Lines>
  <Paragraphs>244</Paragraphs>
  <ScaleCrop>false</ScaleCrop>
  <Company/>
  <LinksUpToDate>false</LinksUpToDate>
  <CharactersWithSpaces>122023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 Analysis</dc:creator>
  <cp:lastModifiedBy>Đỗ Đăng Trung</cp:lastModifiedBy>
  <cp:revision>2</cp:revision>
  <dcterms:created xsi:type="dcterms:W3CDTF">2026-05-30T14:38:00Z</dcterms:created>
  <dcterms:modified xsi:type="dcterms:W3CDTF">2026-05-30T14:38:00Z</dcterms:modified>
  <dc:title>MSP Portal Software Requirements Specification</dc:title>
  <dc:subject>Production target SRS and UAT baseline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eyJoZGlkIjoiZDg1Y2M5MmY4YTVmMzY1ZjA2OTYxMDc2MzVjYmVjNjEiLCJ1c2VySWQiOiI4ODEzNDE0MTMzMjAzIn0=</vt:lpwstr>
  </property>
  <property fmtid="{D5CDD505-2E9C-101B-9397-08002B2CF9AE}" pid="3" name="KSOProductBuildVer">
    <vt:lpwstr>1033-12.1.0.26372</vt:lpwstr>
  </property>
  <property fmtid="{D5CDD505-2E9C-101B-9397-08002B2CF9AE}" pid="4" name="ICV">
    <vt:lpwstr>605958BB1E30490F94BF8343A8D82476_13</vt:lpwstr>
  </property>
</Properties>
</file>