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1B6F6A"/>
          <w:sz w:val="20"/>
        </w:rPr>
        <w:t>NEUROAGENT AI, INC.</w:t>
      </w:r>
    </w:p>
    <w:p>
      <w:pPr>
        <w:pStyle w:val="Title"/>
      </w:pPr>
      <w:r>
        <w:t>Modular Informed Consent and Data Authorization</w:t>
      </w:r>
    </w:p>
    <w:p>
      <w:pPr>
        <w:pStyle w:val="Subtitle"/>
      </w:pPr>
      <w:r>
        <w:t>Remote neurocognitive and dementia research | Human, health, and biometric data</w:t>
      </w:r>
    </w:p>
    <w:p>
      <w:pPr>
        <w:spacing w:after="60"/>
      </w:pPr>
      <w:r>
        <w:rPr>
          <w:rFonts w:ascii="Calibri" w:hAnsi="Calibri"/>
          <w:b/>
          <w:color w:val="0B2545"/>
          <w:sz w:val="22"/>
        </w:rPr>
        <w:t xml:space="preserve">Template status: </w:t>
      </w:r>
      <w:r>
        <w:rPr>
          <w:rFonts w:ascii="Calibri" w:hAnsi="Calibri"/>
          <w:color w:val="000000"/>
          <w:sz w:val="22"/>
        </w:rPr>
        <w:t>Master drafting template - not approved for participant use</w:t>
      </w:r>
    </w:p>
    <w:p>
      <w:pPr>
        <w:spacing w:after="60"/>
      </w:pPr>
      <w:r>
        <w:rPr>
          <w:rFonts w:ascii="Calibri" w:hAnsi="Calibri"/>
          <w:b/>
          <w:color w:val="0B2545"/>
          <w:sz w:val="22"/>
        </w:rPr>
        <w:t xml:space="preserve">Version/date: </w:t>
      </w:r>
      <w:r>
        <w:rPr>
          <w:rFonts w:ascii="Calibri" w:hAnsi="Calibri"/>
          <w:color w:val="000000"/>
          <w:sz w:val="22"/>
        </w:rPr>
        <w:t>v0.9 | 31 July 2026</w:t>
      </w:r>
    </w:p>
    <w:p>
      <w:pPr>
        <w:spacing w:after="60"/>
      </w:pPr>
      <w:r>
        <w:rPr>
          <w:rFonts w:ascii="Calibri" w:hAnsi="Calibri"/>
          <w:b/>
          <w:color w:val="0B2545"/>
          <w:sz w:val="22"/>
        </w:rPr>
        <w:t xml:space="preserve">Intended use: </w:t>
      </w:r>
      <w:r>
        <w:rPr>
          <w:rFonts w:ascii="Calibri" w:hAnsi="Calibri"/>
          <w:color w:val="000000"/>
          <w:sz w:val="22"/>
        </w:rPr>
        <w:t>Adult research participants; device-agnostic remote assessment; rare dementias including ALS-FTD</w:t>
      </w:r>
    </w:p>
    <w:p>
      <w:pPr>
        <w:spacing w:after="60"/>
      </w:pPr>
      <w:r>
        <w:rPr>
          <w:rFonts w:ascii="Calibri" w:hAnsi="Calibri"/>
          <w:b/>
          <w:color w:val="0B2545"/>
          <w:sz w:val="22"/>
        </w:rPr>
        <w:t xml:space="preserve">Deployment rule: </w:t>
      </w:r>
      <w:r>
        <w:rPr>
          <w:rFonts w:ascii="Calibri" w:hAnsi="Calibri"/>
          <w:color w:val="000000"/>
          <w:sz w:val="22"/>
        </w:rPr>
        <w:t>Localize by study, site, participant jurisdiction, data destination, and controller role before use</w:t>
      </w:r>
    </w:p>
    <w:p>
      <w:pPr>
        <w:spacing w:before="40" w:after="160"/>
        <w:pBdr>
          <w:bottom w:val="single" w:sz="6" w:space="1" w:color="1B6F6A"/>
        </w:pBdr>
      </w:pPr>
    </w:p>
    <w:p>
      <w:pPr>
        <w:spacing w:before="80" w:after="200" w:line="259" w:lineRule="auto"/>
        <w:ind w:left="173" w:right="115"/>
        <w:shd w:fill="FFF4D6"/>
        <w:pBdr>
          <w:left w:val="single" w:sz="16" w:space="8" w:color="9A6A00"/>
        </w:pBdr>
        <w:keepLines/>
      </w:pPr>
      <w:r>
        <w:rPr>
          <w:rFonts w:ascii="Calibri" w:hAnsi="Calibri"/>
          <w:b/>
          <w:color w:val="9A6A00"/>
          <w:sz w:val="22"/>
        </w:rPr>
        <w:t xml:space="preserve">DO NOT DEPLOY. </w:t>
      </w:r>
      <w:r>
        <w:rPr>
          <w:rFonts w:ascii="Calibri" w:hAnsi="Calibri"/>
          <w:color w:val="000000"/>
          <w:sz w:val="22"/>
        </w:rPr>
        <w:t>This master is a drafting and consent-engine specification. It is not a universal consent, privacy notice, HIPAA authorization, GDPR notice, biometric release, data processing agreement, data use agreement, business associate agreement, or legal opinion. Every signed version must be approved by the responsible IRB/ethics committee and privacy/legal reviewers, contain no unresolved placeholders, and include only the modules that apply.</w:t>
      </w:r>
    </w:p>
    <w:p>
      <w:pPr>
        <w:pStyle w:val="Heading1"/>
      </w:pPr>
      <w:r>
        <w:t>How this master works</w:t>
      </w:r>
    </w:p>
    <w:p>
      <w:pPr>
        <w:numPr>
          <w:ilvl w:val="0"/>
          <w:numId w:val="10"/>
        </w:numPr>
        <w:spacing w:after="160" w:line="280" w:lineRule="auto"/>
      </w:pPr>
      <w:r>
        <w:t>Core participant consent: study participation, procedures, risks, confidentiality, voluntary participation, and signatures.</w:t>
      </w:r>
    </w:p>
    <w:p>
      <w:pPr>
        <w:numPr>
          <w:ilvl w:val="0"/>
          <w:numId w:val="10"/>
        </w:numPr>
        <w:spacing w:after="160" w:line="280" w:lineRule="auto"/>
      </w:pPr>
      <w:r>
        <w:t>Granular data permissions: raw media, derived signals, future research, AI/model development, commercial research, record linkage, recontact, and approved external sharing.</w:t>
      </w:r>
    </w:p>
    <w:p>
      <w:pPr>
        <w:numPr>
          <w:ilvl w:val="0"/>
          <w:numId w:val="10"/>
        </w:numPr>
        <w:spacing w:after="160" w:line="280" w:lineRule="auto"/>
      </w:pPr>
      <w:r>
        <w:t>Destination-specific permissions: NeuroAgent AI repository, institution-controlled repository, approved country/regional repository, and local/federated processing where supported.</w:t>
      </w:r>
    </w:p>
    <w:p>
      <w:pPr>
        <w:numPr>
          <w:ilvl w:val="0"/>
          <w:numId w:val="10"/>
        </w:numPr>
        <w:spacing w:after="160" w:line="280" w:lineRule="auto"/>
      </w:pPr>
      <w:r>
        <w:t>Jurisdiction and site addenda: U.S. federal/HIPAA, state biometric and consumer-health/privacy notices, EU/EEA, UK, Canada, Australia, Brazil, and a deployment hold for unsupported jurisdictions.</w:t>
      </w:r>
    </w:p>
    <w:p>
      <w:pPr>
        <w:numPr>
          <w:ilvl w:val="0"/>
          <w:numId w:val="10"/>
        </w:numPr>
        <w:spacing w:after="160" w:line="280" w:lineRule="auto"/>
      </w:pPr>
      <w:r>
        <w:t>Capacity pathway: participant consent when capable; legally authorized representative permission and participant assent when applicable; separate caregiver/study-partner consent.</w:t>
      </w:r>
    </w:p>
    <w:p>
      <w:pPr>
        <w:pStyle w:val="Heading2"/>
      </w:pPr>
      <w:r>
        <w:t>Non-negotiable configuration gate</w:t>
      </w:r>
    </w:p>
    <w:p>
      <w:pPr>
        <w:numPr>
          <w:ilvl w:val="0"/>
          <w:numId w:val="11"/>
        </w:numPr>
        <w:spacing w:after="160" w:line="280" w:lineRule="auto"/>
      </w:pPr>
      <w:r>
        <w:t>Determine participant country of residence, state/province/territory, physical location at enrollment and collection, enrolling site, and study sponsor/controller structure.</w:t>
      </w:r>
    </w:p>
    <w:p>
      <w:pPr>
        <w:numPr>
          <w:ilvl w:val="0"/>
          <w:numId w:val="11"/>
        </w:numPr>
        <w:spacing w:after="160" w:line="280" w:lineRule="auto"/>
      </w:pPr>
      <w:r>
        <w:t>Determine whether the study is subject to the Common Rule, FDA requirements, HIPAA, a state research exemption, GDPR/UK GDPR, or another local research law. Do not infer an exemption from the word 'research.'</w:t>
      </w:r>
    </w:p>
    <w:p>
      <w:pPr>
        <w:numPr>
          <w:ilvl w:val="0"/>
          <w:numId w:val="11"/>
        </w:numPr>
        <w:spacing w:after="160" w:line="280" w:lineRule="auto"/>
      </w:pPr>
      <w:r>
        <w:t>Populate the exact data categories, purposes, recipients, storage and backup regions, access countries, retention periods, transfer mechanisms, and deletion workflow for every destination.</w:t>
      </w:r>
    </w:p>
    <w:p>
      <w:pPr>
        <w:numPr>
          <w:ilvl w:val="0"/>
          <w:numId w:val="11"/>
        </w:numPr>
        <w:spacing w:after="160" w:line="280" w:lineRule="auto"/>
      </w:pPr>
      <w:r>
        <w:t>Display the approved core and only the applicable modules. Unknown or unsupported jurisdiction, missing controller information, or blank destination fields must block enrollment.</w:t>
      </w:r>
    </w:p>
    <w:p>
      <w:r>
        <w:br w:type="page"/>
      </w:r>
    </w:p>
    <w:p>
      <w:pPr>
        <w:spacing w:after="60"/>
      </w:pPr>
      <w:r>
        <w:rPr>
          <w:rFonts w:ascii="Calibri" w:hAnsi="Calibri"/>
          <w:b/>
          <w:color w:val="1B6F6A"/>
          <w:sz w:val="20"/>
        </w:rPr>
        <w:t>PARTICIPANT-FACING MASTER</w:t>
      </w:r>
    </w:p>
    <w:p>
      <w:pPr>
        <w:pStyle w:val="Title"/>
      </w:pPr>
      <w:r>
        <w:t>Consent to Take Part in Remote Dementia Research</w:t>
      </w:r>
    </w:p>
    <w:p>
      <w:pPr>
        <w:pStyle w:val="Subtitle"/>
      </w:pPr>
      <w:r>
        <w:t>NeuroAgent AI device-agnostic research platform</w:t>
      </w:r>
    </w:p>
    <w:p>
      <w:pPr>
        <w:spacing w:after="60"/>
      </w:pPr>
      <w:r>
        <w:rPr>
          <w:rFonts w:ascii="Calibri" w:hAnsi="Calibri"/>
          <w:b/>
          <w:color w:val="0B2545"/>
          <w:sz w:val="22"/>
        </w:rPr>
        <w:t xml:space="preserve">Study title: </w:t>
      </w:r>
      <w:sdt>
        <w:sdtPr>
          <w:tag w:val="STUDY_TITLE"/>
          <w:alias w:val="STUDY_TITLE"/>
          <w:text/>
        </w:sdtPr>
        <w:sdtContent>
          <w:r>
            <w:rPr>
              <w:rFonts w:ascii="Calibri" w:hAnsi="Calibri"/>
              <w:color w:val="000000"/>
              <w:sz w:val="22"/>
            </w:rPr>
            <w:t>{{STUDY_TITLE}}</w:t>
          </w:r>
        </w:sdtContent>
      </w:sdt>
    </w:p>
    <w:p>
      <w:pPr>
        <w:spacing w:after="60"/>
      </w:pPr>
      <w:r>
        <w:rPr>
          <w:rFonts w:ascii="Calibri" w:hAnsi="Calibri"/>
          <w:b/>
          <w:color w:val="0B2545"/>
          <w:sz w:val="22"/>
        </w:rPr>
        <w:t xml:space="preserve">Protocol / registry number: </w:t>
      </w:r>
      <w:sdt>
        <w:sdtPr>
          <w:tag w:val="PROTOCOL_NUMBER"/>
          <w:alias w:val="PROTOCOL_NUMBER"/>
          <w:text/>
        </w:sdtPr>
        <w:sdtContent>
          <w:r>
            <w:rPr>
              <w:rFonts w:ascii="Calibri" w:hAnsi="Calibri"/>
              <w:color w:val="000000"/>
              <w:sz w:val="22"/>
            </w:rPr>
            <w:t>{{PROTOCOL_NUMBER}}</w:t>
          </w:r>
        </w:sdtContent>
      </w:sdt>
    </w:p>
    <w:p>
      <w:pPr>
        <w:spacing w:after="60"/>
      </w:pPr>
      <w:r>
        <w:rPr>
          <w:rFonts w:ascii="Calibri" w:hAnsi="Calibri"/>
          <w:b/>
          <w:color w:val="0B2545"/>
          <w:sz w:val="22"/>
        </w:rPr>
        <w:t xml:space="preserve">Sponsor: </w:t>
      </w:r>
      <w:sdt>
        <w:sdtPr>
          <w:tag w:val="SPONSOR_NAME"/>
          <w:alias w:val="SPONSOR_NAME"/>
          <w:text/>
        </w:sdtPr>
        <w:sdtContent>
          <w:r>
            <w:rPr>
              <w:rFonts w:ascii="Calibri" w:hAnsi="Calibri"/>
              <w:color w:val="000000"/>
              <w:sz w:val="22"/>
            </w:rPr>
            <w:t>{{SPONSOR_NAME}}</w:t>
          </w:r>
        </w:sdtContent>
      </w:sdt>
    </w:p>
    <w:p>
      <w:pPr>
        <w:spacing w:after="60"/>
      </w:pPr>
      <w:r>
        <w:rPr>
          <w:rFonts w:ascii="Calibri" w:hAnsi="Calibri"/>
          <w:b/>
          <w:color w:val="0B2545"/>
          <w:sz w:val="22"/>
        </w:rPr>
        <w:t xml:space="preserve">Principal investigator: </w:t>
      </w:r>
      <w:sdt>
        <w:sdtPr>
          <w:tag w:val="PRINCIPAL_INVESTIGATOR"/>
          <w:alias w:val="PRINCIPAL_INVESTIGATOR"/>
          <w:text/>
        </w:sdtPr>
        <w:sdtContent>
          <w:r>
            <w:rPr>
              <w:rFonts w:ascii="Calibri" w:hAnsi="Calibri"/>
              <w:color w:val="000000"/>
              <w:sz w:val="22"/>
            </w:rPr>
            <w:t>{{PRINCIPAL_INVESTIGATOR}}</w:t>
          </w:r>
        </w:sdtContent>
      </w:sdt>
    </w:p>
    <w:p>
      <w:pPr>
        <w:spacing w:after="60"/>
      </w:pPr>
      <w:r>
        <w:rPr>
          <w:rFonts w:ascii="Calibri" w:hAnsi="Calibri"/>
          <w:b/>
          <w:color w:val="0B2545"/>
          <w:sz w:val="22"/>
        </w:rPr>
        <w:t xml:space="preserve">Research site: </w:t>
      </w:r>
      <w:sdt>
        <w:sdtPr>
          <w:tag w:val="RESEARCH_SITE"/>
          <w:alias w:val="RESEARCH_SITE"/>
          <w:text/>
        </w:sdtPr>
        <w:sdtContent>
          <w:r>
            <w:rPr>
              <w:rFonts w:ascii="Calibri" w:hAnsi="Calibri"/>
              <w:color w:val="000000"/>
              <w:sz w:val="22"/>
            </w:rPr>
            <w:t>{{RESEARCH_SITE}}</w:t>
          </w:r>
        </w:sdtContent>
      </w:sdt>
    </w:p>
    <w:p>
      <w:pPr>
        <w:spacing w:after="60"/>
      </w:pPr>
      <w:r>
        <w:rPr>
          <w:rFonts w:ascii="Calibri" w:hAnsi="Calibri"/>
          <w:b/>
          <w:color w:val="0B2545"/>
          <w:sz w:val="22"/>
        </w:rPr>
        <w:t xml:space="preserve">IRB / ethics committee: </w:t>
      </w:r>
      <w:sdt>
        <w:sdtPr>
          <w:tag w:val="IRB_EC_NAME_AND_NUMBER"/>
          <w:alias w:val="IRB_EC_NAME_AND_NUMBER"/>
          <w:text/>
        </w:sdtPr>
        <w:sdtContent>
          <w:r>
            <w:rPr>
              <w:rFonts w:ascii="Calibri" w:hAnsi="Calibri"/>
              <w:color w:val="000000"/>
              <w:sz w:val="22"/>
            </w:rPr>
            <w:t>{{IRB_EC_NAME_AND_NUMBER}}</w:t>
          </w:r>
        </w:sdtContent>
      </w:sdt>
    </w:p>
    <w:p>
      <w:pPr>
        <w:spacing w:after="60"/>
      </w:pPr>
      <w:r>
        <w:rPr>
          <w:rFonts w:ascii="Calibri" w:hAnsi="Calibri"/>
          <w:b/>
          <w:color w:val="0B2545"/>
          <w:sz w:val="22"/>
        </w:rPr>
        <w:t xml:space="preserve">Participant consent version: </w:t>
      </w:r>
      <w:sdt>
        <w:sdtPr>
          <w:tag w:val="PARTICIPANT_VERSION_DATE"/>
          <w:alias w:val="PARTICIPANT_VERSION_DATE"/>
          <w:text/>
        </w:sdtPr>
        <w:sdtContent>
          <w:r>
            <w:rPr>
              <w:rFonts w:ascii="Calibri" w:hAnsi="Calibri"/>
              <w:color w:val="000000"/>
              <w:sz w:val="22"/>
            </w:rPr>
            <w:t>{{PARTICIPANT_VERSION_DATE}}</w:t>
          </w:r>
        </w:sdtContent>
      </w:sdt>
    </w:p>
    <w:p>
      <w:pPr>
        <w:pStyle w:val="Heading1"/>
      </w:pPr>
      <w:r>
        <w:t>1. Key information</w:t>
      </w:r>
    </w:p>
    <w:p>
      <w:pPr>
        <w:spacing w:before="80" w:after="200" w:line="259" w:lineRule="auto"/>
        <w:ind w:left="173" w:right="115"/>
        <w:shd w:fill="EAF4F3"/>
        <w:pBdr>
          <w:left w:val="single" w:sz="16" w:space="8" w:color="1B6F6A"/>
        </w:pBdr>
        <w:keepLines/>
      </w:pPr>
      <w:r>
        <w:rPr>
          <w:rFonts w:ascii="Calibri" w:hAnsi="Calibri"/>
          <w:b/>
          <w:color w:val="1B6F6A"/>
          <w:sz w:val="22"/>
        </w:rPr>
        <w:t xml:space="preserve">Your choice. </w:t>
      </w:r>
      <w:r>
        <w:rPr>
          <w:rFonts w:ascii="Calibri" w:hAnsi="Calibri"/>
          <w:color w:val="000000"/>
          <w:sz w:val="22"/>
        </w:rPr>
        <w:t>You are being invited to join a research study. Taking part is voluntary. You may say no or stop later without penalty or loss of benefits to which you are otherwise entitled. This form is not a contract and does not ask you to give up any legal rights.</w:t>
      </w:r>
    </w:p>
    <w:p>
      <w:r>
        <w:t>The study uses a phone, tablet, computer, or other approved device to collect remote neurocognitive and behavioral research measurements. The research may include common and rare neurodegenerative conditions, including frontotemporal dementia and ALS-FTD. Depending on this study, you may complete cognitive, language, speech, eye-movement, facial-movement, gait, fine-motor, symptom, and caregiver-supported tasks.</w:t>
      </w:r>
    </w:p>
    <w:p>
      <w:r>
        <w:t>The app may collect sensitive human, health, and biometric-related data such as video of your face and eyes, audio of your voice, eye and pupil measurements, movement and gait, task responses, device interactions, and measures derived from those recordings. The exact categories used in this study are listed below.</w:t>
      </w:r>
    </w:p>
    <w:tbl>
      <w:tblPr>
        <w:tblStyle w:val="TableGrid"/>
        <w:tblW w:type="dxa" w:w="9360"/>
        <w:jc w:val="left"/>
        <w:tblLayout w:type="fixed"/>
        <w:tblLook w:firstColumn="1" w:firstRow="1" w:lastColumn="0" w:lastRow="0" w:noHBand="0" w:noVBand="1" w:val="04A0"/>
        <w:tblInd w:type="dxa" w:w="120"/>
      </w:tblPr>
      <w:tblGrid>
        <w:gridCol w:w="1872"/>
        <w:gridCol w:w="7488"/>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Key point</w:t>
            </w:r>
          </w:p>
        </w:tc>
        <w:tc>
          <w:tcPr>
            <w:tcW w:type="dxa" w:w="7488"/>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What it means for you</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Purpose</w:t>
            </w:r>
          </w:p>
        </w:tc>
        <w:tc>
          <w:tcPr>
            <w:tcW w:type="dxa" w:w="7488"/>
            <w:vAlign w:val="center"/>
            <w:tcMar>
              <w:top w:w="80" w:type="dxa"/>
              <w:bottom w:w="80" w:type="dxa"/>
              <w:start w:w="120" w:type="dxa"/>
              <w:end w:w="120" w:type="dxa"/>
            </w:tcMar>
          </w:tcPr>
          <w:p>
            <w:pPr>
              <w:spacing w:before="0" w:after="40" w:line="252" w:lineRule="auto"/>
            </w:pPr>
            <w:r/>
            <w:sdt>
              <w:sdtPr>
                <w:tag w:val="KEY_PURPOSE_PLAIN_LANGUAGE"/>
                <w:alias w:val="KEY_PURPOSE_PLAIN_LANGUAGE"/>
                <w:text/>
              </w:sdtPr>
              <w:sdtContent>
                <w:r>
                  <w:rPr>
                    <w:rFonts w:ascii="Calibri" w:hAnsi="Calibri"/>
                    <w:b w:val="0"/>
                    <w:color w:val="000000"/>
                    <w:sz w:val="18"/>
                  </w:rPr>
                  <w:t>{{KEY_PURPOSE_PLAIN_LANGUAGE}}</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What you will do</w:t>
            </w:r>
          </w:p>
        </w:tc>
        <w:tc>
          <w:tcPr>
            <w:tcW w:type="dxa" w:w="7488"/>
            <w:vAlign w:val="center"/>
            <w:tcMar>
              <w:top w:w="80" w:type="dxa"/>
              <w:bottom w:w="80" w:type="dxa"/>
              <w:start w:w="120" w:type="dxa"/>
              <w:end w:w="120" w:type="dxa"/>
            </w:tcMar>
          </w:tcPr>
          <w:p>
            <w:pPr>
              <w:spacing w:before="0" w:after="40" w:line="252" w:lineRule="auto"/>
            </w:pPr>
            <w:r/>
            <w:sdt>
              <w:sdtPr>
                <w:tag w:val="KEY_PROCEDURES_AND_FREQUENCY"/>
                <w:alias w:val="KEY_PROCEDURES_AND_FREQUENCY"/>
                <w:text/>
              </w:sdtPr>
              <w:sdtContent>
                <w:r>
                  <w:rPr>
                    <w:rFonts w:ascii="Calibri" w:hAnsi="Calibri"/>
                    <w:b w:val="0"/>
                    <w:color w:val="000000"/>
                    <w:sz w:val="18"/>
                  </w:rPr>
                  <w:t>{{KEY_PROCEDURES_AND_FREQUENCY}}</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Time commitment</w:t>
            </w:r>
          </w:p>
        </w:tc>
        <w:tc>
          <w:tcPr>
            <w:tcW w:type="dxa" w:w="7488"/>
            <w:vAlign w:val="center"/>
            <w:tcMar>
              <w:top w:w="80" w:type="dxa"/>
              <w:bottom w:w="80" w:type="dxa"/>
              <w:start w:w="120" w:type="dxa"/>
              <w:end w:w="120" w:type="dxa"/>
            </w:tcMar>
          </w:tcPr>
          <w:p>
            <w:pPr>
              <w:spacing w:before="0" w:after="40" w:line="252" w:lineRule="auto"/>
            </w:pPr>
            <w:r/>
            <w:sdt>
              <w:sdtPr>
                <w:tag w:val="KEY_DURATION"/>
                <w:alias w:val="KEY_DURATION"/>
                <w:text/>
              </w:sdtPr>
              <w:sdtContent>
                <w:r>
                  <w:rPr>
                    <w:rFonts w:ascii="Calibri" w:hAnsi="Calibri"/>
                    <w:b w:val="0"/>
                    <w:color w:val="000000"/>
                    <w:sz w:val="18"/>
                  </w:rPr>
                  <w:t>{{KEY_DURATION}}</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Main risks</w:t>
            </w:r>
          </w:p>
        </w:tc>
        <w:tc>
          <w:tcPr>
            <w:tcW w:type="dxa" w:w="7488"/>
            <w:vAlign w:val="center"/>
            <w:tcMar>
              <w:top w:w="80" w:type="dxa"/>
              <w:bottom w:w="80" w:type="dxa"/>
              <w:start w:w="120" w:type="dxa"/>
              <w:end w:w="120" w:type="dxa"/>
            </w:tcMar>
          </w:tcPr>
          <w:p>
            <w:pPr>
              <w:spacing w:before="0" w:after="40" w:line="252" w:lineRule="auto"/>
            </w:pPr>
            <w:r/>
            <w:r>
              <w:rPr>
                <w:rFonts w:ascii="Calibri" w:hAnsi="Calibri"/>
                <w:b w:val="0"/>
                <w:color w:val="000000"/>
                <w:sz w:val="18"/>
              </w:rPr>
              <w:t>Privacy or data breach; re-identification; emotional discomfort or fatigue; inaccurate or biased research outputs; and task-specific physical risks described below.</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Direct benefit</w:t>
            </w:r>
          </w:p>
        </w:tc>
        <w:tc>
          <w:tcPr>
            <w:tcW w:type="dxa" w:w="7488"/>
            <w:vAlign w:val="center"/>
            <w:tcMar>
              <w:top w:w="80" w:type="dxa"/>
              <w:bottom w:w="80" w:type="dxa"/>
              <w:start w:w="120" w:type="dxa"/>
              <w:end w:w="120" w:type="dxa"/>
            </w:tcMar>
          </w:tcPr>
          <w:p>
            <w:pPr>
              <w:spacing w:before="0" w:after="40" w:line="252" w:lineRule="auto"/>
            </w:pPr>
            <w:r/>
            <w:sdt>
              <w:sdtPr>
                <w:tag w:val="DIRECT_BENEFIT_STATEMENT"/>
                <w:alias w:val="DIRECT_BENEFIT_STATEMENT"/>
                <w:text/>
              </w:sdtPr>
              <w:sdtContent>
                <w:r>
                  <w:rPr>
                    <w:rFonts w:ascii="Calibri" w:hAnsi="Calibri"/>
                    <w:b w:val="0"/>
                    <w:color w:val="000000"/>
                    <w:sz w:val="18"/>
                  </w:rPr>
                  <w:t>{{DIRECT_BENEFIT_STATEMENT}}</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Payment/cost</w:t>
            </w:r>
          </w:p>
        </w:tc>
        <w:tc>
          <w:tcPr>
            <w:tcW w:type="dxa" w:w="7488"/>
            <w:vAlign w:val="center"/>
            <w:tcMar>
              <w:top w:w="80" w:type="dxa"/>
              <w:bottom w:w="80" w:type="dxa"/>
              <w:start w:w="120" w:type="dxa"/>
              <w:end w:w="120" w:type="dxa"/>
            </w:tcMar>
          </w:tcPr>
          <w:p>
            <w:pPr>
              <w:spacing w:before="0" w:after="40" w:line="252" w:lineRule="auto"/>
            </w:pPr>
            <w:r/>
            <w:sdt>
              <w:sdtPr>
                <w:tag w:val="PAYMENT_AND_COST_SUMMARY"/>
                <w:alias w:val="PAYMENT_AND_COST_SUMMARY"/>
                <w:text/>
              </w:sdtPr>
              <w:sdtContent>
                <w:r>
                  <w:rPr>
                    <w:rFonts w:ascii="Calibri" w:hAnsi="Calibri"/>
                    <w:b w:val="0"/>
                    <w:color w:val="000000"/>
                    <w:sz w:val="18"/>
                  </w:rPr>
                  <w:t>{{PAYMENT_AND_COST_SUMMARY}}</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Results</w:t>
            </w:r>
          </w:p>
        </w:tc>
        <w:tc>
          <w:tcPr>
            <w:tcW w:type="dxa" w:w="7488"/>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Research only. The app is not continuously monitored, is not an emergency service, and does not diagnose dementia, ALS-FTD, or another condition.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8"/>
              </w:rPr>
              <w:t>Data location</w:t>
            </w:r>
          </w:p>
        </w:tc>
        <w:tc>
          <w:tcPr>
            <w:tcW w:type="dxa" w:w="7488"/>
            <w:vAlign w:val="center"/>
            <w:tcMar>
              <w:top w:w="80" w:type="dxa"/>
              <w:bottom w:w="80" w:type="dxa"/>
              <w:start w:w="120" w:type="dxa"/>
              <w:end w:w="120" w:type="dxa"/>
            </w:tcMar>
          </w:tcPr>
          <w:p>
            <w:pPr>
              <w:spacing w:before="0" w:after="40" w:line="252" w:lineRule="auto"/>
            </w:pPr>
            <w:r/>
            <w:r>
              <w:rPr>
                <w:rFonts w:ascii="Calibri" w:hAnsi="Calibri"/>
                <w:b w:val="0"/>
                <w:color w:val="000000"/>
                <w:sz w:val="18"/>
              </w:rPr>
              <w:t>You will see the exact repository or repositories available for this study and what each will receive. Storage, access, research use, sharing, and international transfer are separate decisions.</w:t>
            </w:r>
          </w:p>
        </w:tc>
      </w:tr>
    </w:tbl>
    <w:p>
      <w:pPr>
        <w:spacing w:after="40"/>
      </w:pPr>
    </w:p>
    <w:p>
      <w:pPr>
        <w:spacing w:before="80" w:after="200" w:line="259" w:lineRule="auto"/>
        <w:ind w:left="173" w:right="115"/>
        <w:shd w:fill="F4F6F9"/>
        <w:pBdr>
          <w:left w:val="single" w:sz="16" w:space="8" w:color="2E74B5"/>
        </w:pBdr>
        <w:keepLines/>
      </w:pPr>
      <w:r>
        <w:rPr>
          <w:rFonts w:ascii="Calibri" w:hAnsi="Calibri"/>
          <w:b/>
          <w:color w:val="2E74B5"/>
          <w:sz w:val="22"/>
        </w:rPr>
        <w:t xml:space="preserve">Important. </w:t>
      </w:r>
      <w:r>
        <w:rPr>
          <w:rFonts w:ascii="Calibri" w:hAnsi="Calibri"/>
          <w:color w:val="000000"/>
          <w:sz w:val="22"/>
        </w:rPr>
        <w:t>The NeuroAgent AI software may be open source. Open-source code does not make your data open. Your recordings, measurements, contact information, consent record, repository credentials, and research data will not be included in the public software repository.</w:t>
      </w:r>
    </w:p>
    <w:p>
      <w:pPr>
        <w:pStyle w:val="Heading1"/>
      </w:pPr>
      <w:r>
        <w:t>2. Why is this research being done?</w:t>
      </w:r>
    </w:p>
    <w:p>
      <w:sdt>
        <w:sdtPr>
          <w:tag w:val="FULL_STUDY_PURPOSE"/>
          <w:alias w:val="FULL_STUDY_PURPOSE"/>
          <w:text/>
        </w:sdtPr>
        <w:sdtContent>
          <w:r>
            <w:t>{{FULL_STUDY_PURPOSE}}</w:t>
          </w:r>
        </w:sdtContent>
      </w:sdt>
    </w:p>
    <w:p>
      <w:r>
        <w:t>This platform is designed to support remote, longitudinal research across devices and locations, with particular attention to rare and underrepresented dementias. ALS-FTD research requires special care because speech or movement changes caused by ALS can affect test performance even when cognition is unchanged. The study will use the accommodations and analysis plan described in the protocol to reduce this confounding.</w:t>
      </w:r>
    </w:p>
    <w:p>
      <w:pPr>
        <w:pStyle w:val="Heading1"/>
      </w:pPr>
      <w:r>
        <w:t>3. Why am I being invited?</w:t>
      </w:r>
    </w:p>
    <w:p>
      <w:sdt>
        <w:sdtPr>
          <w:tag w:val="ELIGIBILITY_AND_RECRUITMENT_REASON"/>
          <w:alias w:val="ELIGIBILITY_AND_RECRUITMENT_REASON"/>
          <w:text/>
        </w:sdtPr>
        <w:sdtContent>
          <w:r>
            <w:t>{{ELIGIBILITY_AND_RECRUITMENT_REASON}}</w:t>
          </w:r>
        </w:sdtContent>
      </w:sdt>
    </w:p>
    <w:p>
      <w:pPr>
        <w:spacing w:after="60"/>
      </w:pPr>
      <w:r>
        <w:rPr>
          <w:rFonts w:ascii="Calibri" w:hAnsi="Calibri"/>
          <w:b/>
          <w:color w:val="0B2545"/>
          <w:sz w:val="22"/>
        </w:rPr>
        <w:t xml:space="preserve">Approximate number of participants: </w:t>
      </w:r>
      <w:sdt>
        <w:sdtPr>
          <w:tag w:val="APPROXIMATE_NUMBER_OF_PARTICIPANTS"/>
          <w:alias w:val="APPROXIMATE_NUMBER_OF_PARTICIPANTS"/>
          <w:text/>
        </w:sdtPr>
        <w:sdtContent>
          <w:r>
            <w:rPr>
              <w:rFonts w:ascii="Calibri" w:hAnsi="Calibri"/>
              <w:color w:val="000000"/>
              <w:sz w:val="22"/>
            </w:rPr>
            <w:t>{{APPROXIMATE_NUMBER_OF_PARTICIPANTS}}</w:t>
          </w:r>
        </w:sdtContent>
      </w:sdt>
    </w:p>
    <w:p>
      <w:pPr>
        <w:pStyle w:val="Heading1"/>
      </w:pPr>
      <w:r>
        <w:t>4. What will happen if I participate?</w:t>
      </w:r>
    </w:p>
    <w:p>
      <w:pPr>
        <w:numPr>
          <w:ilvl w:val="0"/>
          <w:numId w:val="12"/>
        </w:numPr>
        <w:spacing w:after="160" w:line="280" w:lineRule="auto"/>
      </w:pPr>
      <w:r>
        <w:t>Consent and comprehension. You will review this information, have a chance to ask questions, and complete any study-approved understanding check. Accessible formats and communication support are available.</w:t>
      </w:r>
    </w:p>
    <w:p>
      <w:pPr>
        <w:numPr>
          <w:ilvl w:val="0"/>
          <w:numId w:val="12"/>
        </w:numPr>
        <w:spacing w:after="160" w:line="280" w:lineRule="auto"/>
      </w:pPr>
      <w:r>
        <w:t>Remote setup. The app will check whether the device, camera, microphone, screen, connection, lighting, and task environment meet the study requirements. Technical checks collect only the data described in this form.</w:t>
      </w:r>
    </w:p>
    <w:p>
      <w:pPr>
        <w:numPr>
          <w:ilvl w:val="0"/>
          <w:numId w:val="12"/>
        </w:numPr>
        <w:spacing w:after="160" w:line="280" w:lineRule="auto"/>
      </w:pPr>
      <w:r>
        <w:t>Research tasks. You will complete only the modules marked as active in the Study Data Schedule below. You may pause. Optional tasks may be skipped without losing access to the core study.</w:t>
      </w:r>
    </w:p>
    <w:p>
      <w:pPr>
        <w:numPr>
          <w:ilvl w:val="0"/>
          <w:numId w:val="12"/>
        </w:numPr>
        <w:spacing w:after="160" w:line="280" w:lineRule="auto"/>
      </w:pPr>
      <w:r>
        <w:t xml:space="preserve">Follow-up. The study may invite you to repeat tasks to measure change over time. Frequency and total duration are </w:t>
      </w:r>
      <w:sdt>
        <w:sdtPr>
          <w:tag w:val="FOLLOW_UP_SCHEDULE"/>
          <w:alias w:val="FOLLOW_UP_SCHEDULE"/>
          <w:text/>
        </w:sdtPr>
        <w:sdtContent>
          <w:r>
            <w:t>{{FOLLOW_UP_SCHEDULE}}</w:t>
          </w:r>
        </w:sdtContent>
      </w:sdt>
      <w:r>
        <w:t>.</w:t>
      </w:r>
    </w:p>
    <w:p>
      <w:pPr>
        <w:numPr>
          <w:ilvl w:val="0"/>
          <w:numId w:val="12"/>
        </w:numPr>
        <w:spacing w:after="160" w:line="280" w:lineRule="auto"/>
      </w:pPr>
      <w:r>
        <w:t>Caregiver or study partner. If required, that person will receive a separate information and consent form for the data they provide about themselves and about you.</w:t>
      </w:r>
    </w:p>
    <w:p>
      <w:pPr>
        <w:numPr>
          <w:ilvl w:val="0"/>
          <w:numId w:val="12"/>
        </w:numPr>
        <w:spacing w:after="160" w:line="280" w:lineRule="auto"/>
      </w:pPr>
      <w:r>
        <w:t>Human review and data quality. Approved researchers may review recordings or signals for quality and protocol compliance. Any clinical or safety review is limited to the process specifically described in this form.</w:t>
      </w:r>
    </w:p>
    <w:p>
      <w:pPr>
        <w:pStyle w:val="Heading2"/>
      </w:pPr>
      <w:r>
        <w:t>Accessible participation</w:t>
      </w:r>
    </w:p>
    <w:p>
      <w:r>
        <w:t xml:space="preserve">A speech, motor, vision, hearing, literacy, language, or technology limitation does not by itself mean that a person cannot consent or participate. The study may offer large text, audio presentation, extra time, alternative input, eye-gaze or switch access, augmentative and alternative communication, interpreter support, or a trusted support person. Required accommodations: </w:t>
      </w:r>
      <w:sdt>
        <w:sdtPr>
          <w:tag w:val="ACCESSIBILITY_PLAN"/>
          <w:alias w:val="ACCESSIBILITY_PLAN"/>
          <w:text/>
        </w:sdtPr>
        <w:sdtContent>
          <w:r>
            <w:t>{{ACCESSIBILITY_PLAN}}</w:t>
          </w:r>
        </w:sdtContent>
      </w:sdt>
      <w:r>
        <w:t>.</w:t>
      </w:r>
    </w:p>
    <w:p>
      <w:pPr>
        <w:pStyle w:val="Heading1"/>
      </w:pPr>
      <w:r>
        <w:t>5. What data will be collected?</w:t>
      </w:r>
    </w:p>
    <w:tbl>
      <w:tblPr>
        <w:tblStyle w:val="TableGrid"/>
        <w:tblW w:type="dxa" w:w="9360"/>
        <w:jc w:val="left"/>
        <w:tblLayout w:type="fixed"/>
        <w:tblLook w:firstColumn="1" w:firstRow="1" w:lastColumn="0" w:lastRow="0" w:noHBand="0" w:noVBand="1" w:val="04A0"/>
        <w:tblInd w:type="dxa" w:w="120"/>
      </w:tblPr>
      <w:tblGrid>
        <w:gridCol w:w="1872"/>
        <w:gridCol w:w="3931"/>
        <w:gridCol w:w="1872"/>
        <w:gridCol w:w="1685"/>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Data category</w:t>
            </w:r>
          </w:p>
        </w:tc>
        <w:tc>
          <w:tcPr>
            <w:tcW w:type="dxa" w:w="3931"/>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Examples</w:t>
            </w:r>
          </w:p>
        </w:tc>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Study status</w:t>
            </w:r>
          </w:p>
        </w:tc>
        <w:tc>
          <w:tcPr>
            <w:tcW w:type="dxa" w:w="1685"/>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Raw data retained?</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Identity and contact</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Name, date of birth/age, contact details, participant ID, consent record, jurisdiction.</w:t>
            </w:r>
          </w:p>
        </w:tc>
        <w:tc>
          <w:tcPr>
            <w:tcW w:type="dxa" w:w="1872"/>
            <w:vAlign w:val="center"/>
            <w:tcMar>
              <w:top w:w="80" w:type="dxa"/>
              <w:bottom w:w="80" w:type="dxa"/>
              <w:start w:w="120" w:type="dxa"/>
              <w:end w:w="120" w:type="dxa"/>
            </w:tcMar>
          </w:tcPr>
          <w:p>
            <w:pPr>
              <w:spacing w:before="0" w:after="40" w:line="252" w:lineRule="auto"/>
            </w:pPr>
            <w:r/>
            <w:sdt>
              <w:sdtPr>
                <w:tag w:val="IDENTITY_DATA_STATUS"/>
                <w:alias w:val="IDENTITY_DATA_STATUS"/>
                <w:text/>
              </w:sdtPr>
              <w:sdtContent>
                <w:r>
                  <w:rPr>
                    <w:rFonts w:ascii="Calibri" w:hAnsi="Calibri"/>
                    <w:b w:val="0"/>
                    <w:color w:val="000000"/>
                    <w:sz w:val="17"/>
                  </w:rPr>
                  <w:t>{{IDENTITY_DATA_STATUS}}</w:t>
                </w:r>
              </w:sdtContent>
            </w:sdt>
          </w:p>
        </w:tc>
        <w:tc>
          <w:tcPr>
            <w:tcW w:type="dxa" w:w="1685"/>
            <w:vAlign w:val="center"/>
            <w:tcMar>
              <w:top w:w="80" w:type="dxa"/>
              <w:bottom w:w="80" w:type="dxa"/>
              <w:start w:w="120" w:type="dxa"/>
              <w:end w:w="120" w:type="dxa"/>
            </w:tcMar>
          </w:tcPr>
          <w:p>
            <w:pPr>
              <w:spacing w:before="0" w:after="40" w:line="252" w:lineRule="auto"/>
            </w:pPr>
            <w:r/>
            <w:sdt>
              <w:sdtPr>
                <w:tag w:val="IDENTITY_RETENTION_STATUS"/>
                <w:alias w:val="IDENTITY_RETENTION_STATUS"/>
                <w:text/>
              </w:sdtPr>
              <w:sdtContent>
                <w:r>
                  <w:rPr>
                    <w:rFonts w:ascii="Calibri" w:hAnsi="Calibri"/>
                    <w:b w:val="0"/>
                    <w:color w:val="000000"/>
                    <w:sz w:val="17"/>
                  </w:rPr>
                  <w:t>{{IDENTITY_RETENTION_STATUS}}</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Health and research</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Symptoms, history, diagnosis reported by you/site, medicines, function, cognition, behavior, mood, task answers.</w:t>
            </w:r>
          </w:p>
        </w:tc>
        <w:tc>
          <w:tcPr>
            <w:tcW w:type="dxa" w:w="1872"/>
            <w:vAlign w:val="center"/>
            <w:tcMar>
              <w:top w:w="80" w:type="dxa"/>
              <w:bottom w:w="80" w:type="dxa"/>
              <w:start w:w="120" w:type="dxa"/>
              <w:end w:w="120" w:type="dxa"/>
            </w:tcMar>
          </w:tcPr>
          <w:p>
            <w:pPr>
              <w:spacing w:before="0" w:after="40" w:line="252" w:lineRule="auto"/>
            </w:pPr>
            <w:r/>
            <w:sdt>
              <w:sdtPr>
                <w:tag w:val="HEALTH_DATA_STATUS"/>
                <w:alias w:val="HEALTH_DATA_STATUS"/>
                <w:text/>
              </w:sdtPr>
              <w:sdtContent>
                <w:r>
                  <w:rPr>
                    <w:rFonts w:ascii="Calibri" w:hAnsi="Calibri"/>
                    <w:b w:val="0"/>
                    <w:color w:val="000000"/>
                    <w:sz w:val="17"/>
                  </w:rPr>
                  <w:t>{{HEALTH_DATA_STATUS}}</w:t>
                </w:r>
              </w:sdtContent>
            </w:sdt>
          </w:p>
        </w:tc>
        <w:tc>
          <w:tcPr>
            <w:tcW w:type="dxa" w:w="1685"/>
            <w:vAlign w:val="center"/>
            <w:tcMar>
              <w:top w:w="80" w:type="dxa"/>
              <w:bottom w:w="80" w:type="dxa"/>
              <w:start w:w="120" w:type="dxa"/>
              <w:end w:w="120" w:type="dxa"/>
            </w:tcMar>
          </w:tcPr>
          <w:p>
            <w:pPr>
              <w:spacing w:before="0" w:after="40" w:line="252" w:lineRule="auto"/>
            </w:pPr>
            <w:r/>
            <w:r>
              <w:rPr>
                <w:rFonts w:ascii="Calibri" w:hAnsi="Calibri"/>
                <w:b w:val="0"/>
                <w:color w:val="000000"/>
                <w:sz w:val="17"/>
              </w:rPr>
              <w:t>N/A</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Video and images</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Face, eyes, pupils, head position, body movement, walking environment, task screen capture if enabled.</w:t>
            </w:r>
          </w:p>
        </w:tc>
        <w:tc>
          <w:tcPr>
            <w:tcW w:type="dxa" w:w="1872"/>
            <w:vAlign w:val="center"/>
            <w:tcMar>
              <w:top w:w="80" w:type="dxa"/>
              <w:bottom w:w="80" w:type="dxa"/>
              <w:start w:w="120" w:type="dxa"/>
              <w:end w:w="120" w:type="dxa"/>
            </w:tcMar>
          </w:tcPr>
          <w:p>
            <w:pPr>
              <w:spacing w:before="0" w:after="40" w:line="252" w:lineRule="auto"/>
            </w:pPr>
            <w:r/>
            <w:sdt>
              <w:sdtPr>
                <w:tag w:val="VIDEO_DATA_STATUS"/>
                <w:alias w:val="VIDEO_DATA_STATUS"/>
                <w:text/>
              </w:sdtPr>
              <w:sdtContent>
                <w:r>
                  <w:rPr>
                    <w:rFonts w:ascii="Calibri" w:hAnsi="Calibri"/>
                    <w:b w:val="0"/>
                    <w:color w:val="000000"/>
                    <w:sz w:val="17"/>
                  </w:rPr>
                  <w:t>{{VIDEO_DATA_STATUS}}</w:t>
                </w:r>
              </w:sdtContent>
            </w:sdt>
          </w:p>
        </w:tc>
        <w:tc>
          <w:tcPr>
            <w:tcW w:type="dxa" w:w="1685"/>
            <w:vAlign w:val="center"/>
            <w:tcMar>
              <w:top w:w="80" w:type="dxa"/>
              <w:bottom w:w="80" w:type="dxa"/>
              <w:start w:w="120" w:type="dxa"/>
              <w:end w:w="120" w:type="dxa"/>
            </w:tcMar>
          </w:tcPr>
          <w:p>
            <w:pPr>
              <w:spacing w:before="0" w:after="40" w:line="252" w:lineRule="auto"/>
            </w:pPr>
            <w:r/>
            <w:sdt>
              <w:sdtPr>
                <w:tag w:val="VIDEO_RAW_RETENTION"/>
                <w:alias w:val="VIDEO_RAW_RETENTION"/>
                <w:text/>
              </w:sdtPr>
              <w:sdtContent>
                <w:r>
                  <w:rPr>
                    <w:rFonts w:ascii="Calibri" w:hAnsi="Calibri"/>
                    <w:b w:val="0"/>
                    <w:color w:val="000000"/>
                    <w:sz w:val="17"/>
                  </w:rPr>
                  <w:t>{{VIDEO_RAW_RETENTION}}</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Audio and language</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Voice, speech, language samples, breathing or other task sounds, transcripts.</w:t>
            </w:r>
          </w:p>
        </w:tc>
        <w:tc>
          <w:tcPr>
            <w:tcW w:type="dxa" w:w="1872"/>
            <w:vAlign w:val="center"/>
            <w:tcMar>
              <w:top w:w="80" w:type="dxa"/>
              <w:bottom w:w="80" w:type="dxa"/>
              <w:start w:w="120" w:type="dxa"/>
              <w:end w:w="120" w:type="dxa"/>
            </w:tcMar>
          </w:tcPr>
          <w:p>
            <w:pPr>
              <w:spacing w:before="0" w:after="40" w:line="252" w:lineRule="auto"/>
            </w:pPr>
            <w:r/>
            <w:sdt>
              <w:sdtPr>
                <w:tag w:val="AUDIO_DATA_STATUS"/>
                <w:alias w:val="AUDIO_DATA_STATUS"/>
                <w:text/>
              </w:sdtPr>
              <w:sdtContent>
                <w:r>
                  <w:rPr>
                    <w:rFonts w:ascii="Calibri" w:hAnsi="Calibri"/>
                    <w:b w:val="0"/>
                    <w:color w:val="000000"/>
                    <w:sz w:val="17"/>
                  </w:rPr>
                  <w:t>{{AUDIO_DATA_STATUS}}</w:t>
                </w:r>
              </w:sdtContent>
            </w:sdt>
          </w:p>
        </w:tc>
        <w:tc>
          <w:tcPr>
            <w:tcW w:type="dxa" w:w="1685"/>
            <w:vAlign w:val="center"/>
            <w:tcMar>
              <w:top w:w="80" w:type="dxa"/>
              <w:bottom w:w="80" w:type="dxa"/>
              <w:start w:w="120" w:type="dxa"/>
              <w:end w:w="120" w:type="dxa"/>
            </w:tcMar>
          </w:tcPr>
          <w:p>
            <w:pPr>
              <w:spacing w:before="0" w:after="40" w:line="252" w:lineRule="auto"/>
            </w:pPr>
            <w:r/>
            <w:sdt>
              <w:sdtPr>
                <w:tag w:val="AUDIO_RAW_RETENTION"/>
                <w:alias w:val="AUDIO_RAW_RETENTION"/>
                <w:text/>
              </w:sdtPr>
              <w:sdtContent>
                <w:r>
                  <w:rPr>
                    <w:rFonts w:ascii="Calibri" w:hAnsi="Calibri"/>
                    <w:b w:val="0"/>
                    <w:color w:val="000000"/>
                    <w:sz w:val="17"/>
                  </w:rPr>
                  <w:t>{{AUDIO_RAW_RETENTION}}</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Derived human signals</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Eye movement, gaze, pupil, facial movement, head pose, gait, balance, tapping, typing, speech, language, and cognitive features.</w:t>
            </w:r>
          </w:p>
        </w:tc>
        <w:tc>
          <w:tcPr>
            <w:tcW w:type="dxa" w:w="1872"/>
            <w:vAlign w:val="center"/>
            <w:tcMar>
              <w:top w:w="80" w:type="dxa"/>
              <w:bottom w:w="80" w:type="dxa"/>
              <w:start w:w="120" w:type="dxa"/>
              <w:end w:w="120" w:type="dxa"/>
            </w:tcMar>
          </w:tcPr>
          <w:p>
            <w:pPr>
              <w:spacing w:before="0" w:after="40" w:line="252" w:lineRule="auto"/>
            </w:pPr>
            <w:r/>
            <w:sdt>
              <w:sdtPr>
                <w:tag w:val="DERIVED_SIGNAL_STATUS"/>
                <w:alias w:val="DERIVED_SIGNAL_STATUS"/>
                <w:text/>
              </w:sdtPr>
              <w:sdtContent>
                <w:r>
                  <w:rPr>
                    <w:rFonts w:ascii="Calibri" w:hAnsi="Calibri"/>
                    <w:b w:val="0"/>
                    <w:color w:val="000000"/>
                    <w:sz w:val="17"/>
                  </w:rPr>
                  <w:t>{{DERIVED_SIGNAL_STATUS}}</w:t>
                </w:r>
              </w:sdtContent>
            </w:sdt>
          </w:p>
        </w:tc>
        <w:tc>
          <w:tcPr>
            <w:tcW w:type="dxa" w:w="1685"/>
            <w:vAlign w:val="center"/>
            <w:tcMar>
              <w:top w:w="80" w:type="dxa"/>
              <w:bottom w:w="80" w:type="dxa"/>
              <w:start w:w="120" w:type="dxa"/>
              <w:end w:w="120" w:type="dxa"/>
            </w:tcMar>
          </w:tcPr>
          <w:p>
            <w:pPr>
              <w:spacing w:before="0" w:after="40" w:line="252" w:lineRule="auto"/>
            </w:pPr>
            <w:r/>
            <w:r>
              <w:rPr>
                <w:rFonts w:ascii="Calibri" w:hAnsi="Calibri"/>
                <w:b w:val="0"/>
                <w:color w:val="000000"/>
                <w:sz w:val="17"/>
              </w:rPr>
              <w:t>Derived values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Device and technical</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Device/browser type, operating system, sensor settings, timestamps, quality metrics, network diagnostics, security logs. No precise location unless separately listed.</w:t>
            </w:r>
          </w:p>
        </w:tc>
        <w:tc>
          <w:tcPr>
            <w:tcW w:type="dxa" w:w="1872"/>
            <w:vAlign w:val="center"/>
            <w:tcMar>
              <w:top w:w="80" w:type="dxa"/>
              <w:bottom w:w="80" w:type="dxa"/>
              <w:start w:w="120" w:type="dxa"/>
              <w:end w:w="120" w:type="dxa"/>
            </w:tcMar>
          </w:tcPr>
          <w:p>
            <w:pPr>
              <w:spacing w:before="0" w:after="40" w:line="252" w:lineRule="auto"/>
            </w:pPr>
            <w:r/>
            <w:sdt>
              <w:sdtPr>
                <w:tag w:val="DEVICE_DATA_STATUS"/>
                <w:alias w:val="DEVICE_DATA_STATUS"/>
                <w:text/>
              </w:sdtPr>
              <w:sdtContent>
                <w:r>
                  <w:rPr>
                    <w:rFonts w:ascii="Calibri" w:hAnsi="Calibri"/>
                    <w:b w:val="0"/>
                    <w:color w:val="000000"/>
                    <w:sz w:val="17"/>
                  </w:rPr>
                  <w:t>{{DEVICE_DATA_STATUS}}</w:t>
                </w:r>
              </w:sdtContent>
            </w:sdt>
          </w:p>
        </w:tc>
        <w:tc>
          <w:tcPr>
            <w:tcW w:type="dxa" w:w="1685"/>
            <w:vAlign w:val="center"/>
            <w:tcMar>
              <w:top w:w="80" w:type="dxa"/>
              <w:bottom w:w="80" w:type="dxa"/>
              <w:start w:w="120" w:type="dxa"/>
              <w:end w:w="120" w:type="dxa"/>
            </w:tcMar>
          </w:tcPr>
          <w:p>
            <w:pPr>
              <w:spacing w:before="0" w:after="40" w:line="252" w:lineRule="auto"/>
            </w:pPr>
            <w:r/>
            <w:sdt>
              <w:sdtPr>
                <w:tag w:val="DEVICE_DATA_RETENTION"/>
                <w:alias w:val="DEVICE_DATA_RETENTION"/>
                <w:text/>
              </w:sdtPr>
              <w:sdtContent>
                <w:r>
                  <w:rPr>
                    <w:rFonts w:ascii="Calibri" w:hAnsi="Calibri"/>
                    <w:b w:val="0"/>
                    <w:color w:val="000000"/>
                    <w:sz w:val="17"/>
                  </w:rPr>
                  <w:t>{{DEVICE_DATA_RETENTION}}</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Linked or optional</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Wearable data, medical records, imaging, laboratory, genetic, or other research data only if a separate active module authorizes it.</w:t>
            </w:r>
          </w:p>
        </w:tc>
        <w:tc>
          <w:tcPr>
            <w:tcW w:type="dxa" w:w="1872"/>
            <w:vAlign w:val="center"/>
            <w:tcMar>
              <w:top w:w="80" w:type="dxa"/>
              <w:bottom w:w="80" w:type="dxa"/>
              <w:start w:w="120" w:type="dxa"/>
              <w:end w:w="120" w:type="dxa"/>
            </w:tcMar>
          </w:tcPr>
          <w:p>
            <w:pPr>
              <w:spacing w:before="0" w:after="40" w:line="252" w:lineRule="auto"/>
            </w:pPr>
            <w:r/>
            <w:sdt>
              <w:sdtPr>
                <w:tag w:val="LINKED_DATA_STATUS"/>
                <w:alias w:val="LINKED_DATA_STATUS"/>
                <w:text/>
              </w:sdtPr>
              <w:sdtContent>
                <w:r>
                  <w:rPr>
                    <w:rFonts w:ascii="Calibri" w:hAnsi="Calibri"/>
                    <w:b w:val="0"/>
                    <w:color w:val="000000"/>
                    <w:sz w:val="17"/>
                  </w:rPr>
                  <w:t>{{LINKED_DATA_STATUS}}</w:t>
                </w:r>
              </w:sdtContent>
            </w:sdt>
          </w:p>
        </w:tc>
        <w:tc>
          <w:tcPr>
            <w:tcW w:type="dxa" w:w="1685"/>
            <w:vAlign w:val="center"/>
            <w:tcMar>
              <w:top w:w="80" w:type="dxa"/>
              <w:bottom w:w="80" w:type="dxa"/>
              <w:start w:w="120" w:type="dxa"/>
              <w:end w:w="120" w:type="dxa"/>
            </w:tcMar>
          </w:tcPr>
          <w:p>
            <w:pPr>
              <w:spacing w:before="0" w:after="40" w:line="252" w:lineRule="auto"/>
            </w:pPr>
            <w:r/>
            <w:sdt>
              <w:sdtPr>
                <w:tag w:val="LINKED_DATA_RETENTION"/>
                <w:alias w:val="LINKED_DATA_RETENTION"/>
                <w:text/>
              </w:sdtPr>
              <w:sdtContent>
                <w:r>
                  <w:rPr>
                    <w:rFonts w:ascii="Calibri" w:hAnsi="Calibri"/>
                    <w:b w:val="0"/>
                    <w:color w:val="000000"/>
                    <w:sz w:val="17"/>
                  </w:rPr>
                  <w:t>{{LINKED_DATA_RETENTION}}</w:t>
                </w:r>
              </w:sdtContent>
            </w:sdt>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Caregiver/study partner</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7"/>
              </w:rPr>
              <w:t>Their identity/contact details, observations, questionnaires, and any audio/video captured from them.</w:t>
            </w:r>
          </w:p>
        </w:tc>
        <w:tc>
          <w:tcPr>
            <w:tcW w:type="dxa" w:w="1872"/>
            <w:vAlign w:val="center"/>
            <w:tcMar>
              <w:top w:w="80" w:type="dxa"/>
              <w:bottom w:w="80" w:type="dxa"/>
              <w:start w:w="120" w:type="dxa"/>
              <w:end w:w="120" w:type="dxa"/>
            </w:tcMar>
          </w:tcPr>
          <w:p>
            <w:pPr>
              <w:spacing w:before="0" w:after="40" w:line="252" w:lineRule="auto"/>
            </w:pPr>
            <w:r/>
            <w:sdt>
              <w:sdtPr>
                <w:tag w:val="STUDY_PARTNER_DATA_STATUS"/>
                <w:alias w:val="STUDY_PARTNER_DATA_STATUS"/>
                <w:text/>
              </w:sdtPr>
              <w:sdtContent>
                <w:r>
                  <w:rPr>
                    <w:rFonts w:ascii="Calibri" w:hAnsi="Calibri"/>
                    <w:b w:val="0"/>
                    <w:color w:val="000000"/>
                    <w:sz w:val="17"/>
                  </w:rPr>
                  <w:t>{{STUDY_PARTNER_DATA_STATUS}}</w:t>
                </w:r>
              </w:sdtContent>
            </w:sdt>
          </w:p>
        </w:tc>
        <w:tc>
          <w:tcPr>
            <w:tcW w:type="dxa" w:w="1685"/>
            <w:vAlign w:val="center"/>
            <w:tcMar>
              <w:top w:w="80" w:type="dxa"/>
              <w:bottom w:w="80" w:type="dxa"/>
              <w:start w:w="120" w:type="dxa"/>
              <w:end w:w="120" w:type="dxa"/>
            </w:tcMar>
          </w:tcPr>
          <w:p>
            <w:pPr>
              <w:spacing w:before="0" w:after="40" w:line="252" w:lineRule="auto"/>
            </w:pPr>
            <w:r/>
            <w:r>
              <w:rPr>
                <w:rFonts w:ascii="Calibri" w:hAnsi="Calibri"/>
                <w:b w:val="0"/>
                <w:color w:val="000000"/>
                <w:sz w:val="17"/>
              </w:rPr>
              <w:t>Separate consent required</w:t>
            </w:r>
          </w:p>
        </w:tc>
      </w:tr>
    </w:tbl>
    <w:p>
      <w:pPr>
        <w:spacing w:after="40"/>
      </w:pPr>
    </w:p>
    <w:p>
      <w:pPr>
        <w:spacing w:before="80" w:after="200" w:line="259" w:lineRule="auto"/>
        <w:ind w:left="173" w:right="115"/>
        <w:shd w:fill="FFF4D6"/>
        <w:pBdr>
          <w:left w:val="single" w:sz="16" w:space="8" w:color="9A6A00"/>
        </w:pBdr>
        <w:keepLines/>
      </w:pPr>
      <w:r>
        <w:rPr>
          <w:rFonts w:ascii="Calibri" w:hAnsi="Calibri"/>
          <w:b/>
          <w:color w:val="9A6A00"/>
          <w:sz w:val="22"/>
        </w:rPr>
        <w:t xml:space="preserve">Bystanders and home surroundings. </w:t>
      </w:r>
      <w:r>
        <w:rPr>
          <w:rFonts w:ascii="Calibri" w:hAnsi="Calibri"/>
          <w:color w:val="000000"/>
          <w:sz w:val="22"/>
        </w:rPr>
        <w:t>The camera or microphone may accidentally capture another person, private conversation, documents, or the home environment. Follow the setup instructions, use headphones when possible, and ask others to leave the recording area. Stop and contact the study team if unintended capture occurs.</w:t>
      </w:r>
    </w:p>
    <w:p>
      <w:pPr>
        <w:pStyle w:val="Heading1"/>
      </w:pPr>
      <w:r>
        <w:t>6. Special notice about biometric-related data</w:t>
      </w:r>
    </w:p>
    <w:p>
      <w:r>
        <w:t>For this form, biometric-related data means recordings or measurements of physical, physiological, or behavioral characteristics, including face and eye images, voice and speech, eye movements, pupils, facial movements, head pose, gait, balance, tapping, typing, and similar signals. Some laws use narrower definitions and regulate data only when it is used or intended to identify a person. This study applies heightened protections to these signals even when they are used for health research rather than identity.</w:t>
      </w:r>
    </w:p>
    <w:p>
      <w:r>
        <w:rPr>
          <w:rFonts w:ascii="Calibri" w:hAnsi="Calibri"/>
          <w:b/>
          <w:color w:val="0B2545"/>
          <w:sz w:val="22"/>
        </w:rPr>
        <w:t xml:space="preserve">Default rule: </w:t>
      </w:r>
      <w:r>
        <w:t>The study will not create a faceprint, voiceprint, iris/retina template, gait identity template, or other biometric identifier for authentication, unique identification, surveillance, or tracking unless a separately approved module expressly states that purpose and obtains the required separate permission.</w:t>
      </w:r>
    </w:p>
    <w:p>
      <w:pPr>
        <w:spacing w:after="60"/>
      </w:pPr>
      <w:r>
        <w:rPr>
          <w:rFonts w:ascii="Calibri" w:hAnsi="Calibri"/>
          <w:b/>
          <w:color w:val="0B2545"/>
          <w:sz w:val="22"/>
        </w:rPr>
        <w:t xml:space="preserve">Specific biometric-related data collected: </w:t>
      </w:r>
      <w:sdt>
        <w:sdtPr>
          <w:tag w:val="BIOMETRIC_DATA_TYPES"/>
          <w:alias w:val="BIOMETRIC_DATA_TYPES"/>
          <w:text/>
        </w:sdtPr>
        <w:sdtContent>
          <w:r>
            <w:rPr>
              <w:rFonts w:ascii="Calibri" w:hAnsi="Calibri"/>
              <w:color w:val="000000"/>
              <w:sz w:val="22"/>
            </w:rPr>
            <w:t>{{BIOMETRIC_DATA_TYPES}}</w:t>
          </w:r>
        </w:sdtContent>
      </w:sdt>
    </w:p>
    <w:p>
      <w:pPr>
        <w:spacing w:after="60"/>
      </w:pPr>
      <w:r>
        <w:rPr>
          <w:rFonts w:ascii="Calibri" w:hAnsi="Calibri"/>
          <w:b/>
          <w:color w:val="0B2545"/>
          <w:sz w:val="22"/>
        </w:rPr>
        <w:t xml:space="preserve">Specific purpose: </w:t>
      </w:r>
      <w:sdt>
        <w:sdtPr>
          <w:tag w:val="BIOMETRIC_SPECIFIC_PURPOSE"/>
          <w:alias w:val="BIOMETRIC_SPECIFIC_PURPOSE"/>
          <w:text/>
        </w:sdtPr>
        <w:sdtContent>
          <w:r>
            <w:rPr>
              <w:rFonts w:ascii="Calibri" w:hAnsi="Calibri"/>
              <w:color w:val="000000"/>
              <w:sz w:val="22"/>
            </w:rPr>
            <w:t>{{BIOMETRIC_SPECIFIC_PURPOSE}}</w:t>
          </w:r>
        </w:sdtContent>
      </w:sdt>
    </w:p>
    <w:p>
      <w:pPr>
        <w:spacing w:after="60"/>
      </w:pPr>
      <w:r>
        <w:rPr>
          <w:rFonts w:ascii="Calibri" w:hAnsi="Calibri"/>
          <w:b/>
          <w:color w:val="0B2545"/>
          <w:sz w:val="22"/>
        </w:rPr>
        <w:t xml:space="preserve">Collection/use period: </w:t>
      </w:r>
      <w:sdt>
        <w:sdtPr>
          <w:tag w:val="BIOMETRIC_TERM"/>
          <w:alias w:val="BIOMETRIC_TERM"/>
          <w:text/>
        </w:sdtPr>
        <w:sdtContent>
          <w:r>
            <w:rPr>
              <w:rFonts w:ascii="Calibri" w:hAnsi="Calibri"/>
              <w:color w:val="000000"/>
              <w:sz w:val="22"/>
            </w:rPr>
            <w:t>{{BIOMETRIC_TERM}}</w:t>
          </w:r>
        </w:sdtContent>
      </w:sdt>
    </w:p>
    <w:p>
      <w:pPr>
        <w:spacing w:after="60"/>
      </w:pPr>
      <w:r>
        <w:rPr>
          <w:rFonts w:ascii="Calibri" w:hAnsi="Calibri"/>
          <w:b/>
          <w:color w:val="0B2545"/>
          <w:sz w:val="22"/>
        </w:rPr>
        <w:t xml:space="preserve">Disclosure recipients: </w:t>
      </w:r>
      <w:sdt>
        <w:sdtPr>
          <w:tag w:val="BIOMETRIC_RECIPIENTS"/>
          <w:alias w:val="BIOMETRIC_RECIPIENTS"/>
          <w:text/>
        </w:sdtPr>
        <w:sdtContent>
          <w:r>
            <w:rPr>
              <w:rFonts w:ascii="Calibri" w:hAnsi="Calibri"/>
              <w:color w:val="000000"/>
              <w:sz w:val="22"/>
            </w:rPr>
            <w:t>{{BIOMETRIC_RECIPIENTS}}</w:t>
          </w:r>
        </w:sdtContent>
      </w:sdt>
    </w:p>
    <w:p>
      <w:pPr>
        <w:spacing w:after="60"/>
      </w:pPr>
      <w:r>
        <w:rPr>
          <w:rFonts w:ascii="Calibri" w:hAnsi="Calibri"/>
          <w:b/>
          <w:color w:val="0B2545"/>
          <w:sz w:val="22"/>
        </w:rPr>
        <w:t xml:space="preserve">Destruction deadline: </w:t>
      </w:r>
      <w:sdt>
        <w:sdtPr>
          <w:tag w:val="BIOMETRIC_DESTRUCTION_DEADLINE"/>
          <w:alias w:val="BIOMETRIC_DESTRUCTION_DEADLINE"/>
          <w:text/>
        </w:sdtPr>
        <w:sdtContent>
          <w:r>
            <w:rPr>
              <w:rFonts w:ascii="Calibri" w:hAnsi="Calibri"/>
              <w:color w:val="000000"/>
              <w:sz w:val="22"/>
            </w:rPr>
            <w:t>{{BIOMETRIC_DESTRUCTION_DEADLINE}}</w:t>
          </w:r>
        </w:sdtContent>
      </w:sdt>
    </w:p>
    <w:p>
      <w:pPr>
        <w:spacing w:before="80" w:after="200" w:line="259" w:lineRule="auto"/>
        <w:ind w:left="173" w:right="115"/>
        <w:shd w:fill="EAF4F3"/>
        <w:pBdr>
          <w:left w:val="single" w:sz="16" w:space="8" w:color="1B6F6A"/>
        </w:pBdr>
        <w:keepLines/>
      </w:pPr>
      <w:r>
        <w:rPr>
          <w:rFonts w:ascii="Calibri" w:hAnsi="Calibri"/>
          <w:b/>
          <w:color w:val="1B6F6A"/>
          <w:sz w:val="22"/>
        </w:rPr>
        <w:t xml:space="preserve">No sale or surveillance. </w:t>
      </w:r>
      <w:r>
        <w:rPr>
          <w:rFonts w:ascii="Calibri" w:hAnsi="Calibri"/>
          <w:color w:val="000000"/>
          <w:sz w:val="22"/>
        </w:rPr>
        <w:t>NeuroAgent AI will not sell, lease, trade, or otherwise profit from participant-level biometric identifiers or biometric information; use them for advertising, insurance, employment, credit, law-enforcement surveillance, or unrelated identity tracking; or disclose them beyond the approved recipients and purposes except when legally required. Research may contribute to commercial products only under the separate permissions and legal limits described in this form.</w:t>
      </w:r>
    </w:p>
    <w:p>
      <w:r>
        <w:br w:type="page"/>
      </w:r>
    </w:p>
    <w:p>
      <w:pPr>
        <w:pStyle w:val="Heading1"/>
      </w:pPr>
      <w:r>
        <w:t>7. Where can my data be processed and stored?</w:t>
      </w:r>
    </w:p>
    <w:p>
      <w:r>
        <w:t>The study may offer one or more approved destinations. Only destinations completed below may be shown in the app. At least one destination may be required for the study. If you decline a required destination, you cannot join that study, but your decision will not affect clinical care or other benefits. Choosing a storage destination authorizes deposit at that destination only; access, research use, onward sharing, and international transfer are addressed separately.</w:t>
      </w:r>
    </w:p>
    <w:tbl>
      <w:tblPr>
        <w:tblStyle w:val="TableGrid"/>
        <w:tblW w:type="dxa" w:w="9360"/>
        <w:jc w:val="left"/>
        <w:tblLayout w:type="fixed"/>
        <w:tblLook w:firstColumn="1" w:firstRow="1" w:lastColumn="0" w:lastRow="0" w:noHBand="0" w:noVBand="1" w:val="04A0"/>
        <w:tblInd w:type="dxa" w:w="120"/>
      </w:tblPr>
      <w:tblGrid>
        <w:gridCol w:w="6552"/>
        <w:gridCol w:w="1404"/>
        <w:gridCol w:w="1404"/>
      </w:tblGrid>
      <w:tr>
        <w:trPr>
          <w:tblHeader w:val="true"/>
          <w:cantSplit/>
        </w:trPr>
        <w:tc>
          <w:tcPr>
            <w:tcW w:type="dxa" w:w="655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Permission or decision</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Yes</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No</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Store an approved copy in the NeuroAgent AI Research Repository. Availability/requirement: </w:t>
            </w:r>
            <w:sdt>
              <w:sdtPr>
                <w:tag w:val="NAI_DESTINATION_RULE"/>
                <w:alias w:val="NAI_DESTINATION_RULE"/>
                <w:text/>
              </w:sdtPr>
              <w:sdtContent>
                <w:r>
                  <w:rPr>
                    <w:rFonts w:ascii="Calibri" w:hAnsi="Calibri"/>
                    <w:b w:val="0"/>
                    <w:color w:val="000000"/>
                    <w:sz w:val="18"/>
                  </w:rPr>
                  <w:t>{{NAI_DESTINATION_RULE}}</w:t>
                </w:r>
              </w:sdtContent>
            </w:sdt>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Store an approved copy in the institution-controlled repository. Availability/requirement: </w:t>
            </w:r>
            <w:sdt>
              <w:sdtPr>
                <w:tag w:val="INSTITUTION_DESTINATION_RULE"/>
                <w:alias w:val="INSTITUTION_DESTINATION_RULE"/>
                <w:text/>
              </w:sdtPr>
              <w:sdtContent>
                <w:r>
                  <w:rPr>
                    <w:rFonts w:ascii="Calibri" w:hAnsi="Calibri"/>
                    <w:b w:val="0"/>
                    <w:color w:val="000000"/>
                    <w:sz w:val="18"/>
                  </w:rPr>
                  <w:t>{{INSTITUTION_DESTINATION_RULE}}</w:t>
                </w:r>
              </w:sdtContent>
            </w:sdt>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Store an approved copy in the approved country or regional repository. Availability/requirement: </w:t>
            </w:r>
            <w:sdt>
              <w:sdtPr>
                <w:tag w:val="REGIONAL_DESTINATION_RULE"/>
                <w:alias w:val="REGIONAL_DESTINATION_RULE"/>
                <w:text/>
              </w:sdtPr>
              <w:sdtContent>
                <w:r>
                  <w:rPr>
                    <w:rFonts w:ascii="Calibri" w:hAnsi="Calibri"/>
                    <w:b w:val="0"/>
                    <w:color w:val="000000"/>
                    <w:sz w:val="18"/>
                  </w:rPr>
                  <w:t>{{REGIONAL_DESTINATION_RULE}}</w:t>
                </w:r>
              </w:sdtContent>
            </w:sdt>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Use local or federated processing so raw data remain at the approved local repository and only listed derived or aggregate outputs leave. Availability/requirement: </w:t>
            </w:r>
            <w:sdt>
              <w:sdtPr>
                <w:tag w:val="FEDERATED_DESTINATION_RULE"/>
                <w:alias w:val="FEDERATED_DESTINATION_RULE"/>
                <w:text/>
              </w:sdtPr>
              <w:sdtContent>
                <w:r>
                  <w:rPr>
                    <w:rFonts w:ascii="Calibri" w:hAnsi="Calibri"/>
                    <w:b w:val="0"/>
                    <w:color w:val="000000"/>
                    <w:sz w:val="18"/>
                  </w:rPr>
                  <w:t>{{FEDERATED_DESTINATION_RULE}}</w:t>
                </w:r>
              </w:sdtContent>
            </w:sdt>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bl>
    <w:p>
      <w:pPr>
        <w:spacing w:after="40"/>
      </w:pPr>
    </w:p>
    <w:p>
      <w:pPr>
        <w:pStyle w:val="Heading2"/>
      </w:pPr>
      <w:r>
        <w:t>Destination A - NeuroAgent AI Research Repository</w:t>
      </w:r>
    </w:p>
    <w:p>
      <w:pPr>
        <w:spacing w:after="60"/>
      </w:pPr>
      <w:r>
        <w:rPr>
          <w:rFonts w:ascii="Calibri" w:hAnsi="Calibri"/>
          <w:b/>
          <w:color w:val="0B2545"/>
          <w:sz w:val="22"/>
        </w:rPr>
        <w:t xml:space="preserve">Repository/operator: </w:t>
      </w:r>
      <w:sdt>
        <w:sdtPr>
          <w:tag w:val="NAI_REPOSITORY_OPERATOR"/>
          <w:alias w:val="NAI_REPOSITORY_OPERATOR"/>
          <w:text/>
        </w:sdtPr>
        <w:sdtContent>
          <w:r>
            <w:rPr>
              <w:rFonts w:ascii="Calibri" w:hAnsi="Calibri"/>
              <w:color w:val="000000"/>
              <w:sz w:val="22"/>
            </w:rPr>
            <w:t>{{NAI_REPOSITORY_OPERATOR}}</w:t>
          </w:r>
        </w:sdtContent>
      </w:sdt>
    </w:p>
    <w:p>
      <w:pPr>
        <w:spacing w:after="60"/>
      </w:pPr>
      <w:r>
        <w:rPr>
          <w:rFonts w:ascii="Calibri" w:hAnsi="Calibri"/>
          <w:b/>
          <w:color w:val="0B2545"/>
          <w:sz w:val="22"/>
        </w:rPr>
        <w:t xml:space="preserve">Controller/custodian/processor role: </w:t>
      </w:r>
      <w:sdt>
        <w:sdtPr>
          <w:tag w:val="NAI_LEGAL_ROLE"/>
          <w:alias w:val="NAI_LEGAL_ROLE"/>
          <w:text/>
        </w:sdtPr>
        <w:sdtContent>
          <w:r>
            <w:rPr>
              <w:rFonts w:ascii="Calibri" w:hAnsi="Calibri"/>
              <w:color w:val="000000"/>
              <w:sz w:val="22"/>
            </w:rPr>
            <w:t>{{NAI_LEGAL_ROLE}}</w:t>
          </w:r>
        </w:sdtContent>
      </w:sdt>
    </w:p>
    <w:p>
      <w:pPr>
        <w:spacing w:after="60"/>
      </w:pPr>
      <w:r>
        <w:rPr>
          <w:rFonts w:ascii="Calibri" w:hAnsi="Calibri"/>
          <w:b/>
          <w:color w:val="0B2545"/>
          <w:sz w:val="22"/>
        </w:rPr>
        <w:t xml:space="preserve">Primary storage country/region: </w:t>
      </w:r>
      <w:sdt>
        <w:sdtPr>
          <w:tag w:val="NAI_PRIMARY_REGION"/>
          <w:alias w:val="NAI_PRIMARY_REGION"/>
          <w:text/>
        </w:sdtPr>
        <w:sdtContent>
          <w:r>
            <w:rPr>
              <w:rFonts w:ascii="Calibri" w:hAnsi="Calibri"/>
              <w:color w:val="000000"/>
              <w:sz w:val="22"/>
            </w:rPr>
            <w:t>{{NAI_PRIMARY_REGION}}</w:t>
          </w:r>
        </w:sdtContent>
      </w:sdt>
    </w:p>
    <w:p>
      <w:pPr>
        <w:spacing w:after="60"/>
      </w:pPr>
      <w:r>
        <w:rPr>
          <w:rFonts w:ascii="Calibri" w:hAnsi="Calibri"/>
          <w:b/>
          <w:color w:val="0B2545"/>
          <w:sz w:val="22"/>
        </w:rPr>
        <w:t xml:space="preserve">Backup/disaster-recovery region: </w:t>
      </w:r>
      <w:sdt>
        <w:sdtPr>
          <w:tag w:val="NAI_BACKUP_REGION"/>
          <w:alias w:val="NAI_BACKUP_REGION"/>
          <w:text/>
        </w:sdtPr>
        <w:sdtContent>
          <w:r>
            <w:rPr>
              <w:rFonts w:ascii="Calibri" w:hAnsi="Calibri"/>
              <w:color w:val="000000"/>
              <w:sz w:val="22"/>
            </w:rPr>
            <w:t>{{NAI_BACKUP_REGION}}</w:t>
          </w:r>
        </w:sdtContent>
      </w:sdt>
    </w:p>
    <w:p>
      <w:pPr>
        <w:spacing w:after="60"/>
      </w:pPr>
      <w:r>
        <w:rPr>
          <w:rFonts w:ascii="Calibri" w:hAnsi="Calibri"/>
          <w:b/>
          <w:color w:val="0B2545"/>
          <w:sz w:val="22"/>
        </w:rPr>
        <w:t xml:space="preserve">Data copy retained: </w:t>
      </w:r>
      <w:sdt>
        <w:sdtPr>
          <w:tag w:val="NAI_DATA_COPY"/>
          <w:alias w:val="NAI_DATA_COPY"/>
          <w:text/>
        </w:sdtPr>
        <w:sdtContent>
          <w:r>
            <w:rPr>
              <w:rFonts w:ascii="Calibri" w:hAnsi="Calibri"/>
              <w:color w:val="000000"/>
              <w:sz w:val="22"/>
            </w:rPr>
            <w:t>{{NAI_DATA_COPY}}</w:t>
          </w:r>
        </w:sdtContent>
      </w:sdt>
    </w:p>
    <w:p>
      <w:pPr>
        <w:spacing w:after="60"/>
      </w:pPr>
      <w:r>
        <w:rPr>
          <w:rFonts w:ascii="Calibri" w:hAnsi="Calibri"/>
          <w:b/>
          <w:color w:val="0B2545"/>
          <w:sz w:val="22"/>
        </w:rPr>
        <w:t xml:space="preserve">People/entities with access: </w:t>
      </w:r>
      <w:sdt>
        <w:sdtPr>
          <w:tag w:val="NAI_ACCESS_RECIPIENTS"/>
          <w:alias w:val="NAI_ACCESS_RECIPIENTS"/>
          <w:text/>
        </w:sdtPr>
        <w:sdtContent>
          <w:r>
            <w:rPr>
              <w:rFonts w:ascii="Calibri" w:hAnsi="Calibri"/>
              <w:color w:val="000000"/>
              <w:sz w:val="22"/>
            </w:rPr>
            <w:t>{{NAI_ACCESS_RECIPIENTS}}</w:t>
          </w:r>
        </w:sdtContent>
      </w:sdt>
    </w:p>
    <w:p>
      <w:pPr>
        <w:spacing w:after="60"/>
      </w:pPr>
      <w:r>
        <w:rPr>
          <w:rFonts w:ascii="Calibri" w:hAnsi="Calibri"/>
          <w:b/>
          <w:color w:val="0B2545"/>
          <w:sz w:val="22"/>
        </w:rPr>
        <w:t xml:space="preserve">Countries from which remote access may occur: </w:t>
      </w:r>
      <w:sdt>
        <w:sdtPr>
          <w:tag w:val="NAI_ACCESS_COUNTRIES"/>
          <w:alias w:val="NAI_ACCESS_COUNTRIES"/>
          <w:text/>
        </w:sdtPr>
        <w:sdtContent>
          <w:r>
            <w:rPr>
              <w:rFonts w:ascii="Calibri" w:hAnsi="Calibri"/>
              <w:color w:val="000000"/>
              <w:sz w:val="22"/>
            </w:rPr>
            <w:t>{{NAI_ACCESS_COUNTRIES}}</w:t>
          </w:r>
        </w:sdtContent>
      </w:sdt>
    </w:p>
    <w:p>
      <w:pPr>
        <w:spacing w:after="60"/>
      </w:pPr>
      <w:r>
        <w:rPr>
          <w:rFonts w:ascii="Calibri" w:hAnsi="Calibri"/>
          <w:b/>
          <w:color w:val="0B2545"/>
          <w:sz w:val="22"/>
        </w:rPr>
        <w:t xml:space="preserve">Purpose and retention: </w:t>
      </w:r>
      <w:sdt>
        <w:sdtPr>
          <w:tag w:val="NAI_PURPOSE_RETENTION"/>
          <w:alias w:val="NAI_PURPOSE_RETENTION"/>
          <w:text/>
        </w:sdtPr>
        <w:sdtContent>
          <w:r>
            <w:rPr>
              <w:rFonts w:ascii="Calibri" w:hAnsi="Calibri"/>
              <w:color w:val="000000"/>
              <w:sz w:val="22"/>
            </w:rPr>
            <w:t>{{NAI_PURPOSE_RETENTION}}</w:t>
          </w:r>
        </w:sdtContent>
      </w:sdt>
    </w:p>
    <w:p>
      <w:pPr>
        <w:spacing w:after="60"/>
      </w:pPr>
      <w:r>
        <w:rPr>
          <w:rFonts w:ascii="Calibri" w:hAnsi="Calibri"/>
          <w:b/>
          <w:color w:val="0B2545"/>
          <w:sz w:val="22"/>
        </w:rPr>
        <w:t xml:space="preserve">International transfer mechanism, if any: </w:t>
      </w:r>
      <w:sdt>
        <w:sdtPr>
          <w:tag w:val="NAI_TRANSFER_MECHANISM"/>
          <w:alias w:val="NAI_TRANSFER_MECHANISM"/>
          <w:text/>
        </w:sdtPr>
        <w:sdtContent>
          <w:r>
            <w:rPr>
              <w:rFonts w:ascii="Calibri" w:hAnsi="Calibri"/>
              <w:color w:val="000000"/>
              <w:sz w:val="22"/>
            </w:rPr>
            <w:t>{{NAI_TRANSFER_MECHANISM}}</w:t>
          </w:r>
        </w:sdtContent>
      </w:sdt>
    </w:p>
    <w:p>
      <w:pPr>
        <w:spacing w:after="60"/>
      </w:pPr>
      <w:r>
        <w:rPr>
          <w:rFonts w:ascii="Calibri" w:hAnsi="Calibri"/>
          <w:b/>
          <w:color w:val="0B2545"/>
          <w:sz w:val="22"/>
        </w:rPr>
        <w:t xml:space="preserve">Deletion/contact pathway: </w:t>
      </w:r>
      <w:sdt>
        <w:sdtPr>
          <w:tag w:val="NAI_DELETION_CONTACT"/>
          <w:alias w:val="NAI_DELETION_CONTACT"/>
          <w:text/>
        </w:sdtPr>
        <w:sdtContent>
          <w:r>
            <w:rPr>
              <w:rFonts w:ascii="Calibri" w:hAnsi="Calibri"/>
              <w:color w:val="000000"/>
              <w:sz w:val="22"/>
            </w:rPr>
            <w:t>{{NAI_DELETION_CONTACT}}</w:t>
          </w:r>
        </w:sdtContent>
      </w:sdt>
    </w:p>
    <w:p>
      <w:pPr>
        <w:pStyle w:val="Heading2"/>
      </w:pPr>
      <w:r>
        <w:t>Destination B - Institution-Controlled Repository</w:t>
      </w:r>
    </w:p>
    <w:p>
      <w:pPr>
        <w:spacing w:after="60"/>
      </w:pPr>
      <w:r>
        <w:rPr>
          <w:rFonts w:ascii="Calibri" w:hAnsi="Calibri"/>
          <w:b/>
          <w:color w:val="0B2545"/>
          <w:sz w:val="22"/>
        </w:rPr>
        <w:t xml:space="preserve">Repository/operator: </w:t>
      </w:r>
      <w:sdt>
        <w:sdtPr>
          <w:tag w:val="INST_REPOSITORY_OPERATOR"/>
          <w:alias w:val="INST_REPOSITORY_OPERATOR"/>
          <w:text/>
        </w:sdtPr>
        <w:sdtContent>
          <w:r>
            <w:rPr>
              <w:rFonts w:ascii="Calibri" w:hAnsi="Calibri"/>
              <w:color w:val="000000"/>
              <w:sz w:val="22"/>
            </w:rPr>
            <w:t>{{INST_REPOSITORY_OPERATOR}}</w:t>
          </w:r>
        </w:sdtContent>
      </w:sdt>
    </w:p>
    <w:p>
      <w:pPr>
        <w:spacing w:after="60"/>
      </w:pPr>
      <w:r>
        <w:rPr>
          <w:rFonts w:ascii="Calibri" w:hAnsi="Calibri"/>
          <w:b/>
          <w:color w:val="0B2545"/>
          <w:sz w:val="22"/>
        </w:rPr>
        <w:t xml:space="preserve">Controller/custodian/processor role: </w:t>
      </w:r>
      <w:sdt>
        <w:sdtPr>
          <w:tag w:val="INST_LEGAL_ROLE"/>
          <w:alias w:val="INST_LEGAL_ROLE"/>
          <w:text/>
        </w:sdtPr>
        <w:sdtContent>
          <w:r>
            <w:rPr>
              <w:rFonts w:ascii="Calibri" w:hAnsi="Calibri"/>
              <w:color w:val="000000"/>
              <w:sz w:val="22"/>
            </w:rPr>
            <w:t>{{INST_LEGAL_ROLE}}</w:t>
          </w:r>
        </w:sdtContent>
      </w:sdt>
    </w:p>
    <w:p>
      <w:pPr>
        <w:spacing w:after="60"/>
      </w:pPr>
      <w:r>
        <w:rPr>
          <w:rFonts w:ascii="Calibri" w:hAnsi="Calibri"/>
          <w:b/>
          <w:color w:val="0B2545"/>
          <w:sz w:val="22"/>
        </w:rPr>
        <w:t xml:space="preserve">Primary storage country/region: </w:t>
      </w:r>
      <w:sdt>
        <w:sdtPr>
          <w:tag w:val="INST_PRIMARY_REGION"/>
          <w:alias w:val="INST_PRIMARY_REGION"/>
          <w:text/>
        </w:sdtPr>
        <w:sdtContent>
          <w:r>
            <w:rPr>
              <w:rFonts w:ascii="Calibri" w:hAnsi="Calibri"/>
              <w:color w:val="000000"/>
              <w:sz w:val="22"/>
            </w:rPr>
            <w:t>{{INST_PRIMARY_REGION}}</w:t>
          </w:r>
        </w:sdtContent>
      </w:sdt>
    </w:p>
    <w:p>
      <w:pPr>
        <w:spacing w:after="60"/>
      </w:pPr>
      <w:r>
        <w:rPr>
          <w:rFonts w:ascii="Calibri" w:hAnsi="Calibri"/>
          <w:b/>
          <w:color w:val="0B2545"/>
          <w:sz w:val="22"/>
        </w:rPr>
        <w:t xml:space="preserve">Backup/disaster-recovery region: </w:t>
      </w:r>
      <w:sdt>
        <w:sdtPr>
          <w:tag w:val="INST_BACKUP_REGION"/>
          <w:alias w:val="INST_BACKUP_REGION"/>
          <w:text/>
        </w:sdtPr>
        <w:sdtContent>
          <w:r>
            <w:rPr>
              <w:rFonts w:ascii="Calibri" w:hAnsi="Calibri"/>
              <w:color w:val="000000"/>
              <w:sz w:val="22"/>
            </w:rPr>
            <w:t>{{INST_BACKUP_REGION}}</w:t>
          </w:r>
        </w:sdtContent>
      </w:sdt>
    </w:p>
    <w:p>
      <w:pPr>
        <w:spacing w:after="60"/>
      </w:pPr>
      <w:r>
        <w:rPr>
          <w:rFonts w:ascii="Calibri" w:hAnsi="Calibri"/>
          <w:b/>
          <w:color w:val="0B2545"/>
          <w:sz w:val="22"/>
        </w:rPr>
        <w:t xml:space="preserve">Data copy retained: </w:t>
      </w:r>
      <w:sdt>
        <w:sdtPr>
          <w:tag w:val="INST_DATA_COPY"/>
          <w:alias w:val="INST_DATA_COPY"/>
          <w:text/>
        </w:sdtPr>
        <w:sdtContent>
          <w:r>
            <w:rPr>
              <w:rFonts w:ascii="Calibri" w:hAnsi="Calibri"/>
              <w:color w:val="000000"/>
              <w:sz w:val="22"/>
            </w:rPr>
            <w:t>{{INST_DATA_COPY}}</w:t>
          </w:r>
        </w:sdtContent>
      </w:sdt>
    </w:p>
    <w:p>
      <w:pPr>
        <w:spacing w:after="60"/>
      </w:pPr>
      <w:r>
        <w:rPr>
          <w:rFonts w:ascii="Calibri" w:hAnsi="Calibri"/>
          <w:b/>
          <w:color w:val="0B2545"/>
          <w:sz w:val="22"/>
        </w:rPr>
        <w:t xml:space="preserve">People/entities with access: </w:t>
      </w:r>
      <w:sdt>
        <w:sdtPr>
          <w:tag w:val="INST_ACCESS_RECIPIENTS"/>
          <w:alias w:val="INST_ACCESS_RECIPIENTS"/>
          <w:text/>
        </w:sdtPr>
        <w:sdtContent>
          <w:r>
            <w:rPr>
              <w:rFonts w:ascii="Calibri" w:hAnsi="Calibri"/>
              <w:color w:val="000000"/>
              <w:sz w:val="22"/>
            </w:rPr>
            <w:t>{{INST_ACCESS_RECIPIENTS}}</w:t>
          </w:r>
        </w:sdtContent>
      </w:sdt>
    </w:p>
    <w:p>
      <w:pPr>
        <w:spacing w:after="60"/>
      </w:pPr>
      <w:r>
        <w:rPr>
          <w:rFonts w:ascii="Calibri" w:hAnsi="Calibri"/>
          <w:b/>
          <w:color w:val="0B2545"/>
          <w:sz w:val="22"/>
        </w:rPr>
        <w:t xml:space="preserve">Countries from which remote access may occur: </w:t>
      </w:r>
      <w:sdt>
        <w:sdtPr>
          <w:tag w:val="INST_ACCESS_COUNTRIES"/>
          <w:alias w:val="INST_ACCESS_COUNTRIES"/>
          <w:text/>
        </w:sdtPr>
        <w:sdtContent>
          <w:r>
            <w:rPr>
              <w:rFonts w:ascii="Calibri" w:hAnsi="Calibri"/>
              <w:color w:val="000000"/>
              <w:sz w:val="22"/>
            </w:rPr>
            <w:t>{{INST_ACCESS_COUNTRIES}}</w:t>
          </w:r>
        </w:sdtContent>
      </w:sdt>
    </w:p>
    <w:p>
      <w:pPr>
        <w:spacing w:after="60"/>
      </w:pPr>
      <w:r>
        <w:rPr>
          <w:rFonts w:ascii="Calibri" w:hAnsi="Calibri"/>
          <w:b/>
          <w:color w:val="0B2545"/>
          <w:sz w:val="22"/>
        </w:rPr>
        <w:t xml:space="preserve">Purpose and retention: </w:t>
      </w:r>
      <w:sdt>
        <w:sdtPr>
          <w:tag w:val="INST_PURPOSE_RETENTION"/>
          <w:alias w:val="INST_PURPOSE_RETENTION"/>
          <w:text/>
        </w:sdtPr>
        <w:sdtContent>
          <w:r>
            <w:rPr>
              <w:rFonts w:ascii="Calibri" w:hAnsi="Calibri"/>
              <w:color w:val="000000"/>
              <w:sz w:val="22"/>
            </w:rPr>
            <w:t>{{INST_PURPOSE_RETENTION}}</w:t>
          </w:r>
        </w:sdtContent>
      </w:sdt>
    </w:p>
    <w:p>
      <w:pPr>
        <w:spacing w:after="60"/>
      </w:pPr>
      <w:r>
        <w:rPr>
          <w:rFonts w:ascii="Calibri" w:hAnsi="Calibri"/>
          <w:b/>
          <w:color w:val="0B2545"/>
          <w:sz w:val="22"/>
        </w:rPr>
        <w:t xml:space="preserve">International transfer mechanism, if any: </w:t>
      </w:r>
      <w:sdt>
        <w:sdtPr>
          <w:tag w:val="INST_TRANSFER_MECHANISM"/>
          <w:alias w:val="INST_TRANSFER_MECHANISM"/>
          <w:text/>
        </w:sdtPr>
        <w:sdtContent>
          <w:r>
            <w:rPr>
              <w:rFonts w:ascii="Calibri" w:hAnsi="Calibri"/>
              <w:color w:val="000000"/>
              <w:sz w:val="22"/>
            </w:rPr>
            <w:t>{{INST_TRANSFER_MECHANISM}}</w:t>
          </w:r>
        </w:sdtContent>
      </w:sdt>
    </w:p>
    <w:p>
      <w:pPr>
        <w:spacing w:after="60"/>
      </w:pPr>
      <w:r>
        <w:rPr>
          <w:rFonts w:ascii="Calibri" w:hAnsi="Calibri"/>
          <w:b/>
          <w:color w:val="0B2545"/>
          <w:sz w:val="22"/>
        </w:rPr>
        <w:t xml:space="preserve">Deletion/contact pathway: </w:t>
      </w:r>
      <w:sdt>
        <w:sdtPr>
          <w:tag w:val="INST_DELETION_CONTACT"/>
          <w:alias w:val="INST_DELETION_CONTACT"/>
          <w:text/>
        </w:sdtPr>
        <w:sdtContent>
          <w:r>
            <w:rPr>
              <w:rFonts w:ascii="Calibri" w:hAnsi="Calibri"/>
              <w:color w:val="000000"/>
              <w:sz w:val="22"/>
            </w:rPr>
            <w:t>{{INST_DELETION_CONTACT}}</w:t>
          </w:r>
        </w:sdtContent>
      </w:sdt>
    </w:p>
    <w:p>
      <w:pPr>
        <w:pStyle w:val="Heading2"/>
      </w:pPr>
      <w:r>
        <w:t>Destination C - Country or Regional Repository</w:t>
      </w:r>
    </w:p>
    <w:p>
      <w:pPr>
        <w:spacing w:after="60"/>
      </w:pPr>
      <w:r>
        <w:rPr>
          <w:rFonts w:ascii="Calibri" w:hAnsi="Calibri"/>
          <w:b/>
          <w:color w:val="0B2545"/>
          <w:sz w:val="22"/>
        </w:rPr>
        <w:t xml:space="preserve">Repository/operator: </w:t>
      </w:r>
      <w:sdt>
        <w:sdtPr>
          <w:tag w:val="REGION_REPOSITORY_OPERATOR"/>
          <w:alias w:val="REGION_REPOSITORY_OPERATOR"/>
          <w:text/>
        </w:sdtPr>
        <w:sdtContent>
          <w:r>
            <w:rPr>
              <w:rFonts w:ascii="Calibri" w:hAnsi="Calibri"/>
              <w:color w:val="000000"/>
              <w:sz w:val="22"/>
            </w:rPr>
            <w:t>{{REGION_REPOSITORY_OPERATOR}}</w:t>
          </w:r>
        </w:sdtContent>
      </w:sdt>
    </w:p>
    <w:p>
      <w:pPr>
        <w:spacing w:after="60"/>
      </w:pPr>
      <w:r>
        <w:rPr>
          <w:rFonts w:ascii="Calibri" w:hAnsi="Calibri"/>
          <w:b/>
          <w:color w:val="0B2545"/>
          <w:sz w:val="22"/>
        </w:rPr>
        <w:t xml:space="preserve">Controller/custodian/processor role: </w:t>
      </w:r>
      <w:sdt>
        <w:sdtPr>
          <w:tag w:val="REGION_LEGAL_ROLE"/>
          <w:alias w:val="REGION_LEGAL_ROLE"/>
          <w:text/>
        </w:sdtPr>
        <w:sdtContent>
          <w:r>
            <w:rPr>
              <w:rFonts w:ascii="Calibri" w:hAnsi="Calibri"/>
              <w:color w:val="000000"/>
              <w:sz w:val="22"/>
            </w:rPr>
            <w:t>{{REGION_LEGAL_ROLE}}</w:t>
          </w:r>
        </w:sdtContent>
      </w:sdt>
    </w:p>
    <w:p>
      <w:pPr>
        <w:spacing w:after="60"/>
      </w:pPr>
      <w:r>
        <w:rPr>
          <w:rFonts w:ascii="Calibri" w:hAnsi="Calibri"/>
          <w:b/>
          <w:color w:val="0B2545"/>
          <w:sz w:val="22"/>
        </w:rPr>
        <w:t xml:space="preserve">Primary storage country/region: </w:t>
      </w:r>
      <w:sdt>
        <w:sdtPr>
          <w:tag w:val="REGION_PRIMARY_REGION"/>
          <w:alias w:val="REGION_PRIMARY_REGION"/>
          <w:text/>
        </w:sdtPr>
        <w:sdtContent>
          <w:r>
            <w:rPr>
              <w:rFonts w:ascii="Calibri" w:hAnsi="Calibri"/>
              <w:color w:val="000000"/>
              <w:sz w:val="22"/>
            </w:rPr>
            <w:t>{{REGION_PRIMARY_REGION}}</w:t>
          </w:r>
        </w:sdtContent>
      </w:sdt>
    </w:p>
    <w:p>
      <w:pPr>
        <w:spacing w:after="60"/>
      </w:pPr>
      <w:r>
        <w:rPr>
          <w:rFonts w:ascii="Calibri" w:hAnsi="Calibri"/>
          <w:b/>
          <w:color w:val="0B2545"/>
          <w:sz w:val="22"/>
        </w:rPr>
        <w:t xml:space="preserve">Backup/disaster-recovery region: </w:t>
      </w:r>
      <w:sdt>
        <w:sdtPr>
          <w:tag w:val="REGION_BACKUP_REGION"/>
          <w:alias w:val="REGION_BACKUP_REGION"/>
          <w:text/>
        </w:sdtPr>
        <w:sdtContent>
          <w:r>
            <w:rPr>
              <w:rFonts w:ascii="Calibri" w:hAnsi="Calibri"/>
              <w:color w:val="000000"/>
              <w:sz w:val="22"/>
            </w:rPr>
            <w:t>{{REGION_BACKUP_REGION}}</w:t>
          </w:r>
        </w:sdtContent>
      </w:sdt>
    </w:p>
    <w:p>
      <w:pPr>
        <w:spacing w:after="60"/>
      </w:pPr>
      <w:r>
        <w:rPr>
          <w:rFonts w:ascii="Calibri" w:hAnsi="Calibri"/>
          <w:b/>
          <w:color w:val="0B2545"/>
          <w:sz w:val="22"/>
        </w:rPr>
        <w:t xml:space="preserve">Data copy retained: </w:t>
      </w:r>
      <w:sdt>
        <w:sdtPr>
          <w:tag w:val="REGION_DATA_COPY"/>
          <w:alias w:val="REGION_DATA_COPY"/>
          <w:text/>
        </w:sdtPr>
        <w:sdtContent>
          <w:r>
            <w:rPr>
              <w:rFonts w:ascii="Calibri" w:hAnsi="Calibri"/>
              <w:color w:val="000000"/>
              <w:sz w:val="22"/>
            </w:rPr>
            <w:t>{{REGION_DATA_COPY}}</w:t>
          </w:r>
        </w:sdtContent>
      </w:sdt>
    </w:p>
    <w:p>
      <w:pPr>
        <w:spacing w:after="60"/>
      </w:pPr>
      <w:r>
        <w:rPr>
          <w:rFonts w:ascii="Calibri" w:hAnsi="Calibri"/>
          <w:b/>
          <w:color w:val="0B2545"/>
          <w:sz w:val="22"/>
        </w:rPr>
        <w:t xml:space="preserve">People/entities with access: </w:t>
      </w:r>
      <w:sdt>
        <w:sdtPr>
          <w:tag w:val="REGION_ACCESS_RECIPIENTS"/>
          <w:alias w:val="REGION_ACCESS_RECIPIENTS"/>
          <w:text/>
        </w:sdtPr>
        <w:sdtContent>
          <w:r>
            <w:rPr>
              <w:rFonts w:ascii="Calibri" w:hAnsi="Calibri"/>
              <w:color w:val="000000"/>
              <w:sz w:val="22"/>
            </w:rPr>
            <w:t>{{REGION_ACCESS_RECIPIENTS}}</w:t>
          </w:r>
        </w:sdtContent>
      </w:sdt>
    </w:p>
    <w:p>
      <w:pPr>
        <w:spacing w:after="60"/>
      </w:pPr>
      <w:r>
        <w:rPr>
          <w:rFonts w:ascii="Calibri" w:hAnsi="Calibri"/>
          <w:b/>
          <w:color w:val="0B2545"/>
          <w:sz w:val="22"/>
        </w:rPr>
        <w:t xml:space="preserve">Countries from which remote access may occur: </w:t>
      </w:r>
      <w:sdt>
        <w:sdtPr>
          <w:tag w:val="REGION_ACCESS_COUNTRIES"/>
          <w:alias w:val="REGION_ACCESS_COUNTRIES"/>
          <w:text/>
        </w:sdtPr>
        <w:sdtContent>
          <w:r>
            <w:rPr>
              <w:rFonts w:ascii="Calibri" w:hAnsi="Calibri"/>
              <w:color w:val="000000"/>
              <w:sz w:val="22"/>
            </w:rPr>
            <w:t>{{REGION_ACCESS_COUNTRIES}}</w:t>
          </w:r>
        </w:sdtContent>
      </w:sdt>
    </w:p>
    <w:p>
      <w:pPr>
        <w:spacing w:after="60"/>
      </w:pPr>
      <w:r>
        <w:rPr>
          <w:rFonts w:ascii="Calibri" w:hAnsi="Calibri"/>
          <w:b/>
          <w:color w:val="0B2545"/>
          <w:sz w:val="22"/>
        </w:rPr>
        <w:t xml:space="preserve">Purpose and retention: </w:t>
      </w:r>
      <w:sdt>
        <w:sdtPr>
          <w:tag w:val="REGION_PURPOSE_RETENTION"/>
          <w:alias w:val="REGION_PURPOSE_RETENTION"/>
          <w:text/>
        </w:sdtPr>
        <w:sdtContent>
          <w:r>
            <w:rPr>
              <w:rFonts w:ascii="Calibri" w:hAnsi="Calibri"/>
              <w:color w:val="000000"/>
              <w:sz w:val="22"/>
            </w:rPr>
            <w:t>{{REGION_PURPOSE_RETENTION}}</w:t>
          </w:r>
        </w:sdtContent>
      </w:sdt>
    </w:p>
    <w:p>
      <w:pPr>
        <w:spacing w:after="60"/>
      </w:pPr>
      <w:r>
        <w:rPr>
          <w:rFonts w:ascii="Calibri" w:hAnsi="Calibri"/>
          <w:b/>
          <w:color w:val="0B2545"/>
          <w:sz w:val="22"/>
        </w:rPr>
        <w:t xml:space="preserve">International transfer mechanism, if any: </w:t>
      </w:r>
      <w:sdt>
        <w:sdtPr>
          <w:tag w:val="REGION_TRANSFER_MECHANISM"/>
          <w:alias w:val="REGION_TRANSFER_MECHANISM"/>
          <w:text/>
        </w:sdtPr>
        <w:sdtContent>
          <w:r>
            <w:rPr>
              <w:rFonts w:ascii="Calibri" w:hAnsi="Calibri"/>
              <w:color w:val="000000"/>
              <w:sz w:val="22"/>
            </w:rPr>
            <w:t>{{REGION_TRANSFER_MECHANISM}}</w:t>
          </w:r>
        </w:sdtContent>
      </w:sdt>
    </w:p>
    <w:p>
      <w:pPr>
        <w:spacing w:after="60"/>
      </w:pPr>
      <w:r>
        <w:rPr>
          <w:rFonts w:ascii="Calibri" w:hAnsi="Calibri"/>
          <w:b/>
          <w:color w:val="0B2545"/>
          <w:sz w:val="22"/>
        </w:rPr>
        <w:t xml:space="preserve">Deletion/contact pathway: </w:t>
      </w:r>
      <w:sdt>
        <w:sdtPr>
          <w:tag w:val="REGION_DELETION_CONTACT"/>
          <w:alias w:val="REGION_DELETION_CONTACT"/>
          <w:text/>
        </w:sdtPr>
        <w:sdtContent>
          <w:r>
            <w:rPr>
              <w:rFonts w:ascii="Calibri" w:hAnsi="Calibri"/>
              <w:color w:val="000000"/>
              <w:sz w:val="22"/>
            </w:rPr>
            <w:t>{{REGION_DELETION_CONTACT}}</w:t>
          </w:r>
        </w:sdtContent>
      </w:sdt>
    </w:p>
    <w:p>
      <w:pPr>
        <w:pStyle w:val="Heading2"/>
      </w:pPr>
      <w:r>
        <w:t>Destination D - Local/Federated Processing</w:t>
      </w:r>
    </w:p>
    <w:p>
      <w:pPr>
        <w:spacing w:after="60"/>
      </w:pPr>
      <w:r>
        <w:rPr>
          <w:rFonts w:ascii="Calibri" w:hAnsi="Calibri"/>
          <w:b/>
          <w:color w:val="0B2545"/>
          <w:sz w:val="22"/>
        </w:rPr>
        <w:t xml:space="preserve">Repository/operator: </w:t>
      </w:r>
      <w:sdt>
        <w:sdtPr>
          <w:tag w:val="FEDERATED_REPOSITORY_OPERATOR"/>
          <w:alias w:val="FEDERATED_REPOSITORY_OPERATOR"/>
          <w:text/>
        </w:sdtPr>
        <w:sdtContent>
          <w:r>
            <w:rPr>
              <w:rFonts w:ascii="Calibri" w:hAnsi="Calibri"/>
              <w:color w:val="000000"/>
              <w:sz w:val="22"/>
            </w:rPr>
            <w:t>{{FEDERATED_REPOSITORY_OPERATOR}}</w:t>
          </w:r>
        </w:sdtContent>
      </w:sdt>
    </w:p>
    <w:p>
      <w:pPr>
        <w:spacing w:after="60"/>
      </w:pPr>
      <w:r>
        <w:rPr>
          <w:rFonts w:ascii="Calibri" w:hAnsi="Calibri"/>
          <w:b/>
          <w:color w:val="0B2545"/>
          <w:sz w:val="22"/>
        </w:rPr>
        <w:t xml:space="preserve">Controller/custodian/processor role: </w:t>
      </w:r>
      <w:sdt>
        <w:sdtPr>
          <w:tag w:val="FEDERATED_LEGAL_ROLE"/>
          <w:alias w:val="FEDERATED_LEGAL_ROLE"/>
          <w:text/>
        </w:sdtPr>
        <w:sdtContent>
          <w:r>
            <w:rPr>
              <w:rFonts w:ascii="Calibri" w:hAnsi="Calibri"/>
              <w:color w:val="000000"/>
              <w:sz w:val="22"/>
            </w:rPr>
            <w:t>{{FEDERATED_LEGAL_ROLE}}</w:t>
          </w:r>
        </w:sdtContent>
      </w:sdt>
    </w:p>
    <w:p>
      <w:pPr>
        <w:spacing w:after="60"/>
      </w:pPr>
      <w:r>
        <w:rPr>
          <w:rFonts w:ascii="Calibri" w:hAnsi="Calibri"/>
          <w:b/>
          <w:color w:val="0B2545"/>
          <w:sz w:val="22"/>
        </w:rPr>
        <w:t xml:space="preserve">Primary storage country/region: </w:t>
      </w:r>
      <w:sdt>
        <w:sdtPr>
          <w:tag w:val="FEDERATED_PRIMARY_REGION"/>
          <w:alias w:val="FEDERATED_PRIMARY_REGION"/>
          <w:text/>
        </w:sdtPr>
        <w:sdtContent>
          <w:r>
            <w:rPr>
              <w:rFonts w:ascii="Calibri" w:hAnsi="Calibri"/>
              <w:color w:val="000000"/>
              <w:sz w:val="22"/>
            </w:rPr>
            <w:t>{{FEDERATED_PRIMARY_REGION}}</w:t>
          </w:r>
        </w:sdtContent>
      </w:sdt>
    </w:p>
    <w:p>
      <w:pPr>
        <w:spacing w:after="60"/>
      </w:pPr>
      <w:r>
        <w:rPr>
          <w:rFonts w:ascii="Calibri" w:hAnsi="Calibri"/>
          <w:b/>
          <w:color w:val="0B2545"/>
          <w:sz w:val="22"/>
        </w:rPr>
        <w:t xml:space="preserve">Backup/disaster-recovery region: </w:t>
      </w:r>
      <w:sdt>
        <w:sdtPr>
          <w:tag w:val="FEDERATED_BACKUP_REGION"/>
          <w:alias w:val="FEDERATED_BACKUP_REGION"/>
          <w:text/>
        </w:sdtPr>
        <w:sdtContent>
          <w:r>
            <w:rPr>
              <w:rFonts w:ascii="Calibri" w:hAnsi="Calibri"/>
              <w:color w:val="000000"/>
              <w:sz w:val="22"/>
            </w:rPr>
            <w:t>{{FEDERATED_BACKUP_REGION}}</w:t>
          </w:r>
        </w:sdtContent>
      </w:sdt>
    </w:p>
    <w:p>
      <w:pPr>
        <w:spacing w:after="60"/>
      </w:pPr>
      <w:r>
        <w:rPr>
          <w:rFonts w:ascii="Calibri" w:hAnsi="Calibri"/>
          <w:b/>
          <w:color w:val="0B2545"/>
          <w:sz w:val="22"/>
        </w:rPr>
        <w:t xml:space="preserve">Data copy retained: </w:t>
      </w:r>
      <w:sdt>
        <w:sdtPr>
          <w:tag w:val="FEDERATED_DATA_COPY"/>
          <w:alias w:val="FEDERATED_DATA_COPY"/>
          <w:text/>
        </w:sdtPr>
        <w:sdtContent>
          <w:r>
            <w:rPr>
              <w:rFonts w:ascii="Calibri" w:hAnsi="Calibri"/>
              <w:color w:val="000000"/>
              <w:sz w:val="22"/>
            </w:rPr>
            <w:t>{{FEDERATED_DATA_COPY}}</w:t>
          </w:r>
        </w:sdtContent>
      </w:sdt>
    </w:p>
    <w:p>
      <w:pPr>
        <w:spacing w:after="60"/>
      </w:pPr>
      <w:r>
        <w:rPr>
          <w:rFonts w:ascii="Calibri" w:hAnsi="Calibri"/>
          <w:b/>
          <w:color w:val="0B2545"/>
          <w:sz w:val="22"/>
        </w:rPr>
        <w:t xml:space="preserve">People/entities with access: </w:t>
      </w:r>
      <w:sdt>
        <w:sdtPr>
          <w:tag w:val="FEDERATED_ACCESS_RECIPIENTS"/>
          <w:alias w:val="FEDERATED_ACCESS_RECIPIENTS"/>
          <w:text/>
        </w:sdtPr>
        <w:sdtContent>
          <w:r>
            <w:rPr>
              <w:rFonts w:ascii="Calibri" w:hAnsi="Calibri"/>
              <w:color w:val="000000"/>
              <w:sz w:val="22"/>
            </w:rPr>
            <w:t>{{FEDERATED_ACCESS_RECIPIENTS}}</w:t>
          </w:r>
        </w:sdtContent>
      </w:sdt>
    </w:p>
    <w:p>
      <w:pPr>
        <w:spacing w:after="60"/>
      </w:pPr>
      <w:r>
        <w:rPr>
          <w:rFonts w:ascii="Calibri" w:hAnsi="Calibri"/>
          <w:b/>
          <w:color w:val="0B2545"/>
          <w:sz w:val="22"/>
        </w:rPr>
        <w:t xml:space="preserve">Countries from which remote access may occur: </w:t>
      </w:r>
      <w:sdt>
        <w:sdtPr>
          <w:tag w:val="FEDERATED_ACCESS_COUNTRIES"/>
          <w:alias w:val="FEDERATED_ACCESS_COUNTRIES"/>
          <w:text/>
        </w:sdtPr>
        <w:sdtContent>
          <w:r>
            <w:rPr>
              <w:rFonts w:ascii="Calibri" w:hAnsi="Calibri"/>
              <w:color w:val="000000"/>
              <w:sz w:val="22"/>
            </w:rPr>
            <w:t>{{FEDERATED_ACCESS_COUNTRIES}}</w:t>
          </w:r>
        </w:sdtContent>
      </w:sdt>
    </w:p>
    <w:p>
      <w:pPr>
        <w:spacing w:after="60"/>
      </w:pPr>
      <w:r>
        <w:rPr>
          <w:rFonts w:ascii="Calibri" w:hAnsi="Calibri"/>
          <w:b/>
          <w:color w:val="0B2545"/>
          <w:sz w:val="22"/>
        </w:rPr>
        <w:t xml:space="preserve">Purpose and retention: </w:t>
      </w:r>
      <w:sdt>
        <w:sdtPr>
          <w:tag w:val="FEDERATED_PURPOSE_RETENTION"/>
          <w:alias w:val="FEDERATED_PURPOSE_RETENTION"/>
          <w:text/>
        </w:sdtPr>
        <w:sdtContent>
          <w:r>
            <w:rPr>
              <w:rFonts w:ascii="Calibri" w:hAnsi="Calibri"/>
              <w:color w:val="000000"/>
              <w:sz w:val="22"/>
            </w:rPr>
            <w:t>{{FEDERATED_PURPOSE_RETENTION}}</w:t>
          </w:r>
        </w:sdtContent>
      </w:sdt>
    </w:p>
    <w:p>
      <w:pPr>
        <w:spacing w:after="60"/>
      </w:pPr>
      <w:r>
        <w:rPr>
          <w:rFonts w:ascii="Calibri" w:hAnsi="Calibri"/>
          <w:b/>
          <w:color w:val="0B2545"/>
          <w:sz w:val="22"/>
        </w:rPr>
        <w:t xml:space="preserve">International transfer mechanism, if any: </w:t>
      </w:r>
      <w:sdt>
        <w:sdtPr>
          <w:tag w:val="FEDERATED_TRANSFER_MECHANISM"/>
          <w:alias w:val="FEDERATED_TRANSFER_MECHANISM"/>
          <w:text/>
        </w:sdtPr>
        <w:sdtContent>
          <w:r>
            <w:rPr>
              <w:rFonts w:ascii="Calibri" w:hAnsi="Calibri"/>
              <w:color w:val="000000"/>
              <w:sz w:val="22"/>
            </w:rPr>
            <w:t>{{FEDERATED_TRANSFER_MECHANISM}}</w:t>
          </w:r>
        </w:sdtContent>
      </w:sdt>
    </w:p>
    <w:p>
      <w:pPr>
        <w:spacing w:after="60"/>
      </w:pPr>
      <w:r>
        <w:rPr>
          <w:rFonts w:ascii="Calibri" w:hAnsi="Calibri"/>
          <w:b/>
          <w:color w:val="0B2545"/>
          <w:sz w:val="22"/>
        </w:rPr>
        <w:t xml:space="preserve">Deletion/contact pathway: </w:t>
      </w:r>
      <w:sdt>
        <w:sdtPr>
          <w:tag w:val="FEDERATED_DELETION_CONTACT"/>
          <w:alias w:val="FEDERATED_DELETION_CONTACT"/>
          <w:text/>
        </w:sdtPr>
        <w:sdtContent>
          <w:r>
            <w:rPr>
              <w:rFonts w:ascii="Calibri" w:hAnsi="Calibri"/>
              <w:color w:val="000000"/>
              <w:sz w:val="22"/>
            </w:rPr>
            <w:t>{{FEDERATED_DELETION_CONTACT}}</w:t>
          </w:r>
        </w:sdtContent>
      </w:sdt>
    </w:p>
    <w:p>
      <w:pPr>
        <w:spacing w:before="80" w:after="200" w:line="259" w:lineRule="auto"/>
        <w:ind w:left="173" w:right="115"/>
        <w:shd w:fill="F4F6F9"/>
        <w:pBdr>
          <w:left w:val="single" w:sz="16" w:space="8" w:color="2E74B5"/>
        </w:pBdr>
        <w:keepLines/>
      </w:pPr>
      <w:r>
        <w:rPr>
          <w:rFonts w:ascii="Calibri" w:hAnsi="Calibri"/>
          <w:b/>
          <w:color w:val="2E74B5"/>
          <w:sz w:val="22"/>
        </w:rPr>
        <w:t xml:space="preserve">Temporary processing must be disclosed. </w:t>
      </w:r>
      <w:r>
        <w:rPr>
          <w:rFonts w:ascii="Calibri" w:hAnsi="Calibri"/>
          <w:color w:val="000000"/>
          <w:sz w:val="22"/>
        </w:rPr>
        <w:t>If the NeuroAgent AI app temporarily receives data before sending them to an institution or regional repository, the study must state what reaches NeuroAgent systems, where it is processed, how long temporary copies and logs remain, and whether NeuroAgent receives derived outputs. 'No NeuroAgent storage' does not mean 'no NeuroAgent processing.'</w:t>
      </w:r>
    </w:p>
    <w:p>
      <w:r>
        <w:br w:type="page"/>
      </w:r>
    </w:p>
    <w:p>
      <w:pPr>
        <w:pStyle w:val="Heading1"/>
      </w:pPr>
      <w:r>
        <w:t>8. How may my data be used?</w:t>
      </w:r>
    </w:p>
    <w:p>
      <w:r>
        <w:t>Primary-study use is described in this form and protocol. The choices below must be presented separately, with no boxes preselected. Declining an optional use will not prevent participation in the primary study. If a use is scientifically essential, it must be identified as required before consent rather than presented as optional.</w:t>
      </w:r>
    </w:p>
    <w:tbl>
      <w:tblPr>
        <w:tblStyle w:val="TableGrid"/>
        <w:tblW w:type="dxa" w:w="9360"/>
        <w:jc w:val="left"/>
        <w:tblLayout w:type="fixed"/>
        <w:tblLook w:firstColumn="1" w:firstRow="1" w:lastColumn="0" w:lastRow="0" w:noHBand="0" w:noVBand="1" w:val="04A0"/>
        <w:tblInd w:type="dxa" w:w="120"/>
      </w:tblPr>
      <w:tblGrid>
        <w:gridCol w:w="6552"/>
        <w:gridCol w:w="1404"/>
        <w:gridCol w:w="1404"/>
      </w:tblGrid>
      <w:tr>
        <w:trPr>
          <w:tblHeader w:val="true"/>
          <w:cantSplit/>
        </w:trPr>
        <w:tc>
          <w:tcPr>
            <w:tcW w:type="dxa" w:w="655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Permission or decision</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Yes</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No</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Use my data for this specific study and its quality, safety, auditing, and regulatory requirements. Required status: </w:t>
            </w:r>
            <w:sdt>
              <w:sdtPr>
                <w:tag w:val="PRIMARY_USE_REQUIRED"/>
                <w:alias w:val="PRIMARY_USE_REQUIRED"/>
                <w:text/>
              </w:sdtPr>
              <w:sdtContent>
                <w:r>
                  <w:rPr>
                    <w:rFonts w:ascii="Calibri" w:hAnsi="Calibri"/>
                    <w:b w:val="0"/>
                    <w:color w:val="000000"/>
                    <w:sz w:val="18"/>
                  </w:rPr>
                  <w:t>{{PRIMARY_USE_REQUIRED}}</w:t>
                </w:r>
              </w:sdtContent>
            </w:sdt>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Retain raw video, image, or audio after quality checking for the period listed in the Data Retention Schedule.</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 xml:space="preserve">Use my coded data for future research within dementia, ALS-FTD, neurodegeneration, cognition, and related neurological research described here: </w:t>
            </w:r>
            <w:sdt>
              <w:sdtPr>
                <w:tag w:val="FUTURE_RESEARCH_SCOPE"/>
                <w:alias w:val="FUTURE_RESEARCH_SCOPE"/>
                <w:text/>
              </w:sdtPr>
              <w:sdtContent>
                <w:r>
                  <w:rPr>
                    <w:rFonts w:ascii="Calibri" w:hAnsi="Calibri"/>
                    <w:b w:val="0"/>
                    <w:color w:val="000000"/>
                    <w:sz w:val="18"/>
                  </w:rPr>
                  <w:t>{{FUTURE_RESEARCH_SCOPE}}</w:t>
                </w:r>
              </w:sdtContent>
            </w:sdt>
            <w:r>
              <w:rPr>
                <w:rFonts w:ascii="Calibri" w:hAnsi="Calibri"/>
                <w:b w:val="0"/>
                <w:color w:val="000000"/>
                <w:sz w:val="18"/>
              </w:rPr>
              <w:t>.</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Use my coded data to develop, train, validate, audit, or improve AI/statistical models for the approved neurological research purposes.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Share my coded data with approved external academic, nonprofit, government, or industry researchers under data-use controls and review.</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Use my coded data in commercial research or development. My participant-level biometric identifiers or biometric information will not be sold, leased, traded, or otherwise monetized.</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Contact me about this study, new findings that may affect participation, or future research opportunities.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Link my study data with the separately listed medical-record, wearable, imaging, laboratory, or genetic sources in an active linkage module.</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bl>
    <w:p>
      <w:pPr>
        <w:spacing w:after="40"/>
      </w:pPr>
    </w:p>
    <w:p>
      <w:pPr>
        <w:pStyle w:val="Heading2"/>
      </w:pPr>
      <w:r>
        <w:t>Public datasets and open science</w:t>
      </w:r>
    </w:p>
    <w:p>
      <w:r>
        <w:t>No identifiable or pseudonymous participant data will be published merely because the software is open source. Raw face video, voice/audio, eye images, gait video, precise movement traces, and similarly re-identifiable media will not be placed in a public dataset under this core consent. Any proposed public dataset requires a dataset-specific release plan, independent privacy review, and separate permission or another approved legal basis.</w:t>
      </w:r>
    </w:p>
    <w:p>
      <w:pPr>
        <w:pStyle w:val="Heading2"/>
      </w:pPr>
      <w:r>
        <w:t>Commercial development and profit</w:t>
      </w:r>
    </w:p>
    <w:p>
      <w:r>
        <w:t xml:space="preserve">The research may lead to tests, software, algorithms, services, intellectual property, or other products with commercial value. Unless </w:t>
      </w:r>
      <w:sdt>
        <w:sdtPr>
          <w:tag w:val="PARTICIPANT_PROFIT_SHARING_RULE"/>
          <w:alias w:val="PARTICIPANT_PROFIT_SHARING_RULE"/>
          <w:text/>
        </w:sdtPr>
        <w:sdtContent>
          <w:r>
            <w:t>{{PARTICIPANT_PROFIT_SHARING_RULE}}</w:t>
          </w:r>
        </w:sdtContent>
      </w:sdt>
      <w:r>
        <w:t>, you will not own those products or receive royalties or other profits. This does not authorize sale of your participant-level data or any use prohibited by applicable law.</w:t>
      </w:r>
    </w:p>
    <w:p>
      <w:pPr>
        <w:pStyle w:val="Heading1"/>
      </w:pPr>
      <w:r>
        <w:t>9. Who may receive or access my data?</w:t>
      </w:r>
    </w:p>
    <w:p>
      <w:pPr>
        <w:numPr>
          <w:ilvl w:val="0"/>
          <w:numId w:val="10"/>
        </w:numPr>
        <w:spacing w:after="160" w:line="280" w:lineRule="auto"/>
      </w:pPr>
      <w:r>
        <w:t>The named investigator, authorized study staff, and the controller/custodian for each selected repository.</w:t>
      </w:r>
    </w:p>
    <w:p>
      <w:pPr>
        <w:numPr>
          <w:ilvl w:val="0"/>
          <w:numId w:val="10"/>
        </w:numPr>
        <w:spacing w:after="160" w:line="280" w:lineRule="auto"/>
      </w:pPr>
      <w:r>
        <w:t>Approved technology, cloud, security, transcription, analytics, or support providers acting under written instructions and confidentiality/security obligations.</w:t>
      </w:r>
    </w:p>
    <w:p>
      <w:pPr>
        <w:numPr>
          <w:ilvl w:val="0"/>
          <w:numId w:val="10"/>
        </w:numPr>
        <w:spacing w:after="160" w:line="280" w:lineRule="auto"/>
      </w:pPr>
      <w:r>
        <w:t>The sponsor, monitors, auditors, IRB/ethics committee, regulators, or other oversight bodies as required for the study.</w:t>
      </w:r>
    </w:p>
    <w:p>
      <w:pPr>
        <w:numPr>
          <w:ilvl w:val="0"/>
          <w:numId w:val="10"/>
        </w:numPr>
        <w:spacing w:after="160" w:line="280" w:lineRule="auto"/>
      </w:pPr>
      <w:r>
        <w:t>Approved external researchers only if the relevant sharing permission and data-use governance apply.</w:t>
      </w:r>
    </w:p>
    <w:p>
      <w:pPr>
        <w:numPr>
          <w:ilvl w:val="0"/>
          <w:numId w:val="10"/>
        </w:numPr>
        <w:spacing w:after="160" w:line="280" w:lineRule="auto"/>
      </w:pPr>
      <w:r>
        <w:t>Other parties when required by applicable law, court order, or valid legal process. The study does not voluntarily provide data for unrelated surveillance or law-enforcement use.</w:t>
      </w:r>
    </w:p>
    <w:p>
      <w:pPr>
        <w:spacing w:after="60"/>
      </w:pPr>
      <w:r>
        <w:rPr>
          <w:rFonts w:ascii="Calibri" w:hAnsi="Calibri"/>
          <w:b/>
          <w:color w:val="0B2545"/>
          <w:sz w:val="22"/>
        </w:rPr>
        <w:t xml:space="preserve">Named recipients/categories for this study: </w:t>
      </w:r>
      <w:sdt>
        <w:sdtPr>
          <w:tag w:val="NAMED_RECIPIENTS_AND_CATEGORIES"/>
          <w:alias w:val="NAMED_RECIPIENTS_AND_CATEGORIES"/>
          <w:text/>
        </w:sdtPr>
        <w:sdtContent>
          <w:r>
            <w:rPr>
              <w:rFonts w:ascii="Calibri" w:hAnsi="Calibri"/>
              <w:color w:val="000000"/>
              <w:sz w:val="22"/>
            </w:rPr>
            <w:t>{{NAMED_RECIPIENTS_AND_CATEGORIES}}</w:t>
          </w:r>
        </w:sdtContent>
      </w:sdt>
    </w:p>
    <w:p>
      <w:pPr>
        <w:pStyle w:val="Heading1"/>
      </w:pPr>
      <w:r>
        <w:t>10. What are the risks and discomforts?</w:t>
      </w:r>
    </w:p>
    <w:p>
      <w:pPr>
        <w:numPr>
          <w:ilvl w:val="0"/>
          <w:numId w:val="10"/>
        </w:numPr>
        <w:spacing w:after="160" w:line="280" w:lineRule="auto"/>
      </w:pPr>
      <w:r>
        <w:t>Privacy and confidentiality: accidental access, breach, unauthorized sharing, or misuse could reveal health, cognitive, behavioral, voice, face, movement, or identity-related information.</w:t>
      </w:r>
    </w:p>
    <w:p>
      <w:pPr>
        <w:numPr>
          <w:ilvl w:val="0"/>
          <w:numId w:val="10"/>
        </w:numPr>
        <w:spacing w:after="160" w:line="280" w:lineRule="auto"/>
      </w:pPr>
      <w:r>
        <w:t>Re-identification: recordings and detailed human signals can remain identifying even after names are removed. Rare-disease combinations can increase this risk.</w:t>
      </w:r>
    </w:p>
    <w:p>
      <w:pPr>
        <w:numPr>
          <w:ilvl w:val="0"/>
          <w:numId w:val="10"/>
        </w:numPr>
        <w:spacing w:after="160" w:line="280" w:lineRule="auto"/>
      </w:pPr>
      <w:r>
        <w:t>Emotional or social harm: questions or performance may cause worry, embarrassment, frustration, fatigue, stigma, discrimination concerns, or family tension.</w:t>
      </w:r>
    </w:p>
    <w:p>
      <w:pPr>
        <w:numPr>
          <w:ilvl w:val="0"/>
          <w:numId w:val="10"/>
        </w:numPr>
        <w:spacing w:after="160" w:line="280" w:lineRule="auto"/>
      </w:pPr>
      <w:r>
        <w:t>Physical risk: standing, balance, or walking tasks may cause dizziness, fatigue, or a fall. Do not perform a movement task unless the study's safety instructions are satisfied. You may stop immediately.</w:t>
      </w:r>
    </w:p>
    <w:p>
      <w:pPr>
        <w:numPr>
          <w:ilvl w:val="0"/>
          <w:numId w:val="10"/>
        </w:numPr>
        <w:spacing w:after="160" w:line="280" w:lineRule="auto"/>
      </w:pPr>
      <w:r>
        <w:t>Incorrect or biased outputs: devices, lighting, language, disability, speech or motor impairment, skin tone, age, and other factors may affect data quality or model performance. ALS-related motor or speech changes may be mistaken for cognitive change if not properly accounted for.</w:t>
      </w:r>
    </w:p>
    <w:p>
      <w:pPr>
        <w:numPr>
          <w:ilvl w:val="0"/>
          <w:numId w:val="10"/>
        </w:numPr>
        <w:spacing w:after="160" w:line="280" w:lineRule="auto"/>
      </w:pPr>
      <w:r>
        <w:t>International access: another country's laws may permit government or legal access that differs from protections in your home jurisdiction.</w:t>
      </w:r>
    </w:p>
    <w:p>
      <w:pPr>
        <w:numPr>
          <w:ilvl w:val="0"/>
          <w:numId w:val="10"/>
        </w:numPr>
        <w:spacing w:after="160" w:line="280" w:lineRule="auto"/>
      </w:pPr>
      <w:r>
        <w:t>Unknown risks: future analytical methods may reveal information that is not currently predictable.</w:t>
      </w:r>
    </w:p>
    <w:p>
      <w:pPr>
        <w:spacing w:after="60"/>
      </w:pPr>
      <w:r>
        <w:rPr>
          <w:rFonts w:ascii="Calibri" w:hAnsi="Calibri"/>
          <w:b/>
          <w:color w:val="0B2545"/>
          <w:sz w:val="22"/>
        </w:rPr>
        <w:t xml:space="preserve">Study-specific risks: </w:t>
      </w:r>
      <w:sdt>
        <w:sdtPr>
          <w:tag w:val="STUDY_SPECIFIC_RISKS"/>
          <w:alias w:val="STUDY_SPECIFIC_RISKS"/>
          <w:text/>
        </w:sdtPr>
        <w:sdtContent>
          <w:r>
            <w:rPr>
              <w:rFonts w:ascii="Calibri" w:hAnsi="Calibri"/>
              <w:color w:val="000000"/>
              <w:sz w:val="22"/>
            </w:rPr>
            <w:t>{{STUDY_SPECIFIC_RISKS}}</w:t>
          </w:r>
        </w:sdtContent>
      </w:sdt>
    </w:p>
    <w:p>
      <w:pPr>
        <w:pStyle w:val="Heading1"/>
      </w:pPr>
      <w:r>
        <w:t>11. How will the study protect my data?</w:t>
      </w:r>
    </w:p>
    <w:p>
      <w:pPr>
        <w:numPr>
          <w:ilvl w:val="0"/>
          <w:numId w:val="10"/>
        </w:numPr>
        <w:spacing w:after="160" w:line="280" w:lineRule="auto"/>
      </w:pPr>
      <w:r>
        <w:t>Collect only data needed for approved purposes; separate direct identifiers from research data where feasible; and use a coded participant ID.</w:t>
      </w:r>
    </w:p>
    <w:p>
      <w:pPr>
        <w:numPr>
          <w:ilvl w:val="0"/>
          <w:numId w:val="10"/>
        </w:numPr>
        <w:spacing w:after="160" w:line="280" w:lineRule="auto"/>
      </w:pPr>
      <w:r>
        <w:t>Encrypt data during transmission and storage using the study-approved methods; apply role-based access, least privilege, access logging, and periodic review.</w:t>
      </w:r>
    </w:p>
    <w:p>
      <w:pPr>
        <w:numPr>
          <w:ilvl w:val="0"/>
          <w:numId w:val="10"/>
        </w:numPr>
        <w:spacing w:after="160" w:line="280" w:lineRule="auto"/>
      </w:pPr>
      <w:r>
        <w:t>Use written agreements with processors, repositories, and data recipients; restrict onward sharing; and maintain incident and deletion workflows.</w:t>
      </w:r>
    </w:p>
    <w:p>
      <w:pPr>
        <w:numPr>
          <w:ilvl w:val="0"/>
          <w:numId w:val="10"/>
        </w:numPr>
        <w:spacing w:after="160" w:line="280" w:lineRule="auto"/>
      </w:pPr>
      <w:r>
        <w:t>Keep backups in disclosed regions, prohibit advertising trackers in research flows, and avoid collecting precise location or unrelated device data unless specifically approved and disclosed.</w:t>
      </w:r>
    </w:p>
    <w:p>
      <w:r>
        <w:t xml:space="preserve">No security system can eliminate all risk. The study-specific security and privacy controls are </w:t>
      </w:r>
      <w:sdt>
        <w:sdtPr>
          <w:tag w:val="SECURITY_CONTROL_SUMMARY"/>
          <w:alias w:val="SECURITY_CONTROL_SUMMARY"/>
          <w:text/>
        </w:sdtPr>
        <w:sdtContent>
          <w:r>
            <w:t>{{SECURITY_CONTROL_SUMMARY}}</w:t>
          </w:r>
        </w:sdtContent>
      </w:sdt>
      <w:r>
        <w:t>. If a reportable breach occurs, affected participants and authorities will be notified as required by applicable law and the approved response plan.</w:t>
      </w:r>
    </w:p>
    <w:p>
      <w:pPr>
        <w:pStyle w:val="Heading1"/>
      </w:pPr>
      <w:r>
        <w:t>12. Will I receive results or clinical advice?</w:t>
      </w:r>
    </w:p>
    <w:p>
      <w:pPr>
        <w:spacing w:before="80" w:after="200" w:line="259" w:lineRule="auto"/>
        <w:ind w:left="173" w:right="115"/>
        <w:shd w:fill="FFF4D6"/>
        <w:pBdr>
          <w:left w:val="single" w:sz="16" w:space="8" w:color="9A6A00"/>
        </w:pBdr>
        <w:keepLines/>
      </w:pPr>
      <w:r>
        <w:rPr>
          <w:rFonts w:ascii="Calibri" w:hAnsi="Calibri"/>
          <w:b/>
          <w:color w:val="9A6A00"/>
          <w:sz w:val="22"/>
        </w:rPr>
        <w:t xml:space="preserve">Research only. </w:t>
      </w:r>
      <w:r>
        <w:rPr>
          <w:rFonts w:ascii="Calibri" w:hAnsi="Calibri"/>
          <w:color w:val="000000"/>
          <w:sz w:val="22"/>
        </w:rPr>
        <w:t>The app and research tasks are not a diagnosis, are not a substitute for medical care, and are not continuously monitored. Do not use the app for an emergency or to decide whether to seek care. If you believe you or someone else is in danger or needs urgent care, contact local emergency services or an appropriate clinician.</w:t>
      </w:r>
    </w:p>
    <w:p>
      <w:pPr>
        <w:spacing w:after="60"/>
      </w:pPr>
      <w:r>
        <w:rPr>
          <w:rFonts w:ascii="Calibri" w:hAnsi="Calibri"/>
          <w:b/>
          <w:color w:val="0B2545"/>
          <w:sz w:val="22"/>
        </w:rPr>
        <w:t xml:space="preserve">Individual research results policy: </w:t>
      </w:r>
      <w:sdt>
        <w:sdtPr>
          <w:tag w:val="INDIVIDUAL_RESULTS_POLICY"/>
          <w:alias w:val="INDIVIDUAL_RESULTS_POLICY"/>
          <w:text/>
        </w:sdtPr>
        <w:sdtContent>
          <w:r>
            <w:rPr>
              <w:rFonts w:ascii="Calibri" w:hAnsi="Calibri"/>
              <w:color w:val="000000"/>
              <w:sz w:val="22"/>
            </w:rPr>
            <w:t>{{INDIVIDUAL_RESULTS_POLICY}}</w:t>
          </w:r>
        </w:sdtContent>
      </w:sdt>
    </w:p>
    <w:p>
      <w:pPr>
        <w:spacing w:after="60"/>
      </w:pPr>
      <w:r>
        <w:rPr>
          <w:rFonts w:ascii="Calibri" w:hAnsi="Calibri"/>
          <w:b/>
          <w:color w:val="0B2545"/>
          <w:sz w:val="22"/>
        </w:rPr>
        <w:t xml:space="preserve">Incidental or urgent observation plan: </w:t>
      </w:r>
      <w:sdt>
        <w:sdtPr>
          <w:tag w:val="INCIDENTAL_FINDINGS_AND_ESCALATION_PLAN"/>
          <w:alias w:val="INCIDENTAL_FINDINGS_AND_ESCALATION_PLAN"/>
          <w:text/>
        </w:sdtPr>
        <w:sdtContent>
          <w:r>
            <w:rPr>
              <w:rFonts w:ascii="Calibri" w:hAnsi="Calibri"/>
              <w:color w:val="000000"/>
              <w:sz w:val="22"/>
            </w:rPr>
            <w:t>{{INCIDENTAL_FINDINGS_AND_ESCALATION_PLAN}}</w:t>
          </w:r>
        </w:sdtContent>
      </w:sdt>
    </w:p>
    <w:p>
      <w:pPr>
        <w:spacing w:after="60"/>
      </w:pPr>
      <w:r>
        <w:rPr>
          <w:rFonts w:ascii="Calibri" w:hAnsi="Calibri"/>
          <w:b/>
          <w:color w:val="0B2545"/>
          <w:sz w:val="22"/>
        </w:rPr>
        <w:t xml:space="preserve">Overall study results: </w:t>
      </w:r>
      <w:sdt>
        <w:sdtPr>
          <w:tag w:val="AGGREGATE_RESULTS_PLAN"/>
          <w:alias w:val="AGGREGATE_RESULTS_PLAN"/>
          <w:text/>
        </w:sdtPr>
        <w:sdtContent>
          <w:r>
            <w:rPr>
              <w:rFonts w:ascii="Calibri" w:hAnsi="Calibri"/>
              <w:color w:val="000000"/>
              <w:sz w:val="22"/>
            </w:rPr>
            <w:t>{{AGGREGATE_RESULTS_PLAN}}</w:t>
          </w:r>
        </w:sdtContent>
      </w:sdt>
    </w:p>
    <w:p>
      <w:pPr>
        <w:pStyle w:val="Heading1"/>
      </w:pPr>
      <w:r>
        <w:t>13. How long will data be kept and when will it be destroyed?</w:t>
      </w:r>
    </w:p>
    <w:p>
      <w:r>
        <w:t>The study must use the shortest applicable period across the protocol, repository agreement, IRB/ethics approval, and participant jurisdiction, unless a legal or scientific-integrity obligation requires a specified exception. A generic statement such as 'as long as needed' is not sufficient for deployment.</w:t>
      </w:r>
    </w:p>
    <w:tbl>
      <w:tblPr>
        <w:tblStyle w:val="TableGrid"/>
        <w:tblW w:type="dxa" w:w="9360"/>
        <w:jc w:val="left"/>
        <w:tblLayout w:type="fixed"/>
        <w:tblLook w:firstColumn="1" w:firstRow="1" w:lastColumn="0" w:lastRow="0" w:noHBand="0" w:noVBand="1" w:val="04A0"/>
        <w:tblInd w:type="dxa" w:w="120"/>
      </w:tblPr>
      <w:tblGrid>
        <w:gridCol w:w="2808"/>
        <w:gridCol w:w="4025"/>
        <w:gridCol w:w="2527"/>
      </w:tblGrid>
      <w:tr>
        <w:trPr>
          <w:tblHeader w:val="true"/>
          <w:cantSplit/>
        </w:trPr>
        <w:tc>
          <w:tcPr>
            <w:tcW w:type="dxa" w:w="2808"/>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Data class</w:t>
            </w:r>
          </w:p>
        </w:tc>
        <w:tc>
          <w:tcPr>
            <w:tcW w:type="dxa" w:w="4025"/>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Retention/destruction rule</w:t>
            </w:r>
          </w:p>
        </w:tc>
        <w:tc>
          <w:tcPr>
            <w:tcW w:type="dxa" w:w="2527"/>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Destination(s)</w:t>
            </w:r>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Direct identifiers/contact</w:t>
            </w:r>
          </w:p>
        </w:tc>
        <w:tc>
          <w:tcPr>
            <w:tcW w:type="dxa" w:w="4025"/>
            <w:vAlign w:val="center"/>
            <w:tcMar>
              <w:top w:w="80" w:type="dxa"/>
              <w:bottom w:w="80" w:type="dxa"/>
              <w:start w:w="120" w:type="dxa"/>
              <w:end w:w="120" w:type="dxa"/>
            </w:tcMar>
          </w:tcPr>
          <w:p>
            <w:pPr>
              <w:spacing w:before="0" w:after="40" w:line="252" w:lineRule="auto"/>
            </w:pPr>
            <w:r/>
            <w:sdt>
              <w:sdtPr>
                <w:tag w:val="RETENTION_IDENTIFIERS"/>
                <w:alias w:val="RETENTION_IDENTIFIERS"/>
                <w:text/>
              </w:sdtPr>
              <w:sdtContent>
                <w:r>
                  <w:rPr>
                    <w:rFonts w:ascii="Calibri" w:hAnsi="Calibri"/>
                    <w:b w:val="0"/>
                    <w:color w:val="000000"/>
                    <w:sz w:val="18"/>
                  </w:rPr>
                  <w:t>{{RETENTION_IDENTIFIERS}}</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IDENTIFIERS"/>
                <w:alias w:val="DESTINATIONS_IDENTIFIERS"/>
                <w:text/>
              </w:sdtPr>
              <w:sdtContent>
                <w:r>
                  <w:rPr>
                    <w:rFonts w:ascii="Calibri" w:hAnsi="Calibri"/>
                    <w:b w:val="0"/>
                    <w:color w:val="000000"/>
                    <w:sz w:val="18"/>
                  </w:rPr>
                  <w:t>{{DESTINATIONS_IDENTIFIERS}}</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Raw video/images/audio</w:t>
            </w:r>
          </w:p>
        </w:tc>
        <w:tc>
          <w:tcPr>
            <w:tcW w:type="dxa" w:w="4025"/>
            <w:vAlign w:val="center"/>
            <w:tcMar>
              <w:top w:w="80" w:type="dxa"/>
              <w:bottom w:w="80" w:type="dxa"/>
              <w:start w:w="120" w:type="dxa"/>
              <w:end w:w="120" w:type="dxa"/>
            </w:tcMar>
          </w:tcPr>
          <w:p>
            <w:pPr>
              <w:spacing w:before="0" w:after="40" w:line="252" w:lineRule="auto"/>
            </w:pPr>
            <w:r/>
            <w:sdt>
              <w:sdtPr>
                <w:tag w:val="RETENTION_RAW_MEDIA"/>
                <w:alias w:val="RETENTION_RAW_MEDIA"/>
                <w:text/>
              </w:sdtPr>
              <w:sdtContent>
                <w:r>
                  <w:rPr>
                    <w:rFonts w:ascii="Calibri" w:hAnsi="Calibri"/>
                    <w:b w:val="0"/>
                    <w:color w:val="000000"/>
                    <w:sz w:val="18"/>
                  </w:rPr>
                  <w:t>{{RETENTION_RAW_MEDIA}}</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RAW_MEDIA"/>
                <w:alias w:val="DESTINATIONS_RAW_MEDIA"/>
                <w:text/>
              </w:sdtPr>
              <w:sdtContent>
                <w:r>
                  <w:rPr>
                    <w:rFonts w:ascii="Calibri" w:hAnsi="Calibri"/>
                    <w:b w:val="0"/>
                    <w:color w:val="000000"/>
                    <w:sz w:val="18"/>
                  </w:rPr>
                  <w:t>{{DESTINATIONS_RAW_MEDIA}}</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Derived human/biometric signals</w:t>
            </w:r>
          </w:p>
        </w:tc>
        <w:tc>
          <w:tcPr>
            <w:tcW w:type="dxa" w:w="4025"/>
            <w:vAlign w:val="center"/>
            <w:tcMar>
              <w:top w:w="80" w:type="dxa"/>
              <w:bottom w:w="80" w:type="dxa"/>
              <w:start w:w="120" w:type="dxa"/>
              <w:end w:w="120" w:type="dxa"/>
            </w:tcMar>
          </w:tcPr>
          <w:p>
            <w:pPr>
              <w:spacing w:before="0" w:after="40" w:line="252" w:lineRule="auto"/>
            </w:pPr>
            <w:r/>
            <w:sdt>
              <w:sdtPr>
                <w:tag w:val="RETENTION_DERIVED_SIGNALS"/>
                <w:alias w:val="RETENTION_DERIVED_SIGNALS"/>
                <w:text/>
              </w:sdtPr>
              <w:sdtContent>
                <w:r>
                  <w:rPr>
                    <w:rFonts w:ascii="Calibri" w:hAnsi="Calibri"/>
                    <w:b w:val="0"/>
                    <w:color w:val="000000"/>
                    <w:sz w:val="18"/>
                  </w:rPr>
                  <w:t>{{RETENTION_DERIVED_SIGNALS}}</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DERIVED_SIGNALS"/>
                <w:alias w:val="DESTINATIONS_DERIVED_SIGNALS"/>
                <w:text/>
              </w:sdtPr>
              <w:sdtContent>
                <w:r>
                  <w:rPr>
                    <w:rFonts w:ascii="Calibri" w:hAnsi="Calibri"/>
                    <w:b w:val="0"/>
                    <w:color w:val="000000"/>
                    <w:sz w:val="18"/>
                  </w:rPr>
                  <w:t>{{DESTINATIONS_DERIVED_SIGNALS}}</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Coded research dataset</w:t>
            </w:r>
          </w:p>
        </w:tc>
        <w:tc>
          <w:tcPr>
            <w:tcW w:type="dxa" w:w="4025"/>
            <w:vAlign w:val="center"/>
            <w:tcMar>
              <w:top w:w="80" w:type="dxa"/>
              <w:bottom w:w="80" w:type="dxa"/>
              <w:start w:w="120" w:type="dxa"/>
              <w:end w:w="120" w:type="dxa"/>
            </w:tcMar>
          </w:tcPr>
          <w:p>
            <w:pPr>
              <w:spacing w:before="0" w:after="40" w:line="252" w:lineRule="auto"/>
            </w:pPr>
            <w:r/>
            <w:sdt>
              <w:sdtPr>
                <w:tag w:val="RETENTION_CODED_DATASET"/>
                <w:alias w:val="RETENTION_CODED_DATASET"/>
                <w:text/>
              </w:sdtPr>
              <w:sdtContent>
                <w:r>
                  <w:rPr>
                    <w:rFonts w:ascii="Calibri" w:hAnsi="Calibri"/>
                    <w:b w:val="0"/>
                    <w:color w:val="000000"/>
                    <w:sz w:val="18"/>
                  </w:rPr>
                  <w:t>{{RETENTION_CODED_DATASET}}</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CODED_DATASET"/>
                <w:alias w:val="DESTINATIONS_CODED_DATASET"/>
                <w:text/>
              </w:sdtPr>
              <w:sdtContent>
                <w:r>
                  <w:rPr>
                    <w:rFonts w:ascii="Calibri" w:hAnsi="Calibri"/>
                    <w:b w:val="0"/>
                    <w:color w:val="000000"/>
                    <w:sz w:val="18"/>
                  </w:rPr>
                  <w:t>{{DESTINATIONS_CODED_DATASET}}</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Consent/audit/security records</w:t>
            </w:r>
          </w:p>
        </w:tc>
        <w:tc>
          <w:tcPr>
            <w:tcW w:type="dxa" w:w="4025"/>
            <w:vAlign w:val="center"/>
            <w:tcMar>
              <w:top w:w="80" w:type="dxa"/>
              <w:bottom w:w="80" w:type="dxa"/>
              <w:start w:w="120" w:type="dxa"/>
              <w:end w:w="120" w:type="dxa"/>
            </w:tcMar>
          </w:tcPr>
          <w:p>
            <w:pPr>
              <w:spacing w:before="0" w:after="40" w:line="252" w:lineRule="auto"/>
            </w:pPr>
            <w:r/>
            <w:sdt>
              <w:sdtPr>
                <w:tag w:val="RETENTION_AUDIT_RECORDS"/>
                <w:alias w:val="RETENTION_AUDIT_RECORDS"/>
                <w:text/>
              </w:sdtPr>
              <w:sdtContent>
                <w:r>
                  <w:rPr>
                    <w:rFonts w:ascii="Calibri" w:hAnsi="Calibri"/>
                    <w:b w:val="0"/>
                    <w:color w:val="000000"/>
                    <w:sz w:val="18"/>
                  </w:rPr>
                  <w:t>{{RETENTION_AUDIT_RECORDS}}</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AUDIT_RECORDS"/>
                <w:alias w:val="DESTINATIONS_AUDIT_RECORDS"/>
                <w:text/>
              </w:sdtPr>
              <w:sdtContent>
                <w:r>
                  <w:rPr>
                    <w:rFonts w:ascii="Calibri" w:hAnsi="Calibri"/>
                    <w:b w:val="0"/>
                    <w:color w:val="000000"/>
                    <w:sz w:val="18"/>
                  </w:rPr>
                  <w:t>{{DESTINATIONS_AUDIT_RECORDS}}</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Backups and disaster recovery</w:t>
            </w:r>
          </w:p>
        </w:tc>
        <w:tc>
          <w:tcPr>
            <w:tcW w:type="dxa" w:w="4025"/>
            <w:vAlign w:val="center"/>
            <w:tcMar>
              <w:top w:w="80" w:type="dxa"/>
              <w:bottom w:w="80" w:type="dxa"/>
              <w:start w:w="120" w:type="dxa"/>
              <w:end w:w="120" w:type="dxa"/>
            </w:tcMar>
          </w:tcPr>
          <w:p>
            <w:pPr>
              <w:spacing w:before="0" w:after="40" w:line="252" w:lineRule="auto"/>
            </w:pPr>
            <w:r/>
            <w:sdt>
              <w:sdtPr>
                <w:tag w:val="RETENTION_BACKUPS"/>
                <w:alias w:val="RETENTION_BACKUPS"/>
                <w:text/>
              </w:sdtPr>
              <w:sdtContent>
                <w:r>
                  <w:rPr>
                    <w:rFonts w:ascii="Calibri" w:hAnsi="Calibri"/>
                    <w:b w:val="0"/>
                    <w:color w:val="000000"/>
                    <w:sz w:val="18"/>
                  </w:rPr>
                  <w:t>{{RETENTION_BACKUPS}}</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BACKUPS"/>
                <w:alias w:val="DESTINATIONS_BACKUPS"/>
                <w:text/>
              </w:sdtPr>
              <w:sdtContent>
                <w:r>
                  <w:rPr>
                    <w:rFonts w:ascii="Calibri" w:hAnsi="Calibri"/>
                    <w:b w:val="0"/>
                    <w:color w:val="000000"/>
                    <w:sz w:val="18"/>
                  </w:rPr>
                  <w:t>{{DESTINATIONS_BACKUPS}}</w:t>
                </w:r>
              </w:sdtContent>
            </w:sdt>
          </w:p>
        </w:tc>
      </w:tr>
      <w:tr>
        <w:trPr>
          <w:cantSplit/>
        </w:trPr>
        <w:tc>
          <w:tcPr>
            <w:tcW w:type="dxa" w:w="2808"/>
            <w:vAlign w:val="center"/>
            <w:tcMar>
              <w:top w:w="80" w:type="dxa"/>
              <w:bottom w:w="80" w:type="dxa"/>
              <w:start w:w="120" w:type="dxa"/>
              <w:end w:w="120" w:type="dxa"/>
            </w:tcMar>
          </w:tcPr>
          <w:p>
            <w:pPr>
              <w:spacing w:before="0" w:after="40" w:line="252" w:lineRule="auto"/>
            </w:pPr>
            <w:r/>
            <w:r>
              <w:rPr>
                <w:rFonts w:ascii="Calibri" w:hAnsi="Calibri"/>
                <w:b w:val="0"/>
                <w:color w:val="000000"/>
                <w:sz w:val="18"/>
              </w:rPr>
              <w:t>Models, aggregate statistics, publications</w:t>
            </w:r>
          </w:p>
        </w:tc>
        <w:tc>
          <w:tcPr>
            <w:tcW w:type="dxa" w:w="4025"/>
            <w:vAlign w:val="center"/>
            <w:tcMar>
              <w:top w:w="80" w:type="dxa"/>
              <w:bottom w:w="80" w:type="dxa"/>
              <w:start w:w="120" w:type="dxa"/>
              <w:end w:w="120" w:type="dxa"/>
            </w:tcMar>
          </w:tcPr>
          <w:p>
            <w:pPr>
              <w:spacing w:before="0" w:after="40" w:line="252" w:lineRule="auto"/>
            </w:pPr>
            <w:r/>
            <w:sdt>
              <w:sdtPr>
                <w:tag w:val="RETENTION_MODELS_AGGREGATES"/>
                <w:alias w:val="RETENTION_MODELS_AGGREGATES"/>
                <w:text/>
              </w:sdtPr>
              <w:sdtContent>
                <w:r>
                  <w:rPr>
                    <w:rFonts w:ascii="Calibri" w:hAnsi="Calibri"/>
                    <w:b w:val="0"/>
                    <w:color w:val="000000"/>
                    <w:sz w:val="18"/>
                  </w:rPr>
                  <w:t>{{RETENTION_MODELS_AGGREGATES}}</w:t>
                </w:r>
              </w:sdtContent>
            </w:sdt>
          </w:p>
        </w:tc>
        <w:tc>
          <w:tcPr>
            <w:tcW w:type="dxa" w:w="2527"/>
            <w:vAlign w:val="center"/>
            <w:tcMar>
              <w:top w:w="80" w:type="dxa"/>
              <w:bottom w:w="80" w:type="dxa"/>
              <w:start w:w="120" w:type="dxa"/>
              <w:end w:w="120" w:type="dxa"/>
            </w:tcMar>
          </w:tcPr>
          <w:p>
            <w:pPr>
              <w:spacing w:before="0" w:after="40" w:line="252" w:lineRule="auto"/>
            </w:pPr>
            <w:r/>
            <w:sdt>
              <w:sdtPr>
                <w:tag w:val="DESTINATIONS_MODELS_AGGREGATES"/>
                <w:alias w:val="DESTINATIONS_MODELS_AGGREGATES"/>
                <w:text/>
              </w:sdtPr>
              <w:sdtContent>
                <w:r>
                  <w:rPr>
                    <w:rFonts w:ascii="Calibri" w:hAnsi="Calibri"/>
                    <w:b w:val="0"/>
                    <w:color w:val="000000"/>
                    <w:sz w:val="18"/>
                  </w:rPr>
                  <w:t>{{DESTINATIONS_MODELS_AGGREGATES}}</w:t>
                </w:r>
              </w:sdtContent>
            </w:sdt>
          </w:p>
        </w:tc>
      </w:tr>
    </w:tbl>
    <w:p>
      <w:pPr>
        <w:spacing w:after="40"/>
      </w:pPr>
    </w:p>
    <w:p>
      <w:pPr>
        <w:pStyle w:val="Heading1"/>
      </w:pPr>
      <w:r>
        <w:t>14. What happens if I stop or withdraw permission?</w:t>
      </w:r>
    </w:p>
    <w:p>
      <w:r>
        <w:t xml:space="preserve">You may stop study activities, withdraw permission for future collection or optional uses, and request access, correction, restriction, portability, or deletion when those rights apply. Use </w:t>
      </w:r>
      <w:sdt>
        <w:sdtPr>
          <w:tag w:val="WITHDRAWAL_METHOD"/>
          <w:alias w:val="WITHDRAWAL_METHOD"/>
          <w:text/>
        </w:sdtPr>
        <w:sdtContent>
          <w:r>
            <w:t>{{WITHDRAWAL_METHOD}}</w:t>
          </w:r>
        </w:sdtContent>
      </w:sdt>
      <w:r>
        <w:t>. The study will confirm the request and explain what action was taken.</w:t>
      </w:r>
    </w:p>
    <w:p>
      <w:pPr>
        <w:numPr>
          <w:ilvl w:val="0"/>
          <w:numId w:val="10"/>
        </w:numPr>
        <w:spacing w:after="160" w:line="280" w:lineRule="auto"/>
      </w:pPr>
      <w:r>
        <w:t>Future collection will stop after the request is authenticated and processed, subject to the timeframe required by applicable law.</w:t>
      </w:r>
    </w:p>
    <w:p>
      <w:pPr>
        <w:numPr>
          <w:ilvl w:val="0"/>
          <w:numId w:val="10"/>
        </w:numPr>
        <w:spacing w:after="160" w:line="280" w:lineRule="auto"/>
      </w:pPr>
      <w:r>
        <w:t>Identifiable or coded data not yet used may be deleted or returned where the protocol, repository role, and law permit or require.</w:t>
      </w:r>
    </w:p>
    <w:p>
      <w:pPr>
        <w:numPr>
          <w:ilvl w:val="0"/>
          <w:numId w:val="10"/>
        </w:numPr>
        <w:spacing w:after="160" w:line="280" w:lineRule="auto"/>
      </w:pPr>
      <w:r>
        <w:t>Data already included in completed analyses, audit records, regulatory files, published results, or aggregate statistics may need to remain to preserve research integrity or meet legal obligations. The applicable addendum explains any limit.</w:t>
      </w:r>
    </w:p>
    <w:p>
      <w:pPr>
        <w:numPr>
          <w:ilvl w:val="0"/>
          <w:numId w:val="10"/>
        </w:numPr>
        <w:spacing w:after="160" w:line="280" w:lineRule="auto"/>
      </w:pPr>
      <w:r>
        <w:t>If consent was the legal basis for data processing, withdrawal does not make processing before withdrawal unlawful. Another lawful basis cannot be substituted retroactively merely to avoid the withdrawal.</w:t>
      </w:r>
    </w:p>
    <w:p>
      <w:pPr>
        <w:numPr>
          <w:ilvl w:val="0"/>
          <w:numId w:val="10"/>
        </w:numPr>
        <w:spacing w:after="160" w:line="280" w:lineRule="auto"/>
      </w:pPr>
      <w:r>
        <w:t>The study will stop using your identifiable or coded data in new model training after an effective withdrawal unless another disclosed legal basis applies. It may be technically impossible to isolate the statistical influence of one record from a completed model. Requests for deletion or model unlearning will be evaluated under applicable law, the protocol, and the data-governance plan.</w:t>
      </w:r>
    </w:p>
    <w:p>
      <w:pPr>
        <w:numPr>
          <w:ilvl w:val="0"/>
          <w:numId w:val="10"/>
        </w:numPr>
        <w:spacing w:after="160" w:line="280" w:lineRule="auto"/>
      </w:pPr>
      <w:r>
        <w:t>When more than one independent repository holds a copy, the responsible controller will route or coordinate the request as required. The response will identify any repository that requires a separate request.</w:t>
      </w:r>
    </w:p>
    <w:p>
      <w:pPr>
        <w:pStyle w:val="Heading1"/>
      </w:pPr>
      <w:r>
        <w:t>15. Are there benefits, costs, payment, or injury arrangements?</w:t>
      </w:r>
    </w:p>
    <w:p>
      <w:pPr>
        <w:spacing w:after="60"/>
      </w:pPr>
      <w:r>
        <w:rPr>
          <w:rFonts w:ascii="Calibri" w:hAnsi="Calibri"/>
          <w:b/>
          <w:color w:val="0B2545"/>
          <w:sz w:val="22"/>
        </w:rPr>
        <w:t xml:space="preserve">Possible benefits: </w:t>
      </w:r>
      <w:sdt>
        <w:sdtPr>
          <w:tag w:val="BENEFITS_FULL"/>
          <w:alias w:val="BENEFITS_FULL"/>
          <w:text/>
        </w:sdtPr>
        <w:sdtContent>
          <w:r>
            <w:rPr>
              <w:rFonts w:ascii="Calibri" w:hAnsi="Calibri"/>
              <w:color w:val="000000"/>
              <w:sz w:val="22"/>
            </w:rPr>
            <w:t>{{BENEFITS_FULL}}</w:t>
          </w:r>
        </w:sdtContent>
      </w:sdt>
    </w:p>
    <w:p>
      <w:pPr>
        <w:spacing w:after="60"/>
      </w:pPr>
      <w:r>
        <w:rPr>
          <w:rFonts w:ascii="Calibri" w:hAnsi="Calibri"/>
          <w:b/>
          <w:color w:val="0B2545"/>
          <w:sz w:val="22"/>
        </w:rPr>
        <w:t xml:space="preserve">Costs: </w:t>
      </w:r>
      <w:sdt>
        <w:sdtPr>
          <w:tag w:val="COSTS_FULL"/>
          <w:alias w:val="COSTS_FULL"/>
          <w:text/>
        </w:sdtPr>
        <w:sdtContent>
          <w:r>
            <w:rPr>
              <w:rFonts w:ascii="Calibri" w:hAnsi="Calibri"/>
              <w:color w:val="000000"/>
              <w:sz w:val="22"/>
            </w:rPr>
            <w:t>{{COSTS_FULL}}</w:t>
          </w:r>
        </w:sdtContent>
      </w:sdt>
    </w:p>
    <w:p>
      <w:pPr>
        <w:spacing w:after="60"/>
      </w:pPr>
      <w:r>
        <w:rPr>
          <w:rFonts w:ascii="Calibri" w:hAnsi="Calibri"/>
          <w:b/>
          <w:color w:val="0B2545"/>
          <w:sz w:val="22"/>
        </w:rPr>
        <w:t xml:space="preserve">Payment/reimbursement: </w:t>
      </w:r>
      <w:sdt>
        <w:sdtPr>
          <w:tag w:val="PAYMENT_FULL"/>
          <w:alias w:val="PAYMENT_FULL"/>
          <w:text/>
        </w:sdtPr>
        <w:sdtContent>
          <w:r>
            <w:rPr>
              <w:rFonts w:ascii="Calibri" w:hAnsi="Calibri"/>
              <w:color w:val="000000"/>
              <w:sz w:val="22"/>
            </w:rPr>
            <w:t>{{PAYMENT_FULL}}</w:t>
          </w:r>
        </w:sdtContent>
      </w:sdt>
    </w:p>
    <w:p>
      <w:pPr>
        <w:spacing w:after="60"/>
      </w:pPr>
      <w:r>
        <w:rPr>
          <w:rFonts w:ascii="Calibri" w:hAnsi="Calibri"/>
          <w:b/>
          <w:color w:val="0B2545"/>
          <w:sz w:val="22"/>
        </w:rPr>
        <w:t xml:space="preserve">Research-related injury: </w:t>
      </w:r>
      <w:sdt>
        <w:sdtPr>
          <w:tag w:val="RESEARCH_INJURY_LANGUAGE"/>
          <w:alias w:val="RESEARCH_INJURY_LANGUAGE"/>
          <w:text/>
        </w:sdtPr>
        <w:sdtContent>
          <w:r>
            <w:rPr>
              <w:rFonts w:ascii="Calibri" w:hAnsi="Calibri"/>
              <w:color w:val="000000"/>
              <w:sz w:val="22"/>
            </w:rPr>
            <w:t>{{RESEARCH_INJURY_LANGUAGE}}</w:t>
          </w:r>
        </w:sdtContent>
      </w:sdt>
    </w:p>
    <w:p>
      <w:r>
        <w:t>Do not include language that asks a participant to waive legal rights or releases the investigator, sponsor, institution, NeuroAgent AI, or their agents from liability for negligence.</w:t>
      </w:r>
    </w:p>
    <w:p>
      <w:pPr>
        <w:pStyle w:val="Heading1"/>
      </w:pPr>
      <w:r>
        <w:t>16. What if I cannot provide consent for myself?</w:t>
      </w:r>
    </w:p>
    <w:p>
      <w:r>
        <w:t xml:space="preserve">Capacity to consent is decision-specific and may change. A diagnosis, speech impairment, motor impairment, communication-device use, or poor test performance does not by itself establish incapacity. The approved capacity process is </w:t>
      </w:r>
      <w:sdt>
        <w:sdtPr>
          <w:tag w:val="CAPACITY_ASSESSMENT_PROCESS"/>
          <w:alias w:val="CAPACITY_ASSESSMENT_PROCESS"/>
          <w:text/>
        </w:sdtPr>
        <w:sdtContent>
          <w:r>
            <w:t>{{CAPACITY_ASSESSMENT_PROCESS}}</w:t>
          </w:r>
        </w:sdtContent>
      </w:sdt>
      <w:r>
        <w:t>.</w:t>
      </w:r>
    </w:p>
    <w:p>
      <w:pPr>
        <w:numPr>
          <w:ilvl w:val="0"/>
          <w:numId w:val="10"/>
        </w:numPr>
        <w:spacing w:after="160" w:line="280" w:lineRule="auto"/>
      </w:pPr>
      <w:r>
        <w:t>When the participant can consent, the participant signs personally, with communication accommodations if needed.</w:t>
      </w:r>
    </w:p>
    <w:p>
      <w:pPr>
        <w:numPr>
          <w:ilvl w:val="0"/>
          <w:numId w:val="10"/>
        </w:numPr>
        <w:spacing w:after="160" w:line="280" w:lineRule="auto"/>
      </w:pPr>
      <w:r>
        <w:t>When the participant lacks capacity and the study permits surrogate enrollment, permission must come from a legally authorized representative recognized under the law that applies to the site and participant.</w:t>
      </w:r>
    </w:p>
    <w:p>
      <w:pPr>
        <w:numPr>
          <w:ilvl w:val="0"/>
          <w:numId w:val="10"/>
        </w:numPr>
        <w:spacing w:after="160" w:line="280" w:lineRule="auto"/>
      </w:pPr>
      <w:r>
        <w:t>The participant will receive information at an understandable level and will be asked for assent when possible. Clear resistance or dissent will be respected under the protocol and applicable law.</w:t>
      </w:r>
    </w:p>
    <w:p>
      <w:pPr>
        <w:numPr>
          <w:ilvl w:val="0"/>
          <w:numId w:val="10"/>
        </w:numPr>
        <w:spacing w:after="160" w:line="280" w:lineRule="auto"/>
      </w:pPr>
      <w:r>
        <w:t>The study will reassess and obtain consent or renewed permission when capacity changes, at intervals required by the protocol, and before material new uses or destinations.</w:t>
      </w:r>
    </w:p>
    <w:p>
      <w:pPr>
        <w:pStyle w:val="Heading1"/>
      </w:pPr>
      <w:r>
        <w:t>17. Who can I contact?</w:t>
      </w:r>
    </w:p>
    <w:p>
      <w:pPr>
        <w:spacing w:after="60"/>
      </w:pPr>
      <w:r>
        <w:rPr>
          <w:rFonts w:ascii="Calibri" w:hAnsi="Calibri"/>
          <w:b/>
          <w:color w:val="0B2545"/>
          <w:sz w:val="22"/>
        </w:rPr>
        <w:t xml:space="preserve">Questions about the study: </w:t>
      </w:r>
      <w:sdt>
        <w:sdtPr>
          <w:tag w:val="STUDY_CONTACT_NAME_PHONE_EMAIL"/>
          <w:alias w:val="STUDY_CONTACT_NAME_PHONE_EMAIL"/>
          <w:text/>
        </w:sdtPr>
        <w:sdtContent>
          <w:r>
            <w:rPr>
              <w:rFonts w:ascii="Calibri" w:hAnsi="Calibri"/>
              <w:color w:val="000000"/>
              <w:sz w:val="22"/>
            </w:rPr>
            <w:t>{{STUDY_CONTACT_NAME_PHONE_EMAIL}}</w:t>
          </w:r>
        </w:sdtContent>
      </w:sdt>
    </w:p>
    <w:p>
      <w:pPr>
        <w:spacing w:after="60"/>
      </w:pPr>
      <w:r>
        <w:rPr>
          <w:rFonts w:ascii="Calibri" w:hAnsi="Calibri"/>
          <w:b/>
          <w:color w:val="0B2545"/>
          <w:sz w:val="22"/>
        </w:rPr>
        <w:t xml:space="preserve">Questions about participant rights / independent IRB or ethics contact: </w:t>
      </w:r>
      <w:sdt>
        <w:sdtPr>
          <w:tag w:val="RIGHTS_CONTACT"/>
          <w:alias w:val="RIGHTS_CONTACT"/>
          <w:text/>
        </w:sdtPr>
        <w:sdtContent>
          <w:r>
            <w:rPr>
              <w:rFonts w:ascii="Calibri" w:hAnsi="Calibri"/>
              <w:color w:val="000000"/>
              <w:sz w:val="22"/>
            </w:rPr>
            <w:t>{{RIGHTS_CONTACT}}</w:t>
          </w:r>
        </w:sdtContent>
      </w:sdt>
    </w:p>
    <w:p>
      <w:pPr>
        <w:spacing w:after="60"/>
      </w:pPr>
      <w:r>
        <w:rPr>
          <w:rFonts w:ascii="Calibri" w:hAnsi="Calibri"/>
          <w:b/>
          <w:color w:val="0B2545"/>
          <w:sz w:val="22"/>
        </w:rPr>
        <w:t xml:space="preserve">Privacy or data-protection contact / DPO: </w:t>
      </w:r>
      <w:sdt>
        <w:sdtPr>
          <w:tag w:val="PRIVACY_DPO_CONTACT"/>
          <w:alias w:val="PRIVACY_DPO_CONTACT"/>
          <w:text/>
        </w:sdtPr>
        <w:sdtContent>
          <w:r>
            <w:rPr>
              <w:rFonts w:ascii="Calibri" w:hAnsi="Calibri"/>
              <w:color w:val="000000"/>
              <w:sz w:val="22"/>
            </w:rPr>
            <w:t>{{PRIVACY_DPO_CONTACT}}</w:t>
          </w:r>
        </w:sdtContent>
      </w:sdt>
    </w:p>
    <w:p>
      <w:pPr>
        <w:spacing w:after="60"/>
      </w:pPr>
      <w:r>
        <w:rPr>
          <w:rFonts w:ascii="Calibri" w:hAnsi="Calibri"/>
          <w:b/>
          <w:color w:val="0B2545"/>
          <w:sz w:val="22"/>
        </w:rPr>
        <w:t xml:space="preserve">Data rights, withdrawal, or deletion requests: </w:t>
      </w:r>
      <w:sdt>
        <w:sdtPr>
          <w:tag w:val="DATA_RIGHTS_CONTACT"/>
          <w:alias w:val="DATA_RIGHTS_CONTACT"/>
          <w:text/>
        </w:sdtPr>
        <w:sdtContent>
          <w:r>
            <w:rPr>
              <w:rFonts w:ascii="Calibri" w:hAnsi="Calibri"/>
              <w:color w:val="000000"/>
              <w:sz w:val="22"/>
            </w:rPr>
            <w:t>{{DATA_RIGHTS_CONTACT}}</w:t>
          </w:r>
        </w:sdtContent>
      </w:sdt>
    </w:p>
    <w:p>
      <w:pPr>
        <w:spacing w:after="60"/>
      </w:pPr>
      <w:r>
        <w:rPr>
          <w:rFonts w:ascii="Calibri" w:hAnsi="Calibri"/>
          <w:b/>
          <w:color w:val="0B2545"/>
          <w:sz w:val="22"/>
        </w:rPr>
        <w:t xml:space="preserve">Research-related harm: </w:t>
      </w:r>
      <w:sdt>
        <w:sdtPr>
          <w:tag w:val="RESEARCH_HARM_CONTACT"/>
          <w:alias w:val="RESEARCH_HARM_CONTACT"/>
          <w:text/>
        </w:sdtPr>
        <w:sdtContent>
          <w:r>
            <w:rPr>
              <w:rFonts w:ascii="Calibri" w:hAnsi="Calibri"/>
              <w:color w:val="000000"/>
              <w:sz w:val="22"/>
            </w:rPr>
            <w:t>{{RESEARCH_HARM_CONTACT}}</w:t>
          </w:r>
        </w:sdtContent>
      </w:sdt>
    </w:p>
    <w:p>
      <w:pPr>
        <w:spacing w:after="60"/>
      </w:pPr>
      <w:r>
        <w:rPr>
          <w:rFonts w:ascii="Calibri" w:hAnsi="Calibri"/>
          <w:b/>
          <w:color w:val="0B2545"/>
          <w:sz w:val="22"/>
        </w:rPr>
        <w:t xml:space="preserve">Regulator or supervisory authority: </w:t>
      </w:r>
      <w:sdt>
        <w:sdtPr>
          <w:tag w:val="REGULATOR_CONTACT_IF_REQUIRED"/>
          <w:alias w:val="REGULATOR_CONTACT_IF_REQUIRED"/>
          <w:text/>
        </w:sdtPr>
        <w:sdtContent>
          <w:r>
            <w:rPr>
              <w:rFonts w:ascii="Calibri" w:hAnsi="Calibri"/>
              <w:color w:val="000000"/>
              <w:sz w:val="22"/>
            </w:rPr>
            <w:t>{{REGULATOR_CONTACT_IF_REQUIRED}}</w:t>
          </w:r>
        </w:sdtContent>
      </w:sdt>
    </w:p>
    <w:p>
      <w:r>
        <w:br w:type="page"/>
      </w:r>
    </w:p>
    <w:p>
      <w:pPr>
        <w:pStyle w:val="Heading1"/>
      </w:pPr>
      <w:r>
        <w:t>18. My decision and consent receipt</w:t>
      </w:r>
    </w:p>
    <w:tbl>
      <w:tblPr>
        <w:tblStyle w:val="TableGrid"/>
        <w:tblW w:type="dxa" w:w="9360"/>
        <w:jc w:val="left"/>
        <w:tblLayout w:type="fixed"/>
        <w:tblLook w:firstColumn="1" w:firstRow="1" w:lastColumn="0" w:lastRow="0" w:noHBand="0" w:noVBand="1" w:val="04A0"/>
        <w:tblInd w:type="dxa" w:w="120"/>
      </w:tblPr>
      <w:tblGrid>
        <w:gridCol w:w="6552"/>
        <w:gridCol w:w="1404"/>
        <w:gridCol w:w="1404"/>
      </w:tblGrid>
      <w:tr>
        <w:trPr>
          <w:tblHeader w:val="true"/>
          <w:cantSplit/>
        </w:trPr>
        <w:tc>
          <w:tcPr>
            <w:tcW w:type="dxa" w:w="655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Permission or decision</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Yes</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No</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have read or had this form explained to me, had an opportunity to ask questions, and received satisfactory answers.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understand this is research, not clinical diagnosis or emergency monitoring, and participation is voluntary.</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consent to take part in the primary study and to the data collection marked required in the Study Data Schedule.</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received the biometric-related data notice and any state or regional addendum that applies to me.</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selected the storage destination(s) and optional uses recorded in this consent receipt.</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received or can download a copy of the signed consent and privacy/addendum materials.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bl>
    <w:p>
      <w:pPr>
        <w:spacing w:after="40"/>
      </w:pPr>
    </w:p>
    <w:p>
      <w:pPr>
        <w:pStyle w:val="Heading2"/>
      </w:pPr>
      <w:r>
        <w:t>Participant signature</w:t>
      </w:r>
    </w:p>
    <w:p>
      <w:pPr>
        <w:spacing w:after="60"/>
      </w:pPr>
      <w:r>
        <w:rPr>
          <w:rFonts w:ascii="Calibri" w:hAnsi="Calibri"/>
          <w:b/>
          <w:color w:val="0B2545"/>
          <w:sz w:val="22"/>
        </w:rPr>
        <w:t xml:space="preserve">Printed name: </w:t>
      </w:r>
      <w:sdt>
        <w:sdtPr>
          <w:tag w:val="PARTICIPANT_PRINTED_NAME"/>
          <w:alias w:val="PARTICIPANT_PRINTED_NAME"/>
          <w:text/>
        </w:sdtPr>
        <w:sdtContent>
          <w:r>
            <w:rPr>
              <w:rFonts w:ascii="Calibri" w:hAnsi="Calibri"/>
              <w:color w:val="000000"/>
              <w:sz w:val="22"/>
            </w:rPr>
            <w:t>{{PARTICIPANT_PRINTED_NAME}}</w:t>
          </w:r>
        </w:sdtContent>
      </w:sdt>
    </w:p>
    <w:p>
      <w:pPr>
        <w:spacing w:after="60"/>
      </w:pPr>
      <w:r>
        <w:rPr>
          <w:rFonts w:ascii="Calibri" w:hAnsi="Calibri"/>
          <w:b/>
          <w:color w:val="0B2545"/>
          <w:sz w:val="22"/>
        </w:rPr>
        <w:t xml:space="preserve">Electronic or handwritten signature: </w:t>
      </w:r>
      <w:sdt>
        <w:sdtPr>
          <w:tag w:val="PARTICIPANT_SIGNATURE"/>
          <w:alias w:val="PARTICIPANT_SIGNATURE"/>
          <w:text/>
        </w:sdtPr>
        <w:sdtContent>
          <w:r>
            <w:rPr>
              <w:rFonts w:ascii="Calibri" w:hAnsi="Calibri"/>
              <w:color w:val="000000"/>
              <w:sz w:val="22"/>
            </w:rPr>
            <w:t>{{PARTICIPANT_SIGNATURE}}</w:t>
          </w:r>
        </w:sdtContent>
      </w:sdt>
    </w:p>
    <w:p>
      <w:pPr>
        <w:spacing w:after="60"/>
      </w:pPr>
      <w:r>
        <w:rPr>
          <w:rFonts w:ascii="Calibri" w:hAnsi="Calibri"/>
          <w:b/>
          <w:color w:val="0B2545"/>
          <w:sz w:val="22"/>
        </w:rPr>
        <w:t xml:space="preserve">Date and time (with time zone): </w:t>
      </w:r>
      <w:sdt>
        <w:sdtPr>
          <w:tag w:val="PARTICIPANT_SIGNED_AT"/>
          <w:alias w:val="PARTICIPANT_SIGNED_AT"/>
          <w:text/>
        </w:sdtPr>
        <w:sdtContent>
          <w:r>
            <w:rPr>
              <w:rFonts w:ascii="Calibri" w:hAnsi="Calibri"/>
              <w:color w:val="000000"/>
              <w:sz w:val="22"/>
            </w:rPr>
            <w:t>{{PARTICIPANT_SIGNED_AT}}</w:t>
          </w:r>
        </w:sdtContent>
      </w:sdt>
    </w:p>
    <w:p>
      <w:pPr>
        <w:pStyle w:val="Heading2"/>
      </w:pPr>
      <w:r>
        <w:t>Person obtaining consent</w:t>
      </w:r>
    </w:p>
    <w:p>
      <w:pPr>
        <w:spacing w:after="60"/>
      </w:pPr>
      <w:r>
        <w:rPr>
          <w:rFonts w:ascii="Calibri" w:hAnsi="Calibri"/>
          <w:b/>
          <w:color w:val="0B2545"/>
          <w:sz w:val="22"/>
        </w:rPr>
        <w:t xml:space="preserve">Printed name: </w:t>
      </w:r>
      <w:sdt>
        <w:sdtPr>
          <w:tag w:val="CONSENT_OBTAINER_PRINTED_NAME"/>
          <w:alias w:val="CONSENT_OBTAINER_PRINTED_NAME"/>
          <w:text/>
        </w:sdtPr>
        <w:sdtContent>
          <w:r>
            <w:rPr>
              <w:rFonts w:ascii="Calibri" w:hAnsi="Calibri"/>
              <w:color w:val="000000"/>
              <w:sz w:val="22"/>
            </w:rPr>
            <w:t>{{CONSENT_OBTAINER_PRINTED_NAME}}</w:t>
          </w:r>
        </w:sdtContent>
      </w:sdt>
    </w:p>
    <w:p>
      <w:pPr>
        <w:spacing w:after="60"/>
      </w:pPr>
      <w:r>
        <w:rPr>
          <w:rFonts w:ascii="Calibri" w:hAnsi="Calibri"/>
          <w:b/>
          <w:color w:val="0B2545"/>
          <w:sz w:val="22"/>
        </w:rPr>
        <w:t xml:space="preserve">Electronic or handwritten signature: </w:t>
      </w:r>
      <w:sdt>
        <w:sdtPr>
          <w:tag w:val="CONSENT_OBTAINER_SIGNATURE"/>
          <w:alias w:val="CONSENT_OBTAINER_SIGNATURE"/>
          <w:text/>
        </w:sdtPr>
        <w:sdtContent>
          <w:r>
            <w:rPr>
              <w:rFonts w:ascii="Calibri" w:hAnsi="Calibri"/>
              <w:color w:val="000000"/>
              <w:sz w:val="22"/>
            </w:rPr>
            <w:t>{{CONSENT_OBTAINER_SIGNATURE}}</w:t>
          </w:r>
        </w:sdtContent>
      </w:sdt>
    </w:p>
    <w:p>
      <w:pPr>
        <w:spacing w:after="60"/>
      </w:pPr>
      <w:r>
        <w:rPr>
          <w:rFonts w:ascii="Calibri" w:hAnsi="Calibri"/>
          <w:b/>
          <w:color w:val="0B2545"/>
          <w:sz w:val="22"/>
        </w:rPr>
        <w:t xml:space="preserve">Date and time (with time zone): </w:t>
      </w:r>
      <w:sdt>
        <w:sdtPr>
          <w:tag w:val="CONSENT_OBTAINER_SIGNED_AT"/>
          <w:alias w:val="CONSENT_OBTAINER_SIGNED_AT"/>
          <w:text/>
        </w:sdtPr>
        <w:sdtContent>
          <w:r>
            <w:rPr>
              <w:rFonts w:ascii="Calibri" w:hAnsi="Calibri"/>
              <w:color w:val="000000"/>
              <w:sz w:val="22"/>
            </w:rPr>
            <w:t>{{CONSENT_OBTAINER_SIGNED_AT}}</w:t>
          </w:r>
        </w:sdtContent>
      </w:sdt>
    </w:p>
    <w:p>
      <w:pPr>
        <w:pStyle w:val="Heading3"/>
      </w:pPr>
      <w:r>
        <w:t>Consent receipt metadata</w:t>
      </w:r>
    </w:p>
    <w:p>
      <w:pPr>
        <w:spacing w:after="60"/>
      </w:pPr>
      <w:r>
        <w:rPr>
          <w:rFonts w:ascii="Calibri" w:hAnsi="Calibri"/>
          <w:b/>
          <w:color w:val="0B2545"/>
          <w:sz w:val="22"/>
        </w:rPr>
        <w:t xml:space="preserve">Consent receipt ID: </w:t>
      </w:r>
      <w:sdt>
        <w:sdtPr>
          <w:tag w:val="CONSENT_RECEIPT_ID"/>
          <w:alias w:val="CONSENT_RECEIPT_ID"/>
          <w:text/>
        </w:sdtPr>
        <w:sdtContent>
          <w:r>
            <w:rPr>
              <w:rFonts w:ascii="Calibri" w:hAnsi="Calibri"/>
              <w:color w:val="000000"/>
              <w:sz w:val="22"/>
            </w:rPr>
            <w:t>{{CONSENT_RECEIPT_ID}}</w:t>
          </w:r>
        </w:sdtContent>
      </w:sdt>
    </w:p>
    <w:p>
      <w:pPr>
        <w:spacing w:after="60"/>
      </w:pPr>
      <w:r>
        <w:rPr>
          <w:rFonts w:ascii="Calibri" w:hAnsi="Calibri"/>
          <w:b/>
          <w:color w:val="0B2545"/>
          <w:sz w:val="22"/>
        </w:rPr>
        <w:t xml:space="preserve">Study/participant code: </w:t>
      </w:r>
      <w:sdt>
        <w:sdtPr>
          <w:tag w:val="PARTICIPANT_STUDY_CODE"/>
          <w:alias w:val="PARTICIPANT_STUDY_CODE"/>
          <w:text/>
        </w:sdtPr>
        <w:sdtContent>
          <w:r>
            <w:rPr>
              <w:rFonts w:ascii="Calibri" w:hAnsi="Calibri"/>
              <w:color w:val="000000"/>
              <w:sz w:val="22"/>
            </w:rPr>
            <w:t>{{PARTICIPANT_STUDY_CODE}}</w:t>
          </w:r>
        </w:sdtContent>
      </w:sdt>
    </w:p>
    <w:p>
      <w:pPr>
        <w:spacing w:after="60"/>
      </w:pPr>
      <w:r>
        <w:rPr>
          <w:rFonts w:ascii="Calibri" w:hAnsi="Calibri"/>
          <w:b/>
          <w:color w:val="0B2545"/>
          <w:sz w:val="22"/>
        </w:rPr>
        <w:t xml:space="preserve">Form and ruleset version/hash: </w:t>
      </w:r>
      <w:sdt>
        <w:sdtPr>
          <w:tag w:val="FORM_RULESET_VERSION_HASH"/>
          <w:alias w:val="FORM_RULESET_VERSION_HASH"/>
          <w:text/>
        </w:sdtPr>
        <w:sdtContent>
          <w:r>
            <w:rPr>
              <w:rFonts w:ascii="Calibri" w:hAnsi="Calibri"/>
              <w:color w:val="000000"/>
              <w:sz w:val="22"/>
            </w:rPr>
            <w:t>{{FORM_RULESET_VERSION_HASH}}</w:t>
          </w:r>
        </w:sdtContent>
      </w:sdt>
    </w:p>
    <w:p>
      <w:pPr>
        <w:spacing w:after="60"/>
      </w:pPr>
      <w:r>
        <w:rPr>
          <w:rFonts w:ascii="Calibri" w:hAnsi="Calibri"/>
          <w:b/>
          <w:color w:val="0B2545"/>
          <w:sz w:val="22"/>
        </w:rPr>
        <w:t xml:space="preserve">Language and accessibility mode: </w:t>
      </w:r>
      <w:sdt>
        <w:sdtPr>
          <w:tag w:val="LANGUAGE_ACCESSIBILITY_MODE"/>
          <w:alias w:val="LANGUAGE_ACCESSIBILITY_MODE"/>
          <w:text/>
        </w:sdtPr>
        <w:sdtContent>
          <w:r>
            <w:rPr>
              <w:rFonts w:ascii="Calibri" w:hAnsi="Calibri"/>
              <w:color w:val="000000"/>
              <w:sz w:val="22"/>
            </w:rPr>
            <w:t>{{LANGUAGE_ACCESSIBILITY_MODE}}</w:t>
          </w:r>
        </w:sdtContent>
      </w:sdt>
    </w:p>
    <w:p>
      <w:pPr>
        <w:spacing w:after="60"/>
      </w:pPr>
      <w:r>
        <w:rPr>
          <w:rFonts w:ascii="Calibri" w:hAnsi="Calibri"/>
          <w:b/>
          <w:color w:val="0B2545"/>
          <w:sz w:val="22"/>
        </w:rPr>
        <w:t xml:space="preserve">Residence jurisdiction / collection location: </w:t>
      </w:r>
      <w:sdt>
        <w:sdtPr>
          <w:tag w:val="JURISDICTION_LOCATION_AT_CONSENT"/>
          <w:alias w:val="JURISDICTION_LOCATION_AT_CONSENT"/>
          <w:text/>
        </w:sdtPr>
        <w:sdtContent>
          <w:r>
            <w:rPr>
              <w:rFonts w:ascii="Calibri" w:hAnsi="Calibri"/>
              <w:color w:val="000000"/>
              <w:sz w:val="22"/>
            </w:rPr>
            <w:t>{{JURISDICTION_LOCATION_AT_CONSENT}}</w:t>
          </w:r>
        </w:sdtContent>
      </w:sdt>
    </w:p>
    <w:p>
      <w:pPr>
        <w:spacing w:after="60"/>
      </w:pPr>
      <w:r>
        <w:rPr>
          <w:rFonts w:ascii="Calibri" w:hAnsi="Calibri"/>
          <w:b/>
          <w:color w:val="0B2545"/>
          <w:sz w:val="22"/>
        </w:rPr>
        <w:t xml:space="preserve">Identity/signature verification method: </w:t>
      </w:r>
      <w:sdt>
        <w:sdtPr>
          <w:tag w:val="IDENTITY_SIGNATURE_VERIFICATION"/>
          <w:alias w:val="IDENTITY_SIGNATURE_VERIFICATION"/>
          <w:text/>
        </w:sdtPr>
        <w:sdtContent>
          <w:r>
            <w:rPr>
              <w:rFonts w:ascii="Calibri" w:hAnsi="Calibri"/>
              <w:color w:val="000000"/>
              <w:sz w:val="22"/>
            </w:rPr>
            <w:t>{{IDENTITY_SIGNATURE_VERIFICATION}}</w:t>
          </w:r>
        </w:sdtContent>
      </w:sdt>
    </w:p>
    <w:p>
      <w:pPr>
        <w:spacing w:after="60"/>
      </w:pPr>
      <w:r>
        <w:rPr>
          <w:rFonts w:ascii="Calibri" w:hAnsi="Calibri"/>
          <w:b/>
          <w:color w:val="0B2545"/>
          <w:sz w:val="22"/>
        </w:rPr>
        <w:t xml:space="preserve">Selected destinations: </w:t>
      </w:r>
      <w:sdt>
        <w:sdtPr>
          <w:tag w:val="SELECTED_DESTINATIONS_RECEIPT"/>
          <w:alias w:val="SELECTED_DESTINATIONS_RECEIPT"/>
          <w:text/>
        </w:sdtPr>
        <w:sdtContent>
          <w:r>
            <w:rPr>
              <w:rFonts w:ascii="Calibri" w:hAnsi="Calibri"/>
              <w:color w:val="000000"/>
              <w:sz w:val="22"/>
            </w:rPr>
            <w:t>{{SELECTED_DESTINATIONS_RECEIPT}}</w:t>
          </w:r>
        </w:sdtContent>
      </w:sdt>
    </w:p>
    <w:p>
      <w:pPr>
        <w:spacing w:after="60"/>
      </w:pPr>
      <w:r>
        <w:rPr>
          <w:rFonts w:ascii="Calibri" w:hAnsi="Calibri"/>
          <w:b/>
          <w:color w:val="0B2545"/>
          <w:sz w:val="22"/>
        </w:rPr>
        <w:t xml:space="preserve">Optional choices: </w:t>
      </w:r>
      <w:sdt>
        <w:sdtPr>
          <w:tag w:val="OPTIONAL_CHOICES_RECEIPT"/>
          <w:alias w:val="OPTIONAL_CHOICES_RECEIPT"/>
          <w:text/>
        </w:sdtPr>
        <w:sdtContent>
          <w:r>
            <w:rPr>
              <w:rFonts w:ascii="Calibri" w:hAnsi="Calibri"/>
              <w:color w:val="000000"/>
              <w:sz w:val="22"/>
            </w:rPr>
            <w:t>{{OPTIONAL_CHOICES_RECEIPT}}</w:t>
          </w:r>
        </w:sdtContent>
      </w:sdt>
    </w:p>
    <w:p>
      <w:pPr>
        <w:spacing w:after="60"/>
      </w:pPr>
      <w:r>
        <w:rPr>
          <w:rFonts w:ascii="Calibri" w:hAnsi="Calibri"/>
          <w:b/>
          <w:color w:val="0B2545"/>
          <w:sz w:val="22"/>
        </w:rPr>
        <w:t xml:space="preserve">Copy delivered by: </w:t>
      </w:r>
      <w:sdt>
        <w:sdtPr>
          <w:tag w:val="COPY_DELIVERY_METHOD_AND_TIME"/>
          <w:alias w:val="COPY_DELIVERY_METHOD_AND_TIME"/>
          <w:text/>
        </w:sdtPr>
        <w:sdtContent>
          <w:r>
            <w:rPr>
              <w:rFonts w:ascii="Calibri" w:hAnsi="Calibri"/>
              <w:color w:val="000000"/>
              <w:sz w:val="22"/>
            </w:rPr>
            <w:t>{{COPY_DELIVERY_METHOD_AND_TIME}}</w:t>
          </w:r>
        </w:sdtContent>
      </w:sdt>
    </w:p>
    <w:p>
      <w:r>
        <w:br w:type="page"/>
      </w:r>
    </w:p>
    <w:p>
      <w:pPr>
        <w:pStyle w:val="Heading1"/>
      </w:pPr>
      <w:r>
        <w:t>MODULE A - Legally Authorized Representative and Assent</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only when the IRB/ethics committee permits enrollment of adults who lack consent capacity and applicable local law identifies an authorized representative.</w:t>
      </w:r>
    </w:p>
    <w:p>
      <w:pPr>
        <w:spacing w:after="60"/>
      </w:pPr>
      <w:r>
        <w:rPr>
          <w:rFonts w:ascii="Calibri" w:hAnsi="Calibri"/>
          <w:b/>
          <w:color w:val="0B2545"/>
          <w:sz w:val="22"/>
        </w:rPr>
        <w:t xml:space="preserve">Capacity determination and date: </w:t>
      </w:r>
      <w:sdt>
        <w:sdtPr>
          <w:tag w:val="LAR_CAPACITY_DETERMINATION"/>
          <w:alias w:val="LAR_CAPACITY_DETERMINATION"/>
          <w:text/>
        </w:sdtPr>
        <w:sdtContent>
          <w:r>
            <w:rPr>
              <w:rFonts w:ascii="Calibri" w:hAnsi="Calibri"/>
              <w:color w:val="000000"/>
              <w:sz w:val="22"/>
            </w:rPr>
            <w:t>{{LAR_CAPACITY_DETERMINATION}}</w:t>
          </w:r>
        </w:sdtContent>
      </w:sdt>
    </w:p>
    <w:p>
      <w:pPr>
        <w:spacing w:after="60"/>
      </w:pPr>
      <w:r>
        <w:rPr>
          <w:rFonts w:ascii="Calibri" w:hAnsi="Calibri"/>
          <w:b/>
          <w:color w:val="0B2545"/>
          <w:sz w:val="22"/>
        </w:rPr>
        <w:t xml:space="preserve">Representative name and relationship: </w:t>
      </w:r>
      <w:sdt>
        <w:sdtPr>
          <w:tag w:val="LAR_NAME_RELATIONSHIP"/>
          <w:alias w:val="LAR_NAME_RELATIONSHIP"/>
          <w:text/>
        </w:sdtPr>
        <w:sdtContent>
          <w:r>
            <w:rPr>
              <w:rFonts w:ascii="Calibri" w:hAnsi="Calibri"/>
              <w:color w:val="000000"/>
              <w:sz w:val="22"/>
            </w:rPr>
            <w:t>{{LAR_NAME_RELATIONSHIP}}</w:t>
          </w:r>
        </w:sdtContent>
      </w:sdt>
    </w:p>
    <w:p>
      <w:pPr>
        <w:spacing w:after="60"/>
      </w:pPr>
      <w:r>
        <w:rPr>
          <w:rFonts w:ascii="Calibri" w:hAnsi="Calibri"/>
          <w:b/>
          <w:color w:val="0B2545"/>
          <w:sz w:val="22"/>
        </w:rPr>
        <w:t xml:space="preserve">Legal authority and verification: </w:t>
      </w:r>
      <w:sdt>
        <w:sdtPr>
          <w:tag w:val="LAR_AUTHORITY_VERIFICATION"/>
          <w:alias w:val="LAR_AUTHORITY_VERIFICATION"/>
          <w:text/>
        </w:sdtPr>
        <w:sdtContent>
          <w:r>
            <w:rPr>
              <w:rFonts w:ascii="Calibri" w:hAnsi="Calibri"/>
              <w:color w:val="000000"/>
              <w:sz w:val="22"/>
            </w:rPr>
            <w:t>{{LAR_AUTHORITY_VERIFICATION}}</w:t>
          </w:r>
        </w:sdtContent>
      </w:sdt>
    </w:p>
    <w:p>
      <w:pPr>
        <w:spacing w:after="60"/>
      </w:pPr>
      <w:r>
        <w:rPr>
          <w:rFonts w:ascii="Calibri" w:hAnsi="Calibri"/>
          <w:b/>
          <w:color w:val="0B2545"/>
          <w:sz w:val="22"/>
        </w:rPr>
        <w:t xml:space="preserve">Participant information/assent method: </w:t>
      </w:r>
      <w:sdt>
        <w:sdtPr>
          <w:tag w:val="PARTICIPANT_ASSENT_METHOD"/>
          <w:alias w:val="PARTICIPANT_ASSENT_METHOD"/>
          <w:text/>
        </w:sdtPr>
        <w:sdtContent>
          <w:r>
            <w:rPr>
              <w:rFonts w:ascii="Calibri" w:hAnsi="Calibri"/>
              <w:color w:val="000000"/>
              <w:sz w:val="22"/>
            </w:rPr>
            <w:t>{{PARTICIPANT_ASSENT_METHOD}}</w:t>
          </w:r>
        </w:sdtContent>
      </w:sdt>
    </w:p>
    <w:p>
      <w:pPr>
        <w:spacing w:after="60"/>
      </w:pPr>
      <w:r>
        <w:rPr>
          <w:rFonts w:ascii="Calibri" w:hAnsi="Calibri"/>
          <w:b/>
          <w:color w:val="0B2545"/>
          <w:sz w:val="22"/>
        </w:rPr>
        <w:t xml:space="preserve">Participant assent/dissent observed: </w:t>
      </w:r>
      <w:sdt>
        <w:sdtPr>
          <w:tag w:val="PARTICIPANT_ASSENT_RESULT"/>
          <w:alias w:val="PARTICIPANT_ASSENT_RESULT"/>
          <w:text/>
        </w:sdtPr>
        <w:sdtContent>
          <w:r>
            <w:rPr>
              <w:rFonts w:ascii="Calibri" w:hAnsi="Calibri"/>
              <w:color w:val="000000"/>
              <w:sz w:val="22"/>
            </w:rPr>
            <w:t>{{PARTICIPANT_ASSENT_RESULT}}</w:t>
          </w:r>
        </w:sdtContent>
      </w:sdt>
    </w:p>
    <w:p>
      <w:pPr>
        <w:spacing w:after="60"/>
      </w:pPr>
      <w:r>
        <w:rPr>
          <w:rFonts w:ascii="Calibri" w:hAnsi="Calibri"/>
          <w:b/>
          <w:color w:val="0B2545"/>
          <w:sz w:val="22"/>
        </w:rPr>
        <w:t xml:space="preserve">Re-consent/reassessment schedule: </w:t>
      </w:r>
      <w:sdt>
        <w:sdtPr>
          <w:tag w:val="RECONSENT_SCHEDULE"/>
          <w:alias w:val="RECONSENT_SCHEDULE"/>
          <w:text/>
        </w:sdtPr>
        <w:sdtContent>
          <w:r>
            <w:rPr>
              <w:rFonts w:ascii="Calibri" w:hAnsi="Calibri"/>
              <w:color w:val="000000"/>
              <w:sz w:val="22"/>
            </w:rPr>
            <w:t>{{RECONSENT_SCHEDULE}}</w:t>
          </w:r>
        </w:sdtContent>
      </w:sdt>
    </w:p>
    <w:p>
      <w:r>
        <w:t>I am authorized under applicable law to act for the participant. I have considered the participant's known wishes, values, and interests; I give permission for the participation and data choices recorded in this consent; and I understand that the participant's resistance or dissent will be handled under the approved protocol.</w:t>
      </w:r>
    </w:p>
    <w:p>
      <w:pPr>
        <w:pStyle w:val="Heading2"/>
      </w:pPr>
      <w:r>
        <w:t>Legally authorized representative signature</w:t>
      </w:r>
    </w:p>
    <w:p>
      <w:pPr>
        <w:spacing w:after="60"/>
      </w:pPr>
      <w:r>
        <w:rPr>
          <w:rFonts w:ascii="Calibri" w:hAnsi="Calibri"/>
          <w:b/>
          <w:color w:val="0B2545"/>
          <w:sz w:val="22"/>
        </w:rPr>
        <w:t xml:space="preserve">Printed name: </w:t>
      </w:r>
      <w:sdt>
        <w:sdtPr>
          <w:tag w:val="LAR_PRINTED_NAME"/>
          <w:alias w:val="LAR_PRINTED_NAME"/>
          <w:text/>
        </w:sdtPr>
        <w:sdtContent>
          <w:r>
            <w:rPr>
              <w:rFonts w:ascii="Calibri" w:hAnsi="Calibri"/>
              <w:color w:val="000000"/>
              <w:sz w:val="22"/>
            </w:rPr>
            <w:t>{{LAR_PRINTED_NAME}}</w:t>
          </w:r>
        </w:sdtContent>
      </w:sdt>
    </w:p>
    <w:p>
      <w:pPr>
        <w:spacing w:after="60"/>
      </w:pPr>
      <w:r>
        <w:rPr>
          <w:rFonts w:ascii="Calibri" w:hAnsi="Calibri"/>
          <w:b/>
          <w:color w:val="0B2545"/>
          <w:sz w:val="22"/>
        </w:rPr>
        <w:t xml:space="preserve">Electronic or handwritten signature: </w:t>
      </w:r>
      <w:sdt>
        <w:sdtPr>
          <w:tag w:val="LAR_SIGNATURE"/>
          <w:alias w:val="LAR_SIGNATURE"/>
          <w:text/>
        </w:sdtPr>
        <w:sdtContent>
          <w:r>
            <w:rPr>
              <w:rFonts w:ascii="Calibri" w:hAnsi="Calibri"/>
              <w:color w:val="000000"/>
              <w:sz w:val="22"/>
            </w:rPr>
            <w:t>{{LAR_SIGNATURE}}</w:t>
          </w:r>
        </w:sdtContent>
      </w:sdt>
    </w:p>
    <w:p>
      <w:pPr>
        <w:spacing w:after="60"/>
      </w:pPr>
      <w:r>
        <w:rPr>
          <w:rFonts w:ascii="Calibri" w:hAnsi="Calibri"/>
          <w:b/>
          <w:color w:val="0B2545"/>
          <w:sz w:val="22"/>
        </w:rPr>
        <w:t xml:space="preserve">Date and time (with time zone): </w:t>
      </w:r>
      <w:sdt>
        <w:sdtPr>
          <w:tag w:val="LAR_SIGNED_AT"/>
          <w:alias w:val="LAR_SIGNED_AT"/>
          <w:text/>
        </w:sdtPr>
        <w:sdtContent>
          <w:r>
            <w:rPr>
              <w:rFonts w:ascii="Calibri" w:hAnsi="Calibri"/>
              <w:color w:val="000000"/>
              <w:sz w:val="22"/>
            </w:rPr>
            <w:t>{{LAR_SIGNED_AT}}</w:t>
          </w:r>
        </w:sdtContent>
      </w:sdt>
    </w:p>
    <w:p>
      <w:pPr>
        <w:pStyle w:val="Heading2"/>
      </w:pPr>
      <w:r>
        <w:t>Assent witness / assessor, if required</w:t>
      </w:r>
    </w:p>
    <w:p>
      <w:pPr>
        <w:spacing w:after="60"/>
      </w:pPr>
      <w:r>
        <w:rPr>
          <w:rFonts w:ascii="Calibri" w:hAnsi="Calibri"/>
          <w:b/>
          <w:color w:val="0B2545"/>
          <w:sz w:val="22"/>
        </w:rPr>
        <w:t xml:space="preserve">Printed name: </w:t>
      </w:r>
      <w:sdt>
        <w:sdtPr>
          <w:tag w:val="ASSENT_WITNESS_PRINTED_NAME"/>
          <w:alias w:val="ASSENT_WITNESS_PRINTED_NAME"/>
          <w:text/>
        </w:sdtPr>
        <w:sdtContent>
          <w:r>
            <w:rPr>
              <w:rFonts w:ascii="Calibri" w:hAnsi="Calibri"/>
              <w:color w:val="000000"/>
              <w:sz w:val="22"/>
            </w:rPr>
            <w:t>{{ASSENT_WITNESS_PRINTED_NAME}}</w:t>
          </w:r>
        </w:sdtContent>
      </w:sdt>
    </w:p>
    <w:p>
      <w:pPr>
        <w:spacing w:after="60"/>
      </w:pPr>
      <w:r>
        <w:rPr>
          <w:rFonts w:ascii="Calibri" w:hAnsi="Calibri"/>
          <w:b/>
          <w:color w:val="0B2545"/>
          <w:sz w:val="22"/>
        </w:rPr>
        <w:t xml:space="preserve">Electronic or handwritten signature: </w:t>
      </w:r>
      <w:sdt>
        <w:sdtPr>
          <w:tag w:val="ASSENT_WITNESS_SIGNATURE"/>
          <w:alias w:val="ASSENT_WITNESS_SIGNATURE"/>
          <w:text/>
        </w:sdtPr>
        <w:sdtContent>
          <w:r>
            <w:rPr>
              <w:rFonts w:ascii="Calibri" w:hAnsi="Calibri"/>
              <w:color w:val="000000"/>
              <w:sz w:val="22"/>
            </w:rPr>
            <w:t>{{ASSENT_WITNESS_SIGNATURE}}</w:t>
          </w:r>
        </w:sdtContent>
      </w:sdt>
    </w:p>
    <w:p>
      <w:pPr>
        <w:spacing w:after="60"/>
      </w:pPr>
      <w:r>
        <w:rPr>
          <w:rFonts w:ascii="Calibri" w:hAnsi="Calibri"/>
          <w:b/>
          <w:color w:val="0B2545"/>
          <w:sz w:val="22"/>
        </w:rPr>
        <w:t xml:space="preserve">Date and time (with time zone): </w:t>
      </w:r>
      <w:sdt>
        <w:sdtPr>
          <w:tag w:val="ASSENT_WITNESS_SIGNED_AT"/>
          <w:alias w:val="ASSENT_WITNESS_SIGNED_AT"/>
          <w:text/>
        </w:sdtPr>
        <w:sdtContent>
          <w:r>
            <w:rPr>
              <w:rFonts w:ascii="Calibri" w:hAnsi="Calibri"/>
              <w:color w:val="000000"/>
              <w:sz w:val="22"/>
            </w:rPr>
            <w:t>{{ASSENT_WITNESS_SIGNED_AT}}</w:t>
          </w:r>
        </w:sdtContent>
      </w:sdt>
    </w:p>
    <w:p>
      <w:r>
        <w:br w:type="page"/>
      </w:r>
    </w:p>
    <w:p>
      <w:pPr>
        <w:pStyle w:val="Heading1"/>
      </w:pPr>
      <w:r>
        <w:t>MODULE B - Caregiver or Study-Partner Consent</w:t>
      </w:r>
    </w:p>
    <w:p>
      <w:pPr>
        <w:spacing w:before="80" w:after="200" w:line="259" w:lineRule="auto"/>
        <w:ind w:left="173" w:right="115"/>
        <w:shd w:fill="EAF4F3"/>
        <w:pBdr>
          <w:left w:val="single" w:sz="16" w:space="8" w:color="1B6F6A"/>
        </w:pBdr>
        <w:keepLines/>
      </w:pPr>
      <w:r>
        <w:rPr>
          <w:rFonts w:ascii="Calibri" w:hAnsi="Calibri"/>
          <w:b/>
          <w:color w:val="1B6F6A"/>
          <w:sz w:val="22"/>
        </w:rPr>
        <w:t xml:space="preserve">Separate person, separate data. </w:t>
      </w:r>
      <w:r>
        <w:rPr>
          <w:rFonts w:ascii="Calibri" w:hAnsi="Calibri"/>
          <w:color w:val="000000"/>
          <w:sz w:val="22"/>
        </w:rPr>
        <w:t>A caregiver or study partner supplies their own personal data and may also provide observations about the participant. They must receive their own consent and privacy information. The participant's consent does not replace this permission.</w:t>
      </w:r>
    </w:p>
    <w:p>
      <w:pPr>
        <w:spacing w:after="60"/>
      </w:pPr>
      <w:r>
        <w:rPr>
          <w:rFonts w:ascii="Calibri" w:hAnsi="Calibri"/>
          <w:b/>
          <w:color w:val="0B2545"/>
          <w:sz w:val="22"/>
        </w:rPr>
        <w:t xml:space="preserve">Study partner role and procedures: </w:t>
      </w:r>
      <w:sdt>
        <w:sdtPr>
          <w:tag w:val="STUDY_PARTNER_ROLE_PROCEDURES"/>
          <w:alias w:val="STUDY_PARTNER_ROLE_PROCEDURES"/>
          <w:text/>
        </w:sdtPr>
        <w:sdtContent>
          <w:r>
            <w:rPr>
              <w:rFonts w:ascii="Calibri" w:hAnsi="Calibri"/>
              <w:color w:val="000000"/>
              <w:sz w:val="22"/>
            </w:rPr>
            <w:t>{{STUDY_PARTNER_ROLE_PROCEDURES}}</w:t>
          </w:r>
        </w:sdtContent>
      </w:sdt>
    </w:p>
    <w:p>
      <w:pPr>
        <w:spacing w:after="60"/>
      </w:pPr>
      <w:r>
        <w:rPr>
          <w:rFonts w:ascii="Calibri" w:hAnsi="Calibri"/>
          <w:b/>
          <w:color w:val="0B2545"/>
          <w:sz w:val="22"/>
        </w:rPr>
        <w:t xml:space="preserve">Data collected from/about the study partner: </w:t>
      </w:r>
      <w:sdt>
        <w:sdtPr>
          <w:tag w:val="STUDY_PARTNER_DATA_TYPES"/>
          <w:alias w:val="STUDY_PARTNER_DATA_TYPES"/>
          <w:text/>
        </w:sdtPr>
        <w:sdtContent>
          <w:r>
            <w:rPr>
              <w:rFonts w:ascii="Calibri" w:hAnsi="Calibri"/>
              <w:color w:val="000000"/>
              <w:sz w:val="22"/>
            </w:rPr>
            <w:t>{{STUDY_PARTNER_DATA_TYPES}}</w:t>
          </w:r>
        </w:sdtContent>
      </w:sdt>
    </w:p>
    <w:p>
      <w:pPr>
        <w:spacing w:after="60"/>
      </w:pPr>
      <w:r>
        <w:rPr>
          <w:rFonts w:ascii="Calibri" w:hAnsi="Calibri"/>
          <w:b/>
          <w:color w:val="0B2545"/>
          <w:sz w:val="22"/>
        </w:rPr>
        <w:t xml:space="preserve">Data provided about participant: </w:t>
      </w:r>
      <w:sdt>
        <w:sdtPr>
          <w:tag w:val="STUDY_PARTNER_PARTICIPANT_DATA"/>
          <w:alias w:val="STUDY_PARTNER_PARTICIPANT_DATA"/>
          <w:text/>
        </w:sdtPr>
        <w:sdtContent>
          <w:r>
            <w:rPr>
              <w:rFonts w:ascii="Calibri" w:hAnsi="Calibri"/>
              <w:color w:val="000000"/>
              <w:sz w:val="22"/>
            </w:rPr>
            <w:t>{{STUDY_PARTNER_PARTICIPANT_DATA}}</w:t>
          </w:r>
        </w:sdtContent>
      </w:sdt>
    </w:p>
    <w:p>
      <w:pPr>
        <w:spacing w:after="60"/>
      </w:pPr>
      <w:r>
        <w:rPr>
          <w:rFonts w:ascii="Calibri" w:hAnsi="Calibri"/>
          <w:b/>
          <w:color w:val="0B2545"/>
          <w:sz w:val="22"/>
        </w:rPr>
        <w:t xml:space="preserve">Recipients, destinations, and retention: </w:t>
      </w:r>
      <w:sdt>
        <w:sdtPr>
          <w:tag w:val="STUDY_PARTNER_DESTINATIONS_RETENTION"/>
          <w:alias w:val="STUDY_PARTNER_DESTINATIONS_RETENTION"/>
          <w:text/>
        </w:sdtPr>
        <w:sdtContent>
          <w:r>
            <w:rPr>
              <w:rFonts w:ascii="Calibri" w:hAnsi="Calibri"/>
              <w:color w:val="000000"/>
              <w:sz w:val="22"/>
            </w:rPr>
            <w:t>{{STUDY_PARTNER_DESTINATIONS_RETENTION}}</w:t>
          </w:r>
        </w:sdtContent>
      </w:sdt>
    </w:p>
    <w:p>
      <w:pPr>
        <w:spacing w:after="60"/>
      </w:pPr>
      <w:r>
        <w:rPr>
          <w:rFonts w:ascii="Calibri" w:hAnsi="Calibri"/>
          <w:b/>
          <w:color w:val="0B2545"/>
          <w:sz w:val="22"/>
        </w:rPr>
        <w:t xml:space="preserve">Risks and confidentiality limits: </w:t>
      </w:r>
      <w:sdt>
        <w:sdtPr>
          <w:tag w:val="STUDY_PARTNER_RISKS"/>
          <w:alias w:val="STUDY_PARTNER_RISKS"/>
          <w:text/>
        </w:sdtPr>
        <w:sdtContent>
          <w:r>
            <w:rPr>
              <w:rFonts w:ascii="Calibri" w:hAnsi="Calibri"/>
              <w:color w:val="000000"/>
              <w:sz w:val="22"/>
            </w:rPr>
            <w:t>{{STUDY_PARTNER_RISKS}}</w:t>
          </w:r>
        </w:sdtContent>
      </w:sdt>
    </w:p>
    <w:tbl>
      <w:tblPr>
        <w:tblStyle w:val="TableGrid"/>
        <w:tblW w:type="dxa" w:w="9360"/>
        <w:jc w:val="left"/>
        <w:tblLayout w:type="fixed"/>
        <w:tblLook w:firstColumn="1" w:firstRow="1" w:lastColumn="0" w:lastRow="0" w:noHBand="0" w:noVBand="1" w:val="04A0"/>
        <w:tblInd w:type="dxa" w:w="120"/>
      </w:tblPr>
      <w:tblGrid>
        <w:gridCol w:w="6552"/>
        <w:gridCol w:w="1404"/>
        <w:gridCol w:w="1404"/>
      </w:tblGrid>
      <w:tr>
        <w:trPr>
          <w:tblHeader w:val="true"/>
          <w:cantSplit/>
        </w:trPr>
        <w:tc>
          <w:tcPr>
            <w:tcW w:type="dxa" w:w="655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Permission or decision</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Yes</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No</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consent to provide the required study-partner observations and questionnaires.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consent to recording of my voice or image if I enter the recording area or complete a recorded task.</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agree to optional future contact as described.</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bl>
    <w:p>
      <w:pPr>
        <w:spacing w:after="40"/>
      </w:pPr>
    </w:p>
    <w:p>
      <w:pPr>
        <w:pStyle w:val="Heading2"/>
      </w:pPr>
      <w:r>
        <w:t>Caregiver/study-partner signature</w:t>
      </w:r>
    </w:p>
    <w:p>
      <w:pPr>
        <w:spacing w:after="60"/>
      </w:pPr>
      <w:r>
        <w:rPr>
          <w:rFonts w:ascii="Calibri" w:hAnsi="Calibri"/>
          <w:b/>
          <w:color w:val="0B2545"/>
          <w:sz w:val="22"/>
        </w:rPr>
        <w:t xml:space="preserve">Printed name: </w:t>
      </w:r>
      <w:sdt>
        <w:sdtPr>
          <w:tag w:val="STUDY_PARTNER_PRINTED_NAME"/>
          <w:alias w:val="STUDY_PARTNER_PRINTED_NAME"/>
          <w:text/>
        </w:sdtPr>
        <w:sdtContent>
          <w:r>
            <w:rPr>
              <w:rFonts w:ascii="Calibri" w:hAnsi="Calibri"/>
              <w:color w:val="000000"/>
              <w:sz w:val="22"/>
            </w:rPr>
            <w:t>{{STUDY_PARTNER_PRINTED_NAME}}</w:t>
          </w:r>
        </w:sdtContent>
      </w:sdt>
    </w:p>
    <w:p>
      <w:pPr>
        <w:spacing w:after="60"/>
      </w:pPr>
      <w:r>
        <w:rPr>
          <w:rFonts w:ascii="Calibri" w:hAnsi="Calibri"/>
          <w:b/>
          <w:color w:val="0B2545"/>
          <w:sz w:val="22"/>
        </w:rPr>
        <w:t xml:space="preserve">Electronic or handwritten signature: </w:t>
      </w:r>
      <w:sdt>
        <w:sdtPr>
          <w:tag w:val="STUDY_PARTNER_SIGNATURE"/>
          <w:alias w:val="STUDY_PARTNER_SIGNATURE"/>
          <w:text/>
        </w:sdtPr>
        <w:sdtContent>
          <w:r>
            <w:rPr>
              <w:rFonts w:ascii="Calibri" w:hAnsi="Calibri"/>
              <w:color w:val="000000"/>
              <w:sz w:val="22"/>
            </w:rPr>
            <w:t>{{STUDY_PARTNER_SIGNATURE}}</w:t>
          </w:r>
        </w:sdtContent>
      </w:sdt>
    </w:p>
    <w:p>
      <w:pPr>
        <w:spacing w:after="60"/>
      </w:pPr>
      <w:r>
        <w:rPr>
          <w:rFonts w:ascii="Calibri" w:hAnsi="Calibri"/>
          <w:b/>
          <w:color w:val="0B2545"/>
          <w:sz w:val="22"/>
        </w:rPr>
        <w:t xml:space="preserve">Date and time (with time zone): </w:t>
      </w:r>
      <w:sdt>
        <w:sdtPr>
          <w:tag w:val="STUDY_PARTNER_SIGNED_AT"/>
          <w:alias w:val="STUDY_PARTNER_SIGNED_AT"/>
          <w:text/>
        </w:sdtPr>
        <w:sdtContent>
          <w:r>
            <w:rPr>
              <w:rFonts w:ascii="Calibri" w:hAnsi="Calibri"/>
              <w:color w:val="000000"/>
              <w:sz w:val="22"/>
            </w:rPr>
            <w:t>{{STUDY_PARTNER_SIGNED_AT}}</w:t>
          </w:r>
        </w:sdtContent>
      </w:sdt>
    </w:p>
    <w:p>
      <w:r>
        <w:br w:type="page"/>
      </w:r>
    </w:p>
    <w:p>
      <w:pPr>
        <w:pStyle w:val="Heading1"/>
      </w:pPr>
      <w:r>
        <w:t>MODULE C - HIPAA Authorization for Research</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only when a HIPAA covered entity or business associate will use or disclose protected health information and the study is relying on individual authorization rather than an IRB/Privacy Board waiver or another HIPAA permission. The covered entity must approve this language.</w:t>
      </w:r>
    </w:p>
    <w:p>
      <w:r>
        <w:t>I authorize the use and disclosure of the protected health information described below for the research purpose stated in this authorization.</w:t>
      </w:r>
    </w:p>
    <w:p>
      <w:pPr>
        <w:spacing w:after="60"/>
      </w:pPr>
      <w:r>
        <w:rPr>
          <w:rFonts w:ascii="Calibri" w:hAnsi="Calibri"/>
          <w:b/>
          <w:color w:val="0B2545"/>
          <w:sz w:val="22"/>
        </w:rPr>
        <w:t xml:space="preserve">Information to be used/disclosed: </w:t>
      </w:r>
      <w:sdt>
        <w:sdtPr>
          <w:tag w:val="HIPAA_PHI_DESCRIPTION"/>
          <w:alias w:val="HIPAA_PHI_DESCRIPTION"/>
          <w:text/>
        </w:sdtPr>
        <w:sdtContent>
          <w:r>
            <w:rPr>
              <w:rFonts w:ascii="Calibri" w:hAnsi="Calibri"/>
              <w:color w:val="000000"/>
              <w:sz w:val="22"/>
            </w:rPr>
            <w:t>{{HIPAA_PHI_DESCRIPTION}}</w:t>
          </w:r>
        </w:sdtContent>
      </w:sdt>
    </w:p>
    <w:p>
      <w:pPr>
        <w:spacing w:after="60"/>
      </w:pPr>
      <w:r>
        <w:rPr>
          <w:rFonts w:ascii="Calibri" w:hAnsi="Calibri"/>
          <w:b/>
          <w:color w:val="0B2545"/>
          <w:sz w:val="22"/>
        </w:rPr>
        <w:t xml:space="preserve">Person/entity authorized to disclose: </w:t>
      </w:r>
      <w:sdt>
        <w:sdtPr>
          <w:tag w:val="HIPAA_DISCLOSING_ENTITY"/>
          <w:alias w:val="HIPAA_DISCLOSING_ENTITY"/>
          <w:text/>
        </w:sdtPr>
        <w:sdtContent>
          <w:r>
            <w:rPr>
              <w:rFonts w:ascii="Calibri" w:hAnsi="Calibri"/>
              <w:color w:val="000000"/>
              <w:sz w:val="22"/>
            </w:rPr>
            <w:t>{{HIPAA_DISCLOSING_ENTITY}}</w:t>
          </w:r>
        </w:sdtContent>
      </w:sdt>
    </w:p>
    <w:p>
      <w:pPr>
        <w:spacing w:after="60"/>
      </w:pPr>
      <w:r>
        <w:rPr>
          <w:rFonts w:ascii="Calibri" w:hAnsi="Calibri"/>
          <w:b/>
          <w:color w:val="0B2545"/>
          <w:sz w:val="22"/>
        </w:rPr>
        <w:t xml:space="preserve">Person/entity authorized to receive/use: </w:t>
      </w:r>
      <w:sdt>
        <w:sdtPr>
          <w:tag w:val="HIPAA_RECIPIENTS"/>
          <w:alias w:val="HIPAA_RECIPIENTS"/>
          <w:text/>
        </w:sdtPr>
        <w:sdtContent>
          <w:r>
            <w:rPr>
              <w:rFonts w:ascii="Calibri" w:hAnsi="Calibri"/>
              <w:color w:val="000000"/>
              <w:sz w:val="22"/>
            </w:rPr>
            <w:t>{{HIPAA_RECIPIENTS}}</w:t>
          </w:r>
        </w:sdtContent>
      </w:sdt>
    </w:p>
    <w:p>
      <w:pPr>
        <w:spacing w:after="60"/>
      </w:pPr>
      <w:r>
        <w:rPr>
          <w:rFonts w:ascii="Calibri" w:hAnsi="Calibri"/>
          <w:b/>
          <w:color w:val="0B2545"/>
          <w:sz w:val="22"/>
        </w:rPr>
        <w:t xml:space="preserve">Purpose: </w:t>
      </w:r>
      <w:sdt>
        <w:sdtPr>
          <w:tag w:val="HIPAA_RESEARCH_PURPOSE"/>
          <w:alias w:val="HIPAA_RESEARCH_PURPOSE"/>
          <w:text/>
        </w:sdtPr>
        <w:sdtContent>
          <w:r>
            <w:rPr>
              <w:rFonts w:ascii="Calibri" w:hAnsi="Calibri"/>
              <w:color w:val="000000"/>
              <w:sz w:val="22"/>
            </w:rPr>
            <w:t>{{HIPAA_RESEARCH_PURPOSE}}</w:t>
          </w:r>
        </w:sdtContent>
      </w:sdt>
    </w:p>
    <w:p>
      <w:pPr>
        <w:spacing w:after="60"/>
      </w:pPr>
      <w:r>
        <w:rPr>
          <w:rFonts w:ascii="Calibri" w:hAnsi="Calibri"/>
          <w:b/>
          <w:color w:val="0B2545"/>
          <w:sz w:val="22"/>
        </w:rPr>
        <w:t xml:space="preserve">Expiration date/event: </w:t>
      </w:r>
      <w:sdt>
        <w:sdtPr>
          <w:tag w:val="HIPAA_EXPIRATION"/>
          <w:alias w:val="HIPAA_EXPIRATION"/>
          <w:text/>
        </w:sdtPr>
        <w:sdtContent>
          <w:r>
            <w:rPr>
              <w:rFonts w:ascii="Calibri" w:hAnsi="Calibri"/>
              <w:color w:val="000000"/>
              <w:sz w:val="22"/>
            </w:rPr>
            <w:t>{{HIPAA_EXPIRATION}}</w:t>
          </w:r>
        </w:sdtContent>
      </w:sdt>
    </w:p>
    <w:p>
      <w:pPr>
        <w:spacing w:after="60"/>
      </w:pPr>
      <w:r>
        <w:rPr>
          <w:rFonts w:ascii="Calibri" w:hAnsi="Calibri"/>
          <w:b/>
          <w:color w:val="0B2545"/>
          <w:sz w:val="22"/>
        </w:rPr>
        <w:t xml:space="preserve">How to revoke in writing: </w:t>
      </w:r>
      <w:sdt>
        <w:sdtPr>
          <w:tag w:val="HIPAA_REVOCATION_METHOD"/>
          <w:alias w:val="HIPAA_REVOCATION_METHOD"/>
          <w:text/>
        </w:sdtPr>
        <w:sdtContent>
          <w:r>
            <w:rPr>
              <w:rFonts w:ascii="Calibri" w:hAnsi="Calibri"/>
              <w:color w:val="000000"/>
              <w:sz w:val="22"/>
            </w:rPr>
            <w:t>{{HIPAA_REVOCATION_METHOD}}</w:t>
          </w:r>
        </w:sdtContent>
      </w:sdt>
    </w:p>
    <w:p>
      <w:r>
        <w:t>I understand that I may revoke this authorization in writing, except to the extent an authorized person or entity has already acted in reliance on it or as otherwise permitted for research integrity by law. Unless this is a study involving research-related treatment that requires authorization, my care, payment, enrollment in a health plan, and eligibility for benefits will not be conditioned on signing. Information disclosed to a recipient not governed by HIPAA may be redisclosed and may no longer be protected by HIPAA, although other laws and research agreements may apply. I will receive a copy of this authorization.</w:t>
      </w:r>
    </w:p>
    <w:p>
      <w:pPr>
        <w:pStyle w:val="Heading2"/>
      </w:pPr>
      <w:r>
        <w:t>Individual or personal representative signature</w:t>
      </w:r>
    </w:p>
    <w:p>
      <w:pPr>
        <w:spacing w:after="60"/>
      </w:pPr>
      <w:r>
        <w:rPr>
          <w:rFonts w:ascii="Calibri" w:hAnsi="Calibri"/>
          <w:b/>
          <w:color w:val="0B2545"/>
          <w:sz w:val="22"/>
        </w:rPr>
        <w:t xml:space="preserve">Printed name: </w:t>
      </w:r>
      <w:sdt>
        <w:sdtPr>
          <w:tag w:val="HIPAA_SIGNER_PRINTED_NAME"/>
          <w:alias w:val="HIPAA_SIGNER_PRINTED_NAME"/>
          <w:text/>
        </w:sdtPr>
        <w:sdtContent>
          <w:r>
            <w:rPr>
              <w:rFonts w:ascii="Calibri" w:hAnsi="Calibri"/>
              <w:color w:val="000000"/>
              <w:sz w:val="22"/>
            </w:rPr>
            <w:t>{{HIPAA_SIGNER_PRINTED_NAME}}</w:t>
          </w:r>
        </w:sdtContent>
      </w:sdt>
    </w:p>
    <w:p>
      <w:pPr>
        <w:spacing w:after="60"/>
      </w:pPr>
      <w:r>
        <w:rPr>
          <w:rFonts w:ascii="Calibri" w:hAnsi="Calibri"/>
          <w:b/>
          <w:color w:val="0B2545"/>
          <w:sz w:val="22"/>
        </w:rPr>
        <w:t xml:space="preserve">Electronic or handwritten signature: </w:t>
      </w:r>
      <w:sdt>
        <w:sdtPr>
          <w:tag w:val="HIPAA_SIGNER_SIGNATURE"/>
          <w:alias w:val="HIPAA_SIGNER_SIGNATURE"/>
          <w:text/>
        </w:sdtPr>
        <w:sdtContent>
          <w:r>
            <w:rPr>
              <w:rFonts w:ascii="Calibri" w:hAnsi="Calibri"/>
              <w:color w:val="000000"/>
              <w:sz w:val="22"/>
            </w:rPr>
            <w:t>{{HIPAA_SIGNER_SIGNATURE}}</w:t>
          </w:r>
        </w:sdtContent>
      </w:sdt>
    </w:p>
    <w:p>
      <w:pPr>
        <w:spacing w:after="60"/>
      </w:pPr>
      <w:r>
        <w:rPr>
          <w:rFonts w:ascii="Calibri" w:hAnsi="Calibri"/>
          <w:b/>
          <w:color w:val="0B2545"/>
          <w:sz w:val="22"/>
        </w:rPr>
        <w:t xml:space="preserve">Date and time (with time zone): </w:t>
      </w:r>
      <w:sdt>
        <w:sdtPr>
          <w:tag w:val="HIPAA_SIGNER_SIGNED_AT"/>
          <w:alias w:val="HIPAA_SIGNER_SIGNED_AT"/>
          <w:text/>
        </w:sdtPr>
        <w:sdtContent>
          <w:r>
            <w:rPr>
              <w:rFonts w:ascii="Calibri" w:hAnsi="Calibri"/>
              <w:color w:val="000000"/>
              <w:sz w:val="22"/>
            </w:rPr>
            <w:t>{{HIPAA_SIGNER_SIGNED_AT}}</w:t>
          </w:r>
        </w:sdtContent>
      </w:sdt>
    </w:p>
    <w:p>
      <w:pPr>
        <w:spacing w:after="60"/>
      </w:pPr>
      <w:r>
        <w:rPr>
          <w:rFonts w:ascii="Calibri" w:hAnsi="Calibri"/>
          <w:b/>
          <w:color w:val="0B2545"/>
          <w:sz w:val="22"/>
        </w:rPr>
        <w:t xml:space="preserve">Representative authority, if applicable: </w:t>
      </w:r>
      <w:sdt>
        <w:sdtPr>
          <w:tag w:val="HIPAA_REPRESENTATIVE_AUTHORITY"/>
          <w:alias w:val="HIPAA_REPRESENTATIVE_AUTHORITY"/>
          <w:text/>
        </w:sdtPr>
        <w:sdtContent>
          <w:r>
            <w:rPr>
              <w:rFonts w:ascii="Calibri" w:hAnsi="Calibri"/>
              <w:color w:val="000000"/>
              <w:sz w:val="22"/>
            </w:rPr>
            <w:t>{{HIPAA_REPRESENTATIVE_AUTHORITY}}</w:t>
          </w:r>
        </w:sdtContent>
      </w:sdt>
    </w:p>
    <w:p>
      <w:r>
        <w:br w:type="page"/>
      </w:r>
    </w:p>
    <w:p>
      <w:pPr>
        <w:pStyle w:val="Heading1"/>
      </w:pPr>
      <w:r>
        <w:t>MODULE D - Illinois Biometric Written Release</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for Illinois participants when the collection or processing falls within the Illinois Biometric Information Privacy Act. This separate release must match the public biometric retention/destruction policy and exact study data flow.</w:t>
      </w:r>
    </w:p>
    <w:p>
      <w:r>
        <w:t xml:space="preserve">You are informed in writing that </w:t>
      </w:r>
      <w:sdt>
        <w:sdtPr>
          <w:tag w:val="IL_BIOMETRIC_DATA"/>
          <w:alias w:val="IL_BIOMETRIC_DATA"/>
          <w:text/>
        </w:sdtPr>
        <w:sdtContent>
          <w:r>
            <w:t>{{IL_BIOMETRIC_DATA}}</w:t>
          </w:r>
        </w:sdtContent>
      </w:sdt>
      <w:r>
        <w:t xml:space="preserve"> will be collected and/or stored. The specific purpose is </w:t>
      </w:r>
      <w:sdt>
        <w:sdtPr>
          <w:tag w:val="IL_BIOMETRIC_PURPOSE"/>
          <w:alias w:val="IL_BIOMETRIC_PURPOSE"/>
          <w:text/>
        </w:sdtPr>
        <w:sdtContent>
          <w:r>
            <w:t>{{IL_BIOMETRIC_PURPOSE}}</w:t>
          </w:r>
        </w:sdtContent>
      </w:sdt>
      <w:r>
        <w:t xml:space="preserve">. The length of time for collection, storage, and use is </w:t>
      </w:r>
      <w:sdt>
        <w:sdtPr>
          <w:tag w:val="IL_BIOMETRIC_TERM"/>
          <w:alias w:val="IL_BIOMETRIC_TERM"/>
          <w:text/>
        </w:sdtPr>
        <w:sdtContent>
          <w:r>
            <w:t>{{IL_BIOMETRIC_TERM}}</w:t>
          </w:r>
        </w:sdtContent>
      </w:sdt>
      <w:r>
        <w:t xml:space="preserve">. The public retention and destruction policy is available at </w:t>
      </w:r>
      <w:sdt>
        <w:sdtPr>
          <w:tag w:val="IL_PUBLIC_POLICY_LOCATION"/>
          <w:alias w:val="IL_PUBLIC_POLICY_LOCATION"/>
          <w:text/>
        </w:sdtPr>
        <w:sdtContent>
          <w:r>
            <w:t>{{IL_PUBLIC_POLICY_LOCATION}}</w:t>
          </w:r>
        </w:sdtContent>
      </w:sdt>
      <w:r>
        <w:t>.</w:t>
      </w:r>
    </w:p>
    <w:p>
      <w:r>
        <w:t xml:space="preserve">The data will be permanently destroyed when the initial purpose has been satisfied or within three years of your last interaction with the responsible private entity, whichever occurs first, unless a valid warrant or subpoena or another applicable requirement controls. The data will not be sold, leased, traded, or otherwise used for profit. Disclosure or redisclosure is limited to </w:t>
      </w:r>
      <w:sdt>
        <w:sdtPr>
          <w:tag w:val="IL_DISCLOSURE_RECIPIENTS_AND_PURPOSES"/>
          <w:alias w:val="IL_DISCLOSURE_RECIPIENTS_AND_PURPOSES"/>
          <w:text/>
        </w:sdtPr>
        <w:sdtContent>
          <w:r>
            <w:t>{{IL_DISCLOSURE_RECIPIENTS_AND_PURPOSES}}</w:t>
          </w:r>
        </w:sdtContent>
      </w:sdt>
      <w:r>
        <w:t xml:space="preserve"> and other circumstances permitted or required by law.</w:t>
      </w:r>
    </w:p>
    <w:p>
      <w:r>
        <w:t>By signing below, I provide my informed written release for the collection, storage, use, and listed disclosure of the biometric identifiers or biometric information described above for the stated purpose and term.</w:t>
      </w:r>
    </w:p>
    <w:p>
      <w:pPr>
        <w:pStyle w:val="Heading2"/>
      </w:pPr>
      <w:r>
        <w:t>Illinois biometric written release</w:t>
      </w:r>
    </w:p>
    <w:p>
      <w:pPr>
        <w:spacing w:after="60"/>
      </w:pPr>
      <w:r>
        <w:rPr>
          <w:rFonts w:ascii="Calibri" w:hAnsi="Calibri"/>
          <w:b/>
          <w:color w:val="0B2545"/>
          <w:sz w:val="22"/>
        </w:rPr>
        <w:t xml:space="preserve">Printed name: </w:t>
      </w:r>
      <w:sdt>
        <w:sdtPr>
          <w:tag w:val="IL_BIPA_SIGNER_PRINTED_NAME"/>
          <w:alias w:val="IL_BIPA_SIGNER_PRINTED_NAME"/>
          <w:text/>
        </w:sdtPr>
        <w:sdtContent>
          <w:r>
            <w:rPr>
              <w:rFonts w:ascii="Calibri" w:hAnsi="Calibri"/>
              <w:color w:val="000000"/>
              <w:sz w:val="22"/>
            </w:rPr>
            <w:t>{{IL_BIPA_SIGNER_PRINTED_NAME}}</w:t>
          </w:r>
        </w:sdtContent>
      </w:sdt>
    </w:p>
    <w:p>
      <w:pPr>
        <w:spacing w:after="60"/>
      </w:pPr>
      <w:r>
        <w:rPr>
          <w:rFonts w:ascii="Calibri" w:hAnsi="Calibri"/>
          <w:b/>
          <w:color w:val="0B2545"/>
          <w:sz w:val="22"/>
        </w:rPr>
        <w:t xml:space="preserve">Electronic or handwritten signature: </w:t>
      </w:r>
      <w:sdt>
        <w:sdtPr>
          <w:tag w:val="IL_BIPA_SIGNER_SIGNATURE"/>
          <w:alias w:val="IL_BIPA_SIGNER_SIGNATURE"/>
          <w:text/>
        </w:sdtPr>
        <w:sdtContent>
          <w:r>
            <w:rPr>
              <w:rFonts w:ascii="Calibri" w:hAnsi="Calibri"/>
              <w:color w:val="000000"/>
              <w:sz w:val="22"/>
            </w:rPr>
            <w:t>{{IL_BIPA_SIGNER_SIGNATURE}}</w:t>
          </w:r>
        </w:sdtContent>
      </w:sdt>
    </w:p>
    <w:p>
      <w:pPr>
        <w:spacing w:after="60"/>
      </w:pPr>
      <w:r>
        <w:rPr>
          <w:rFonts w:ascii="Calibri" w:hAnsi="Calibri"/>
          <w:b/>
          <w:color w:val="0B2545"/>
          <w:sz w:val="22"/>
        </w:rPr>
        <w:t xml:space="preserve">Date and time (with time zone): </w:t>
      </w:r>
      <w:sdt>
        <w:sdtPr>
          <w:tag w:val="IL_BIPA_SIGNER_SIGNED_AT"/>
          <w:alias w:val="IL_BIPA_SIGNER_SIGNED_AT"/>
          <w:text/>
        </w:sdtPr>
        <w:sdtContent>
          <w:r>
            <w:rPr>
              <w:rFonts w:ascii="Calibri" w:hAnsi="Calibri"/>
              <w:color w:val="000000"/>
              <w:sz w:val="22"/>
            </w:rPr>
            <w:t>{{IL_BIPA_SIGNER_SIGNED_AT}}</w:t>
          </w:r>
        </w:sdtContent>
      </w:sdt>
    </w:p>
    <w:p>
      <w:pPr>
        <w:pStyle w:val="Heading1"/>
      </w:pPr>
      <w:r>
        <w:t>MODULE E - Texas Biometric Notice and Consent</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when a biometric identifier will be captured for a commercial purpose from a Texas participant. Confirm exemptions and controller status with counsel.</w:t>
      </w:r>
    </w:p>
    <w:p>
      <w:r>
        <w:t xml:space="preserve">Before capture, you are informed that </w:t>
      </w:r>
      <w:sdt>
        <w:sdtPr>
          <w:tag w:val="TX_BIOMETRIC_IDENTIFIER"/>
          <w:alias w:val="TX_BIOMETRIC_IDENTIFIER"/>
          <w:text/>
        </w:sdtPr>
        <w:sdtContent>
          <w:r>
            <w:t>{{TX_BIOMETRIC_IDENTIFIER}}</w:t>
          </w:r>
        </w:sdtContent>
      </w:sdt>
      <w:r>
        <w:t xml:space="preserve"> will be captured for </w:t>
      </w:r>
      <w:sdt>
        <w:sdtPr>
          <w:tag w:val="TX_BIOMETRIC_PURPOSE"/>
          <w:alias w:val="TX_BIOMETRIC_PURPOSE"/>
          <w:text/>
        </w:sdtPr>
        <w:sdtContent>
          <w:r>
            <w:t>{{TX_BIOMETRIC_PURPOSE}}</w:t>
          </w:r>
        </w:sdtContent>
      </w:sdt>
      <w:r>
        <w:t>. It will not be sold, leased, or disclosed except as permitted by applicable law and this consent. It will be protected using reasonable care and destroyed within a reasonable time, and no later than one year after the purpose for collection expires, unless a law, warrant, or subpoena requires a different period.</w:t>
      </w:r>
    </w:p>
    <w:p>
      <w:pPr>
        <w:pStyle w:val="Heading2"/>
      </w:pPr>
      <w:r>
        <w:t>Texas biometric consent</w:t>
      </w:r>
    </w:p>
    <w:p>
      <w:pPr>
        <w:spacing w:after="60"/>
      </w:pPr>
      <w:r>
        <w:rPr>
          <w:rFonts w:ascii="Calibri" w:hAnsi="Calibri"/>
          <w:b/>
          <w:color w:val="0B2545"/>
          <w:sz w:val="22"/>
        </w:rPr>
        <w:t xml:space="preserve">Printed name: </w:t>
      </w:r>
      <w:sdt>
        <w:sdtPr>
          <w:tag w:val="TX_BIOMETRIC_SIGNER_PRINTED_NAME"/>
          <w:alias w:val="TX_BIOMETRIC_SIGNER_PRINTED_NAME"/>
          <w:text/>
        </w:sdtPr>
        <w:sdtContent>
          <w:r>
            <w:rPr>
              <w:rFonts w:ascii="Calibri" w:hAnsi="Calibri"/>
              <w:color w:val="000000"/>
              <w:sz w:val="22"/>
            </w:rPr>
            <w:t>{{TX_BIOMETRIC_SIGNER_PRINTED_NAME}}</w:t>
          </w:r>
        </w:sdtContent>
      </w:sdt>
    </w:p>
    <w:p>
      <w:pPr>
        <w:spacing w:after="60"/>
      </w:pPr>
      <w:r>
        <w:rPr>
          <w:rFonts w:ascii="Calibri" w:hAnsi="Calibri"/>
          <w:b/>
          <w:color w:val="0B2545"/>
          <w:sz w:val="22"/>
        </w:rPr>
        <w:t xml:space="preserve">Electronic or handwritten signature: </w:t>
      </w:r>
      <w:sdt>
        <w:sdtPr>
          <w:tag w:val="TX_BIOMETRIC_SIGNER_SIGNATURE"/>
          <w:alias w:val="TX_BIOMETRIC_SIGNER_SIGNATURE"/>
          <w:text/>
        </w:sdtPr>
        <w:sdtContent>
          <w:r>
            <w:rPr>
              <w:rFonts w:ascii="Calibri" w:hAnsi="Calibri"/>
              <w:color w:val="000000"/>
              <w:sz w:val="22"/>
            </w:rPr>
            <w:t>{{TX_BIOMETRIC_SIGNER_SIGNATURE}}</w:t>
          </w:r>
        </w:sdtContent>
      </w:sdt>
    </w:p>
    <w:p>
      <w:pPr>
        <w:spacing w:after="60"/>
      </w:pPr>
      <w:r>
        <w:rPr>
          <w:rFonts w:ascii="Calibri" w:hAnsi="Calibri"/>
          <w:b/>
          <w:color w:val="0B2545"/>
          <w:sz w:val="22"/>
        </w:rPr>
        <w:t xml:space="preserve">Date and time (with time zone): </w:t>
      </w:r>
      <w:sdt>
        <w:sdtPr>
          <w:tag w:val="TX_BIOMETRIC_SIGNER_SIGNED_AT"/>
          <w:alias w:val="TX_BIOMETRIC_SIGNER_SIGNED_AT"/>
          <w:text/>
        </w:sdtPr>
        <w:sdtContent>
          <w:r>
            <w:rPr>
              <w:rFonts w:ascii="Calibri" w:hAnsi="Calibri"/>
              <w:color w:val="000000"/>
              <w:sz w:val="22"/>
            </w:rPr>
            <w:t>{{TX_BIOMETRIC_SIGNER_SIGNED_AT}}</w:t>
          </w:r>
        </w:sdtContent>
      </w:sdt>
    </w:p>
    <w:p>
      <w:r>
        <w:br w:type="page"/>
      </w:r>
    </w:p>
    <w:p>
      <w:pPr>
        <w:pStyle w:val="Heading1"/>
      </w:pPr>
      <w:r>
        <w:t>MODULE F - Washington Consumer Health Data</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when the Washington My Health My Data Act applies or when the study adopts its protections by policy. Do not rely on a research exemption without a documented, study-specific legal determination.</w:t>
      </w:r>
    </w:p>
    <w:p>
      <w:pPr>
        <w:spacing w:after="60"/>
      </w:pPr>
      <w:r>
        <w:rPr>
          <w:rFonts w:ascii="Calibri" w:hAnsi="Calibri"/>
          <w:b/>
          <w:color w:val="0B2545"/>
          <w:sz w:val="22"/>
        </w:rPr>
        <w:t xml:space="preserve">Consumer health data categories: </w:t>
      </w:r>
      <w:sdt>
        <w:sdtPr>
          <w:tag w:val="WA_HEALTH_DATA_CATEGORIES"/>
          <w:alias w:val="WA_HEALTH_DATA_CATEGORIES"/>
          <w:text/>
        </w:sdtPr>
        <w:sdtContent>
          <w:r>
            <w:rPr>
              <w:rFonts w:ascii="Calibri" w:hAnsi="Calibri"/>
              <w:color w:val="000000"/>
              <w:sz w:val="22"/>
            </w:rPr>
            <w:t>{{WA_HEALTH_DATA_CATEGORIES}}</w:t>
          </w:r>
        </w:sdtContent>
      </w:sdt>
    </w:p>
    <w:p>
      <w:pPr>
        <w:spacing w:after="60"/>
      </w:pPr>
      <w:r>
        <w:rPr>
          <w:rFonts w:ascii="Calibri" w:hAnsi="Calibri"/>
          <w:b/>
          <w:color w:val="0B2545"/>
          <w:sz w:val="22"/>
        </w:rPr>
        <w:t xml:space="preserve">Collection purposes and specific uses: </w:t>
      </w:r>
      <w:sdt>
        <w:sdtPr>
          <w:tag w:val="WA_COLLECTION_PURPOSES"/>
          <w:alias w:val="WA_COLLECTION_PURPOSES"/>
          <w:text/>
        </w:sdtPr>
        <w:sdtContent>
          <w:r>
            <w:rPr>
              <w:rFonts w:ascii="Calibri" w:hAnsi="Calibri"/>
              <w:color w:val="000000"/>
              <w:sz w:val="22"/>
            </w:rPr>
            <w:t>{{WA_COLLECTION_PURPOSES}}</w:t>
          </w:r>
        </w:sdtContent>
      </w:sdt>
    </w:p>
    <w:p>
      <w:pPr>
        <w:spacing w:after="60"/>
      </w:pPr>
      <w:r>
        <w:rPr>
          <w:rFonts w:ascii="Calibri" w:hAnsi="Calibri"/>
          <w:b/>
          <w:color w:val="0B2545"/>
          <w:sz w:val="22"/>
        </w:rPr>
        <w:t xml:space="preserve">Sharing categories and recipients: </w:t>
      </w:r>
      <w:sdt>
        <w:sdtPr>
          <w:tag w:val="WA_SHARING_RECIPIENTS"/>
          <w:alias w:val="WA_SHARING_RECIPIENTS"/>
          <w:text/>
        </w:sdtPr>
        <w:sdtContent>
          <w:r>
            <w:rPr>
              <w:rFonts w:ascii="Calibri" w:hAnsi="Calibri"/>
              <w:color w:val="000000"/>
              <w:sz w:val="22"/>
            </w:rPr>
            <w:t>{{WA_SHARING_RECIPIENTS}}</w:t>
          </w:r>
        </w:sdtContent>
      </w:sdt>
    </w:p>
    <w:p>
      <w:pPr>
        <w:spacing w:after="60"/>
      </w:pPr>
      <w:r>
        <w:rPr>
          <w:rFonts w:ascii="Calibri" w:hAnsi="Calibri"/>
          <w:b/>
          <w:color w:val="0B2545"/>
          <w:sz w:val="22"/>
        </w:rPr>
        <w:t xml:space="preserve">How to withdraw and exercise rights: </w:t>
      </w:r>
      <w:sdt>
        <w:sdtPr>
          <w:tag w:val="WA_RIGHTS_METHOD"/>
          <w:alias w:val="WA_RIGHTS_METHOD"/>
          <w:text/>
        </w:sdtPr>
        <w:sdtContent>
          <w:r>
            <w:rPr>
              <w:rFonts w:ascii="Calibri" w:hAnsi="Calibri"/>
              <w:color w:val="000000"/>
              <w:sz w:val="22"/>
            </w:rPr>
            <w:t>{{WA_RIGHTS_METHOD}}</w:t>
          </w:r>
        </w:sdtContent>
      </w:sdt>
    </w:p>
    <w:tbl>
      <w:tblPr>
        <w:tblStyle w:val="TableGrid"/>
        <w:tblW w:type="dxa" w:w="9360"/>
        <w:jc w:val="left"/>
        <w:tblLayout w:type="fixed"/>
        <w:tblLook w:firstColumn="1" w:firstRow="1" w:lastColumn="0" w:lastRow="0" w:noHBand="0" w:noVBand="1" w:val="04A0"/>
        <w:tblInd w:type="dxa" w:w="120"/>
      </w:tblPr>
      <w:tblGrid>
        <w:gridCol w:w="6552"/>
        <w:gridCol w:w="1404"/>
        <w:gridCol w:w="1404"/>
      </w:tblGrid>
      <w:tr>
        <w:trPr>
          <w:tblHeader w:val="true"/>
          <w:cantSplit/>
        </w:trPr>
        <w:tc>
          <w:tcPr>
            <w:tcW w:type="dxa" w:w="655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Permission or decision</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Yes</w:t>
            </w:r>
          </w:p>
        </w:tc>
        <w:tc>
          <w:tcPr>
            <w:tcW w:type="dxa" w:w="140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No</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I consent to collection of the listed consumer health data for the specified purposes.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r>
        <w:trPr>
          <w:cantSplit/>
        </w:trPr>
        <w:tc>
          <w:tcPr>
            <w:tcW w:type="dxa" w:w="6552"/>
            <w:vAlign w:val="center"/>
            <w:tcMar>
              <w:top w:w="80" w:type="dxa"/>
              <w:bottom w:w="80" w:type="dxa"/>
              <w:start w:w="120" w:type="dxa"/>
              <w:end w:w="120" w:type="dxa"/>
            </w:tcMar>
          </w:tcPr>
          <w:p>
            <w:pPr>
              <w:spacing w:before="0" w:after="40" w:line="252" w:lineRule="auto"/>
            </w:pPr>
            <w:r/>
            <w:r>
              <w:rPr>
                <w:rFonts w:ascii="Calibri" w:hAnsi="Calibri"/>
                <w:b w:val="0"/>
                <w:color w:val="000000"/>
                <w:sz w:val="18"/>
              </w:rPr>
              <w:t>Separate from collection, I consent to sharing the listed consumer health data with the named categories of recipients for the specified purposes.</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c>
          <w:tcPr>
            <w:tcW w:type="dxa" w:w="1404"/>
            <w:vAlign w:val="center"/>
            <w:tcMar>
              <w:top w:w="80" w:type="dxa"/>
              <w:bottom w:w="80" w:type="dxa"/>
              <w:start w:w="120" w:type="dxa"/>
              <w:end w:w="120" w:type="dxa"/>
            </w:tcMar>
          </w:tcPr>
          <w:p>
            <w:pPr>
              <w:spacing w:before="0" w:after="40" w:line="252" w:lineRule="auto"/>
            </w:pPr>
            <w:r/>
            <w:r>
              <w:rPr>
                <w:rFonts w:ascii="Calibri" w:hAnsi="Calibri"/>
                <w:b w:val="0"/>
                <w:color w:val="000000"/>
                <w:sz w:val="18"/>
              </w:rPr>
              <w:t>[ ]</w:t>
            </w:r>
          </w:p>
        </w:tc>
      </w:tr>
    </w:tbl>
    <w:p>
      <w:pPr>
        <w:spacing w:after="40"/>
      </w:pPr>
    </w:p>
    <w:p>
      <w:r>
        <w:t>No consumer health data will be sold. Any future proposal to sell such data would require a separate authorization that is distinct from collection and sharing consent and is not included in this form. Applicable requests for deletion will be sent to processors and other recipients; deletion from archived or backup systems will occur within the legally permitted period.</w:t>
      </w:r>
    </w:p>
    <w:p>
      <w:pPr>
        <w:pStyle w:val="Heading2"/>
      </w:pPr>
      <w:r>
        <w:t>Washington collection/sharing consent</w:t>
      </w:r>
    </w:p>
    <w:p>
      <w:pPr>
        <w:spacing w:after="60"/>
      </w:pPr>
      <w:r>
        <w:rPr>
          <w:rFonts w:ascii="Calibri" w:hAnsi="Calibri"/>
          <w:b/>
          <w:color w:val="0B2545"/>
          <w:sz w:val="22"/>
        </w:rPr>
        <w:t xml:space="preserve">Printed name: </w:t>
      </w:r>
      <w:sdt>
        <w:sdtPr>
          <w:tag w:val="WA_HEALTH_SIGNER_PRINTED_NAME"/>
          <w:alias w:val="WA_HEALTH_SIGNER_PRINTED_NAME"/>
          <w:text/>
        </w:sdtPr>
        <w:sdtContent>
          <w:r>
            <w:rPr>
              <w:rFonts w:ascii="Calibri" w:hAnsi="Calibri"/>
              <w:color w:val="000000"/>
              <w:sz w:val="22"/>
            </w:rPr>
            <w:t>{{WA_HEALTH_SIGNER_PRINTED_NAME}}</w:t>
          </w:r>
        </w:sdtContent>
      </w:sdt>
    </w:p>
    <w:p>
      <w:pPr>
        <w:spacing w:after="60"/>
      </w:pPr>
      <w:r>
        <w:rPr>
          <w:rFonts w:ascii="Calibri" w:hAnsi="Calibri"/>
          <w:b/>
          <w:color w:val="0B2545"/>
          <w:sz w:val="22"/>
        </w:rPr>
        <w:t xml:space="preserve">Electronic or handwritten signature: </w:t>
      </w:r>
      <w:sdt>
        <w:sdtPr>
          <w:tag w:val="WA_HEALTH_SIGNER_SIGNATURE"/>
          <w:alias w:val="WA_HEALTH_SIGNER_SIGNATURE"/>
          <w:text/>
        </w:sdtPr>
        <w:sdtContent>
          <w:r>
            <w:rPr>
              <w:rFonts w:ascii="Calibri" w:hAnsi="Calibri"/>
              <w:color w:val="000000"/>
              <w:sz w:val="22"/>
            </w:rPr>
            <w:t>{{WA_HEALTH_SIGNER_SIGNATURE}}</w:t>
          </w:r>
        </w:sdtContent>
      </w:sdt>
    </w:p>
    <w:p>
      <w:pPr>
        <w:spacing w:after="60"/>
      </w:pPr>
      <w:r>
        <w:rPr>
          <w:rFonts w:ascii="Calibri" w:hAnsi="Calibri"/>
          <w:b/>
          <w:color w:val="0B2545"/>
          <w:sz w:val="22"/>
        </w:rPr>
        <w:t xml:space="preserve">Date and time (with time zone): </w:t>
      </w:r>
      <w:sdt>
        <w:sdtPr>
          <w:tag w:val="WA_HEALTH_SIGNER_SIGNED_AT"/>
          <w:alias w:val="WA_HEALTH_SIGNER_SIGNED_AT"/>
          <w:text/>
        </w:sdtPr>
        <w:sdtContent>
          <w:r>
            <w:rPr>
              <w:rFonts w:ascii="Calibri" w:hAnsi="Calibri"/>
              <w:color w:val="000000"/>
              <w:sz w:val="22"/>
            </w:rPr>
            <w:t>{{WA_HEALTH_SIGNER_SIGNED_AT}}</w:t>
          </w:r>
        </w:sdtContent>
      </w:sdt>
    </w:p>
    <w:p>
      <w:pPr>
        <w:pStyle w:val="Heading1"/>
      </w:pPr>
      <w:r>
        <w:t>MODULE G - U.S. State Sensitive-Data / Notice-at-Collection Addendum</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a counsel-approved state variant selected from the current rules registry. State coverage, thresholds, entity/data/research exemptions, definitions, notices, opt-in or opt-out rules, rights, revocation deadlines, and retention requirements vary. This generic block is a configuration shell, not a substitute for state-specific review.</w:t>
      </w:r>
    </w:p>
    <w:p>
      <w:pPr>
        <w:spacing w:after="60"/>
      </w:pPr>
      <w:r>
        <w:rPr>
          <w:rFonts w:ascii="Calibri" w:hAnsi="Calibri"/>
          <w:b/>
          <w:color w:val="0B2545"/>
          <w:sz w:val="22"/>
        </w:rPr>
        <w:t xml:space="preserve">Applicable state law/addendum: </w:t>
      </w:r>
      <w:sdt>
        <w:sdtPr>
          <w:tag w:val="STATE_PRIVACY_ADDENDUM_NAME_VERSION"/>
          <w:alias w:val="STATE_PRIVACY_ADDENDUM_NAME_VERSION"/>
          <w:text/>
        </w:sdtPr>
        <w:sdtContent>
          <w:r>
            <w:rPr>
              <w:rFonts w:ascii="Calibri" w:hAnsi="Calibri"/>
              <w:color w:val="000000"/>
              <w:sz w:val="22"/>
            </w:rPr>
            <w:t>{{STATE_PRIVACY_ADDENDUM_NAME_VERSION}}</w:t>
          </w:r>
        </w:sdtContent>
      </w:sdt>
    </w:p>
    <w:p>
      <w:pPr>
        <w:spacing w:after="60"/>
      </w:pPr>
      <w:r>
        <w:rPr>
          <w:rFonts w:ascii="Calibri" w:hAnsi="Calibri"/>
          <w:b/>
          <w:color w:val="0B2545"/>
          <w:sz w:val="22"/>
        </w:rPr>
        <w:t xml:space="preserve">Categories collected and source: </w:t>
      </w:r>
      <w:sdt>
        <w:sdtPr>
          <w:tag w:val="STATE_CATEGORIES_AND_SOURCES"/>
          <w:alias w:val="STATE_CATEGORIES_AND_SOURCES"/>
          <w:text/>
        </w:sdtPr>
        <w:sdtContent>
          <w:r>
            <w:rPr>
              <w:rFonts w:ascii="Calibri" w:hAnsi="Calibri"/>
              <w:color w:val="000000"/>
              <w:sz w:val="22"/>
            </w:rPr>
            <w:t>{{STATE_CATEGORIES_AND_SOURCES}}</w:t>
          </w:r>
        </w:sdtContent>
      </w:sdt>
    </w:p>
    <w:p>
      <w:pPr>
        <w:spacing w:after="60"/>
      </w:pPr>
      <w:r>
        <w:rPr>
          <w:rFonts w:ascii="Calibri" w:hAnsi="Calibri"/>
          <w:b/>
          <w:color w:val="0B2545"/>
          <w:sz w:val="22"/>
        </w:rPr>
        <w:t xml:space="preserve">Purposes and retention criteria: </w:t>
      </w:r>
      <w:sdt>
        <w:sdtPr>
          <w:tag w:val="STATE_PURPOSES_RETENTION"/>
          <w:alias w:val="STATE_PURPOSES_RETENTION"/>
          <w:text/>
        </w:sdtPr>
        <w:sdtContent>
          <w:r>
            <w:rPr>
              <w:rFonts w:ascii="Calibri" w:hAnsi="Calibri"/>
              <w:color w:val="000000"/>
              <w:sz w:val="22"/>
            </w:rPr>
            <w:t>{{STATE_PURPOSES_RETENTION}}</w:t>
          </w:r>
        </w:sdtContent>
      </w:sdt>
    </w:p>
    <w:p>
      <w:pPr>
        <w:spacing w:after="60"/>
      </w:pPr>
      <w:r>
        <w:rPr>
          <w:rFonts w:ascii="Calibri" w:hAnsi="Calibri"/>
          <w:b/>
          <w:color w:val="0B2545"/>
          <w:sz w:val="22"/>
        </w:rPr>
        <w:t xml:space="preserve">Sensitive data and consent requirement: </w:t>
      </w:r>
      <w:sdt>
        <w:sdtPr>
          <w:tag w:val="STATE_SENSITIVE_DATA_RULE"/>
          <w:alias w:val="STATE_SENSITIVE_DATA_RULE"/>
          <w:text/>
        </w:sdtPr>
        <w:sdtContent>
          <w:r>
            <w:rPr>
              <w:rFonts w:ascii="Calibri" w:hAnsi="Calibri"/>
              <w:color w:val="000000"/>
              <w:sz w:val="22"/>
            </w:rPr>
            <w:t>{{STATE_SENSITIVE_DATA_RULE}}</w:t>
          </w:r>
        </w:sdtContent>
      </w:sdt>
    </w:p>
    <w:p>
      <w:pPr>
        <w:spacing w:after="60"/>
      </w:pPr>
      <w:r>
        <w:rPr>
          <w:rFonts w:ascii="Calibri" w:hAnsi="Calibri"/>
          <w:b/>
          <w:color w:val="0B2545"/>
          <w:sz w:val="22"/>
        </w:rPr>
        <w:t xml:space="preserve">Sale/sharing/targeted advertising status: </w:t>
      </w:r>
      <w:sdt>
        <w:sdtPr>
          <w:tag w:val="STATE_SALE_SHARING_STATUS"/>
          <w:alias w:val="STATE_SALE_SHARING_STATUS"/>
          <w:text/>
        </w:sdtPr>
        <w:sdtContent>
          <w:r>
            <w:rPr>
              <w:rFonts w:ascii="Calibri" w:hAnsi="Calibri"/>
              <w:color w:val="000000"/>
              <w:sz w:val="22"/>
            </w:rPr>
            <w:t>{{STATE_SALE_SHARING_STATUS}}</w:t>
          </w:r>
        </w:sdtContent>
      </w:sdt>
    </w:p>
    <w:p>
      <w:pPr>
        <w:spacing w:after="60"/>
      </w:pPr>
      <w:r>
        <w:rPr>
          <w:rFonts w:ascii="Calibri" w:hAnsi="Calibri"/>
          <w:b/>
          <w:color w:val="0B2545"/>
          <w:sz w:val="22"/>
        </w:rPr>
        <w:t xml:space="preserve">Consumer rights, authentication, appeal: </w:t>
      </w:r>
      <w:sdt>
        <w:sdtPr>
          <w:tag w:val="STATE_RIGHTS_APPEAL"/>
          <w:alias w:val="STATE_RIGHTS_APPEAL"/>
          <w:text/>
        </w:sdtPr>
        <w:sdtContent>
          <w:r>
            <w:rPr>
              <w:rFonts w:ascii="Calibri" w:hAnsi="Calibri"/>
              <w:color w:val="000000"/>
              <w:sz w:val="22"/>
            </w:rPr>
            <w:t>{{STATE_RIGHTS_APPEAL}}</w:t>
          </w:r>
        </w:sdtContent>
      </w:sdt>
    </w:p>
    <w:p>
      <w:pPr>
        <w:spacing w:after="60"/>
      </w:pPr>
      <w:r>
        <w:rPr>
          <w:rFonts w:ascii="Calibri" w:hAnsi="Calibri"/>
          <w:b/>
          <w:color w:val="0B2545"/>
          <w:sz w:val="22"/>
        </w:rPr>
        <w:t xml:space="preserve">Research/entity/data exemptions relied upon: </w:t>
      </w:r>
      <w:sdt>
        <w:sdtPr>
          <w:tag w:val="STATE_EXEMPTION_ANALYSIS"/>
          <w:alias w:val="STATE_EXEMPTION_ANALYSIS"/>
          <w:text/>
        </w:sdtPr>
        <w:sdtContent>
          <w:r>
            <w:rPr>
              <w:rFonts w:ascii="Calibri" w:hAnsi="Calibri"/>
              <w:color w:val="000000"/>
              <w:sz w:val="22"/>
            </w:rPr>
            <w:t>{{STATE_EXEMPTION_ANALYSIS}}</w:t>
          </w:r>
        </w:sdtContent>
      </w:sdt>
    </w:p>
    <w:p>
      <w:pPr>
        <w:spacing w:after="60"/>
      </w:pPr>
      <w:r>
        <w:rPr>
          <w:rFonts w:ascii="Calibri" w:hAnsi="Calibri"/>
          <w:b/>
          <w:color w:val="0B2545"/>
          <w:sz w:val="22"/>
        </w:rPr>
        <w:t xml:space="preserve">Data protection assessment reference: </w:t>
      </w:r>
      <w:sdt>
        <w:sdtPr>
          <w:tag w:val="STATE_DPA_REFERENCE"/>
          <w:alias w:val="STATE_DPA_REFERENCE"/>
          <w:text/>
        </w:sdtPr>
        <w:sdtContent>
          <w:r>
            <w:rPr>
              <w:rFonts w:ascii="Calibri" w:hAnsi="Calibri"/>
              <w:color w:val="000000"/>
              <w:sz w:val="22"/>
            </w:rPr>
            <w:t>{{STATE_DPA_REFERENCE}}</w:t>
          </w:r>
        </w:sdtContent>
      </w:sdt>
    </w:p>
    <w:p>
      <w:pPr>
        <w:spacing w:after="60"/>
      </w:pPr>
      <w:r>
        <w:rPr>
          <w:rFonts w:ascii="Calibri" w:hAnsi="Calibri"/>
          <w:b/>
          <w:color w:val="0B2545"/>
          <w:sz w:val="22"/>
        </w:rPr>
        <w:t xml:space="preserve">Revocation effective deadline and deletion workflow: </w:t>
      </w:r>
      <w:sdt>
        <w:sdtPr>
          <w:tag w:val="STATE_REVOCATION_DELETION_RULE"/>
          <w:alias w:val="STATE_REVOCATION_DELETION_RULE"/>
          <w:text/>
        </w:sdtPr>
        <w:sdtContent>
          <w:r>
            <w:rPr>
              <w:rFonts w:ascii="Calibri" w:hAnsi="Calibri"/>
              <w:color w:val="000000"/>
              <w:sz w:val="22"/>
            </w:rPr>
            <w:t>{{STATE_REVOCATION_DELETION_RULE}}</w:t>
          </w:r>
        </w:sdtContent>
      </w:sdt>
    </w:p>
    <w:p>
      <w:pPr>
        <w:pStyle w:val="Heading2"/>
      </w:pPr>
      <w:r>
        <w:t>State sensitive-data opt-in (display only when required)</w:t>
      </w:r>
    </w:p>
    <w:p>
      <w:pPr>
        <w:spacing w:after="60"/>
      </w:pPr>
      <w:r>
        <w:rPr>
          <w:rFonts w:ascii="Calibri" w:hAnsi="Calibri"/>
          <w:b/>
          <w:color w:val="0B2545"/>
          <w:sz w:val="22"/>
        </w:rPr>
        <w:t xml:space="preserve">Printed name: </w:t>
      </w:r>
      <w:sdt>
        <w:sdtPr>
          <w:tag w:val="STATE_SENSITIVE_SIGNER_PRINTED_NAME"/>
          <w:alias w:val="STATE_SENSITIVE_SIGNER_PRINTED_NAME"/>
          <w:text/>
        </w:sdtPr>
        <w:sdtContent>
          <w:r>
            <w:rPr>
              <w:rFonts w:ascii="Calibri" w:hAnsi="Calibri"/>
              <w:color w:val="000000"/>
              <w:sz w:val="22"/>
            </w:rPr>
            <w:t>{{STATE_SENSITIVE_SIGNER_PRINTED_NAME}}</w:t>
          </w:r>
        </w:sdtContent>
      </w:sdt>
    </w:p>
    <w:p>
      <w:pPr>
        <w:spacing w:after="60"/>
      </w:pPr>
      <w:r>
        <w:rPr>
          <w:rFonts w:ascii="Calibri" w:hAnsi="Calibri"/>
          <w:b/>
          <w:color w:val="0B2545"/>
          <w:sz w:val="22"/>
        </w:rPr>
        <w:t xml:space="preserve">Electronic or handwritten signature: </w:t>
      </w:r>
      <w:sdt>
        <w:sdtPr>
          <w:tag w:val="STATE_SENSITIVE_SIGNER_SIGNATURE"/>
          <w:alias w:val="STATE_SENSITIVE_SIGNER_SIGNATURE"/>
          <w:text/>
        </w:sdtPr>
        <w:sdtContent>
          <w:r>
            <w:rPr>
              <w:rFonts w:ascii="Calibri" w:hAnsi="Calibri"/>
              <w:color w:val="000000"/>
              <w:sz w:val="22"/>
            </w:rPr>
            <w:t>{{STATE_SENSITIVE_SIGNER_SIGNATURE}}</w:t>
          </w:r>
        </w:sdtContent>
      </w:sdt>
    </w:p>
    <w:p>
      <w:pPr>
        <w:spacing w:after="60"/>
      </w:pPr>
      <w:r>
        <w:rPr>
          <w:rFonts w:ascii="Calibri" w:hAnsi="Calibri"/>
          <w:b/>
          <w:color w:val="0B2545"/>
          <w:sz w:val="22"/>
        </w:rPr>
        <w:t xml:space="preserve">Date and time (with time zone): </w:t>
      </w:r>
      <w:sdt>
        <w:sdtPr>
          <w:tag w:val="STATE_SENSITIVE_SIGNER_SIGNED_AT"/>
          <w:alias w:val="STATE_SENSITIVE_SIGNER_SIGNED_AT"/>
          <w:text/>
        </w:sdtPr>
        <w:sdtContent>
          <w:r>
            <w:rPr>
              <w:rFonts w:ascii="Calibri" w:hAnsi="Calibri"/>
              <w:color w:val="000000"/>
              <w:sz w:val="22"/>
            </w:rPr>
            <w:t>{{STATE_SENSITIVE_SIGNER_SIGNED_AT}}</w:t>
          </w:r>
        </w:sdtContent>
      </w:sdt>
    </w:p>
    <w:p>
      <w:pPr>
        <w:pStyle w:val="Heading1"/>
      </w:pPr>
      <w:r>
        <w:t>MODULE H - EU/EEA Data Protection Information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for participants in the EU/EEA or when GDPR otherwise applies. Research participation consent and the GDPR legal basis for data processing are related but distinct. The controller must identify both an Article 6 basis and, for health/special-category data, an Article 9 condition. Do not label an acknowledgement as consent.</w:t>
      </w:r>
    </w:p>
    <w:p>
      <w:pPr>
        <w:spacing w:after="60"/>
      </w:pPr>
      <w:r>
        <w:rPr>
          <w:rFonts w:ascii="Calibri" w:hAnsi="Calibri"/>
          <w:b/>
          <w:color w:val="0B2545"/>
          <w:sz w:val="22"/>
        </w:rPr>
        <w:t xml:space="preserve">Controller(s) and role: </w:t>
      </w:r>
      <w:sdt>
        <w:sdtPr>
          <w:tag w:val="EU_CONTROLLER_JOINT_CONTROLLERS"/>
          <w:alias w:val="EU_CONTROLLER_JOINT_CONTROLLERS"/>
          <w:text/>
        </w:sdtPr>
        <w:sdtContent>
          <w:r>
            <w:rPr>
              <w:rFonts w:ascii="Calibri" w:hAnsi="Calibri"/>
              <w:color w:val="000000"/>
              <w:sz w:val="22"/>
            </w:rPr>
            <w:t>{{EU_CONTROLLER_JOINT_CONTROLLERS}}</w:t>
          </w:r>
        </w:sdtContent>
      </w:sdt>
    </w:p>
    <w:p>
      <w:pPr>
        <w:spacing w:after="60"/>
      </w:pPr>
      <w:r>
        <w:rPr>
          <w:rFonts w:ascii="Calibri" w:hAnsi="Calibri"/>
          <w:b/>
          <w:color w:val="0B2545"/>
          <w:sz w:val="22"/>
        </w:rPr>
        <w:t xml:space="preserve">EU representative, if required: </w:t>
      </w:r>
      <w:sdt>
        <w:sdtPr>
          <w:tag w:val="EU_REPRESENTATIVE"/>
          <w:alias w:val="EU_REPRESENTATIVE"/>
          <w:text/>
        </w:sdtPr>
        <w:sdtContent>
          <w:r>
            <w:rPr>
              <w:rFonts w:ascii="Calibri" w:hAnsi="Calibri"/>
              <w:color w:val="000000"/>
              <w:sz w:val="22"/>
            </w:rPr>
            <w:t>{{EU_REPRESENTATIVE}}</w:t>
          </w:r>
        </w:sdtContent>
      </w:sdt>
    </w:p>
    <w:p>
      <w:pPr>
        <w:spacing w:after="60"/>
      </w:pPr>
      <w:r>
        <w:rPr>
          <w:rFonts w:ascii="Calibri" w:hAnsi="Calibri"/>
          <w:b/>
          <w:color w:val="0B2545"/>
          <w:sz w:val="22"/>
        </w:rPr>
        <w:t xml:space="preserve">Data Protection Officer/contact: </w:t>
      </w:r>
      <w:sdt>
        <w:sdtPr>
          <w:tag w:val="EU_DPO_CONTACT"/>
          <w:alias w:val="EU_DPO_CONTACT"/>
          <w:text/>
        </w:sdtPr>
        <w:sdtContent>
          <w:r>
            <w:rPr>
              <w:rFonts w:ascii="Calibri" w:hAnsi="Calibri"/>
              <w:color w:val="000000"/>
              <w:sz w:val="22"/>
            </w:rPr>
            <w:t>{{EU_DPO_CONTACT}}</w:t>
          </w:r>
        </w:sdtContent>
      </w:sdt>
    </w:p>
    <w:p>
      <w:pPr>
        <w:spacing w:after="60"/>
      </w:pPr>
      <w:r>
        <w:rPr>
          <w:rFonts w:ascii="Calibri" w:hAnsi="Calibri"/>
          <w:b/>
          <w:color w:val="0B2545"/>
          <w:sz w:val="22"/>
        </w:rPr>
        <w:t xml:space="preserve">Purposes: </w:t>
      </w:r>
      <w:sdt>
        <w:sdtPr>
          <w:tag w:val="EU_PROCESSING_PURPOSES"/>
          <w:alias w:val="EU_PROCESSING_PURPOSES"/>
          <w:text/>
        </w:sdtPr>
        <w:sdtContent>
          <w:r>
            <w:rPr>
              <w:rFonts w:ascii="Calibri" w:hAnsi="Calibri"/>
              <w:color w:val="000000"/>
              <w:sz w:val="22"/>
            </w:rPr>
            <w:t>{{EU_PROCESSING_PURPOSES}}</w:t>
          </w:r>
        </w:sdtContent>
      </w:sdt>
    </w:p>
    <w:p>
      <w:pPr>
        <w:spacing w:after="60"/>
      </w:pPr>
      <w:r>
        <w:rPr>
          <w:rFonts w:ascii="Calibri" w:hAnsi="Calibri"/>
          <w:b/>
          <w:color w:val="0B2545"/>
          <w:sz w:val="22"/>
        </w:rPr>
        <w:t xml:space="preserve">Article 6 lawful basis: </w:t>
      </w:r>
      <w:sdt>
        <w:sdtPr>
          <w:tag w:val="EU_ARTICLE_6_BASIS"/>
          <w:alias w:val="EU_ARTICLE_6_BASIS"/>
          <w:text/>
        </w:sdtPr>
        <w:sdtContent>
          <w:r>
            <w:rPr>
              <w:rFonts w:ascii="Calibri" w:hAnsi="Calibri"/>
              <w:color w:val="000000"/>
              <w:sz w:val="22"/>
            </w:rPr>
            <w:t>{{EU_ARTICLE_6_BASIS}}</w:t>
          </w:r>
        </w:sdtContent>
      </w:sdt>
    </w:p>
    <w:p>
      <w:pPr>
        <w:spacing w:after="60"/>
      </w:pPr>
      <w:r>
        <w:rPr>
          <w:rFonts w:ascii="Calibri" w:hAnsi="Calibri"/>
          <w:b/>
          <w:color w:val="0B2545"/>
          <w:sz w:val="22"/>
        </w:rPr>
        <w:t xml:space="preserve">Article 9 special-category condition and Member State law: </w:t>
      </w:r>
      <w:sdt>
        <w:sdtPr>
          <w:tag w:val="EU_ARTICLE_9_CONDITION"/>
          <w:alias w:val="EU_ARTICLE_9_CONDITION"/>
          <w:text/>
        </w:sdtPr>
        <w:sdtContent>
          <w:r>
            <w:rPr>
              <w:rFonts w:ascii="Calibri" w:hAnsi="Calibri"/>
              <w:color w:val="000000"/>
              <w:sz w:val="22"/>
            </w:rPr>
            <w:t>{{EU_ARTICLE_9_CONDITION}}</w:t>
          </w:r>
        </w:sdtContent>
      </w:sdt>
    </w:p>
    <w:p>
      <w:pPr>
        <w:spacing w:after="60"/>
      </w:pPr>
      <w:r>
        <w:rPr>
          <w:rFonts w:ascii="Calibri" w:hAnsi="Calibri"/>
          <w:b/>
          <w:color w:val="0B2545"/>
          <w:sz w:val="22"/>
        </w:rPr>
        <w:t xml:space="preserve">Recipients/categories: </w:t>
      </w:r>
      <w:sdt>
        <w:sdtPr>
          <w:tag w:val="EU_RECIPIENTS"/>
          <w:alias w:val="EU_RECIPIENTS"/>
          <w:text/>
        </w:sdtPr>
        <w:sdtContent>
          <w:r>
            <w:rPr>
              <w:rFonts w:ascii="Calibri" w:hAnsi="Calibri"/>
              <w:color w:val="000000"/>
              <w:sz w:val="22"/>
            </w:rPr>
            <w:t>{{EU_RECIPIENTS}}</w:t>
          </w:r>
        </w:sdtContent>
      </w:sdt>
    </w:p>
    <w:p>
      <w:pPr>
        <w:spacing w:after="60"/>
      </w:pPr>
      <w:r>
        <w:rPr>
          <w:rFonts w:ascii="Calibri" w:hAnsi="Calibri"/>
          <w:b/>
          <w:color w:val="0B2545"/>
          <w:sz w:val="22"/>
        </w:rPr>
        <w:t xml:space="preserve">Retention criteria: </w:t>
      </w:r>
      <w:sdt>
        <w:sdtPr>
          <w:tag w:val="EU_RETENTION"/>
          <w:alias w:val="EU_RETENTION"/>
          <w:text/>
        </w:sdtPr>
        <w:sdtContent>
          <w:r>
            <w:rPr>
              <w:rFonts w:ascii="Calibri" w:hAnsi="Calibri"/>
              <w:color w:val="000000"/>
              <w:sz w:val="22"/>
            </w:rPr>
            <w:t>{{EU_RETENTION}}</w:t>
          </w:r>
        </w:sdtContent>
      </w:sdt>
    </w:p>
    <w:p>
      <w:pPr>
        <w:spacing w:after="60"/>
      </w:pPr>
      <w:r>
        <w:rPr>
          <w:rFonts w:ascii="Calibri" w:hAnsi="Calibri"/>
          <w:b/>
          <w:color w:val="0B2545"/>
          <w:sz w:val="22"/>
        </w:rPr>
        <w:t xml:space="preserve">International transfers, destination, mechanism, safeguards: </w:t>
      </w:r>
      <w:sdt>
        <w:sdtPr>
          <w:tag w:val="EU_TRANSFERS_SAFEGUARDS"/>
          <w:alias w:val="EU_TRANSFERS_SAFEGUARDS"/>
          <w:text/>
        </w:sdtPr>
        <w:sdtContent>
          <w:r>
            <w:rPr>
              <w:rFonts w:ascii="Calibri" w:hAnsi="Calibri"/>
              <w:color w:val="000000"/>
              <w:sz w:val="22"/>
            </w:rPr>
            <w:t>{{EU_TRANSFERS_SAFEGUARDS}}</w:t>
          </w:r>
        </w:sdtContent>
      </w:sdt>
    </w:p>
    <w:p>
      <w:pPr>
        <w:spacing w:after="60"/>
      </w:pPr>
      <w:r>
        <w:rPr>
          <w:rFonts w:ascii="Calibri" w:hAnsi="Calibri"/>
          <w:b/>
          <w:color w:val="0B2545"/>
          <w:sz w:val="22"/>
        </w:rPr>
        <w:t xml:space="preserve">Data-subject rights and any research-law limitations: </w:t>
      </w:r>
      <w:sdt>
        <w:sdtPr>
          <w:tag w:val="EU_RIGHTS_LIMITS"/>
          <w:alias w:val="EU_RIGHTS_LIMITS"/>
          <w:text/>
        </w:sdtPr>
        <w:sdtContent>
          <w:r>
            <w:rPr>
              <w:rFonts w:ascii="Calibri" w:hAnsi="Calibri"/>
              <w:color w:val="000000"/>
              <w:sz w:val="22"/>
            </w:rPr>
            <w:t>{{EU_RIGHTS_LIMITS}}</w:t>
          </w:r>
        </w:sdtContent>
      </w:sdt>
    </w:p>
    <w:p>
      <w:pPr>
        <w:spacing w:after="60"/>
      </w:pPr>
      <w:r>
        <w:rPr>
          <w:rFonts w:ascii="Calibri" w:hAnsi="Calibri"/>
          <w:b/>
          <w:color w:val="0B2545"/>
          <w:sz w:val="22"/>
        </w:rPr>
        <w:t xml:space="preserve">Supervisory authority and complaint method: </w:t>
      </w:r>
      <w:sdt>
        <w:sdtPr>
          <w:tag w:val="EU_SUPERVISORY_AUTHORITY"/>
          <w:alias w:val="EU_SUPERVISORY_AUTHORITY"/>
          <w:text/>
        </w:sdtPr>
        <w:sdtContent>
          <w:r>
            <w:rPr>
              <w:rFonts w:ascii="Calibri" w:hAnsi="Calibri"/>
              <w:color w:val="000000"/>
              <w:sz w:val="22"/>
            </w:rPr>
            <w:t>{{EU_SUPERVISORY_AUTHORITY}}</w:t>
          </w:r>
        </w:sdtContent>
      </w:sdt>
    </w:p>
    <w:p>
      <w:pPr>
        <w:spacing w:after="60"/>
      </w:pPr>
      <w:r>
        <w:rPr>
          <w:rFonts w:ascii="Calibri" w:hAnsi="Calibri"/>
          <w:b/>
          <w:color w:val="0B2545"/>
          <w:sz w:val="22"/>
        </w:rPr>
        <w:t xml:space="preserve">Whether data are required and consequence of not providing: </w:t>
      </w:r>
      <w:sdt>
        <w:sdtPr>
          <w:tag w:val="EU_REQUIRED_DATA_CONSEQUENCE"/>
          <w:alias w:val="EU_REQUIRED_DATA_CONSEQUENCE"/>
          <w:text/>
        </w:sdtPr>
        <w:sdtContent>
          <w:r>
            <w:rPr>
              <w:rFonts w:ascii="Calibri" w:hAnsi="Calibri"/>
              <w:color w:val="000000"/>
              <w:sz w:val="22"/>
            </w:rPr>
            <w:t>{{EU_REQUIRED_DATA_CONSEQUENCE}}</w:t>
          </w:r>
        </w:sdtContent>
      </w:sdt>
    </w:p>
    <w:p>
      <w:pPr>
        <w:spacing w:after="60"/>
      </w:pPr>
      <w:r>
        <w:rPr>
          <w:rFonts w:ascii="Calibri" w:hAnsi="Calibri"/>
          <w:b/>
          <w:color w:val="0B2545"/>
          <w:sz w:val="22"/>
        </w:rPr>
        <w:t xml:space="preserve">Automated decision-making/profiling: </w:t>
      </w:r>
      <w:sdt>
        <w:sdtPr>
          <w:tag w:val="EU_AUTOMATED_DECISION_INFO"/>
          <w:alias w:val="EU_AUTOMATED_DECISION_INFO"/>
          <w:text/>
        </w:sdtPr>
        <w:sdtContent>
          <w:r>
            <w:rPr>
              <w:rFonts w:ascii="Calibri" w:hAnsi="Calibri"/>
              <w:color w:val="000000"/>
              <w:sz w:val="22"/>
            </w:rPr>
            <w:t>{{EU_AUTOMATED_DECISION_INFO}}</w:t>
          </w:r>
        </w:sdtContent>
      </w:sdt>
    </w:p>
    <w:p>
      <w:pPr>
        <w:spacing w:after="60"/>
      </w:pPr>
      <w:r>
        <w:rPr>
          <w:rFonts w:ascii="Calibri" w:hAnsi="Calibri"/>
          <w:b/>
          <w:color w:val="0B2545"/>
          <w:sz w:val="22"/>
        </w:rPr>
        <w:t xml:space="preserve">Source of data not collected directly: </w:t>
      </w:r>
      <w:sdt>
        <w:sdtPr>
          <w:tag w:val="EU_INDIRECT_DATA_SOURCE"/>
          <w:alias w:val="EU_INDIRECT_DATA_SOURCE"/>
          <w:text/>
        </w:sdtPr>
        <w:sdtContent>
          <w:r>
            <w:rPr>
              <w:rFonts w:ascii="Calibri" w:hAnsi="Calibri"/>
              <w:color w:val="000000"/>
              <w:sz w:val="22"/>
            </w:rPr>
            <w:t>{{EU_INDIRECT_DATA_SOURCE}}</w:t>
          </w:r>
        </w:sdtContent>
      </w:sdt>
    </w:p>
    <w:p>
      <w:r>
        <w:t>Where processing relies on explicit consent, choices must be specific, informed, freely given, granular, affirmative, and as easy to withdraw as to give. Where processing instead relies on public-interest or scientific-research law, the form must explain that basis and must not imply that withdrawal of research participation automatically erases all lawfully retained research data. Routine international transfers should use an approved Chapter V mechanism such as adequacy or appropriate safeguards; participant consent alone is not the default transfer mechanism.</w:t>
      </w:r>
    </w:p>
    <w:p>
      <w:pPr>
        <w:pStyle w:val="Heading2"/>
      </w:pPr>
      <w:r>
        <w:t>EU/EEA explicit data consent (only if selected legal basis)</w:t>
      </w:r>
    </w:p>
    <w:p>
      <w:pPr>
        <w:spacing w:after="60"/>
      </w:pPr>
      <w:r>
        <w:rPr>
          <w:rFonts w:ascii="Calibri" w:hAnsi="Calibri"/>
          <w:b/>
          <w:color w:val="0B2545"/>
          <w:sz w:val="22"/>
        </w:rPr>
        <w:t xml:space="preserve">Printed name: </w:t>
      </w:r>
      <w:sdt>
        <w:sdtPr>
          <w:tag w:val="EU_EXPLICIT_CONSENT_SIGNER_PRINTED_NAME"/>
          <w:alias w:val="EU_EXPLICIT_CONSENT_SIGNER_PRINTED_NAME"/>
          <w:text/>
        </w:sdtPr>
        <w:sdtContent>
          <w:r>
            <w:rPr>
              <w:rFonts w:ascii="Calibri" w:hAnsi="Calibri"/>
              <w:color w:val="000000"/>
              <w:sz w:val="22"/>
            </w:rPr>
            <w:t>{{EU_EXPLICIT_CONSENT_SIGNER_PRINTED_NAME}}</w:t>
          </w:r>
        </w:sdtContent>
      </w:sdt>
    </w:p>
    <w:p>
      <w:pPr>
        <w:spacing w:after="60"/>
      </w:pPr>
      <w:r>
        <w:rPr>
          <w:rFonts w:ascii="Calibri" w:hAnsi="Calibri"/>
          <w:b/>
          <w:color w:val="0B2545"/>
          <w:sz w:val="22"/>
        </w:rPr>
        <w:t xml:space="preserve">Electronic or handwritten signature: </w:t>
      </w:r>
      <w:sdt>
        <w:sdtPr>
          <w:tag w:val="EU_EXPLICIT_CONSENT_SIGNER_SIGNATURE"/>
          <w:alias w:val="EU_EXPLICIT_CONSENT_SIGNER_SIGNATURE"/>
          <w:text/>
        </w:sdtPr>
        <w:sdtContent>
          <w:r>
            <w:rPr>
              <w:rFonts w:ascii="Calibri" w:hAnsi="Calibri"/>
              <w:color w:val="000000"/>
              <w:sz w:val="22"/>
            </w:rPr>
            <w:t>{{EU_EXPLICIT_CONSENT_SIGNER_SIGNATURE}}</w:t>
          </w:r>
        </w:sdtContent>
      </w:sdt>
    </w:p>
    <w:p>
      <w:pPr>
        <w:spacing w:after="60"/>
      </w:pPr>
      <w:r>
        <w:rPr>
          <w:rFonts w:ascii="Calibri" w:hAnsi="Calibri"/>
          <w:b/>
          <w:color w:val="0B2545"/>
          <w:sz w:val="22"/>
        </w:rPr>
        <w:t xml:space="preserve">Date and time (with time zone): </w:t>
      </w:r>
      <w:sdt>
        <w:sdtPr>
          <w:tag w:val="EU_EXPLICIT_CONSENT_SIGNER_SIGNED_AT"/>
          <w:alias w:val="EU_EXPLICIT_CONSENT_SIGNER_SIGNED_AT"/>
          <w:text/>
        </w:sdtPr>
        <w:sdtContent>
          <w:r>
            <w:rPr>
              <w:rFonts w:ascii="Calibri" w:hAnsi="Calibri"/>
              <w:color w:val="000000"/>
              <w:sz w:val="22"/>
            </w:rPr>
            <w:t>{{EU_EXPLICIT_CONSENT_SIGNER_SIGNED_AT}}</w:t>
          </w:r>
        </w:sdtContent>
      </w:sdt>
    </w:p>
    <w:p>
      <w:pPr>
        <w:spacing w:after="60"/>
      </w:pPr>
      <w:r>
        <w:rPr>
          <w:rFonts w:ascii="Calibri" w:hAnsi="Calibri"/>
          <w:b/>
          <w:color w:val="0B2545"/>
          <w:sz w:val="22"/>
        </w:rPr>
        <w:t xml:space="preserve">If consent is not the legal basis, acknowledgement receipt: </w:t>
      </w:r>
      <w:sdt>
        <w:sdtPr>
          <w:tag w:val="EU_ACKNOWLEDGEMENT_RECEIPT"/>
          <w:alias w:val="EU_ACKNOWLEDGEMENT_RECEIPT"/>
          <w:text/>
        </w:sdtPr>
        <w:sdtContent>
          <w:r>
            <w:rPr>
              <w:rFonts w:ascii="Calibri" w:hAnsi="Calibri"/>
              <w:color w:val="000000"/>
              <w:sz w:val="22"/>
            </w:rPr>
            <w:t>{{EU_ACKNOWLEDGEMENT_RECEIPT}}</w:t>
          </w:r>
        </w:sdtContent>
      </w:sdt>
    </w:p>
    <w:p>
      <w:pPr>
        <w:pStyle w:val="Heading1"/>
      </w:pPr>
      <w:r>
        <w:t>MODULE I - United Kingdom Data Protection Information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a UK-approved version naming the controller, UK representative if required, DPO, Article 6 basis, Article 9 condition and Data Protection Act 2018 Schedule 1 condition/safeguards, transfers, rights, and ICO complaint route.</w:t>
      </w:r>
    </w:p>
    <w:p>
      <w:pPr>
        <w:spacing w:after="60"/>
      </w:pPr>
      <w:r>
        <w:rPr>
          <w:rFonts w:ascii="Calibri" w:hAnsi="Calibri"/>
          <w:b/>
          <w:color w:val="0B2545"/>
          <w:sz w:val="22"/>
        </w:rPr>
        <w:t xml:space="preserve">Controller/UK representative/DPO: </w:t>
      </w:r>
      <w:sdt>
        <w:sdtPr>
          <w:tag w:val="UK_CONTROLLER_REP_DPO"/>
          <w:alias w:val="UK_CONTROLLER_REP_DPO"/>
          <w:text/>
        </w:sdtPr>
        <w:sdtContent>
          <w:r>
            <w:rPr>
              <w:rFonts w:ascii="Calibri" w:hAnsi="Calibri"/>
              <w:color w:val="000000"/>
              <w:sz w:val="22"/>
            </w:rPr>
            <w:t>{{UK_CONTROLLER_REP_DPO}}</w:t>
          </w:r>
        </w:sdtContent>
      </w:sdt>
    </w:p>
    <w:p>
      <w:pPr>
        <w:spacing w:after="60"/>
      </w:pPr>
      <w:r>
        <w:rPr>
          <w:rFonts w:ascii="Calibri" w:hAnsi="Calibri"/>
          <w:b/>
          <w:color w:val="0B2545"/>
          <w:sz w:val="22"/>
        </w:rPr>
        <w:t xml:space="preserve">Purposes and lawful basis: </w:t>
      </w:r>
      <w:sdt>
        <w:sdtPr>
          <w:tag w:val="UK_ARTICLE_6_BASIS"/>
          <w:alias w:val="UK_ARTICLE_6_BASIS"/>
          <w:text/>
        </w:sdtPr>
        <w:sdtContent>
          <w:r>
            <w:rPr>
              <w:rFonts w:ascii="Calibri" w:hAnsi="Calibri"/>
              <w:color w:val="000000"/>
              <w:sz w:val="22"/>
            </w:rPr>
            <w:t>{{UK_ARTICLE_6_BASIS}}</w:t>
          </w:r>
        </w:sdtContent>
      </w:sdt>
    </w:p>
    <w:p>
      <w:pPr>
        <w:spacing w:after="60"/>
      </w:pPr>
      <w:r>
        <w:rPr>
          <w:rFonts w:ascii="Calibri" w:hAnsi="Calibri"/>
          <w:b/>
          <w:color w:val="0B2545"/>
          <w:sz w:val="22"/>
        </w:rPr>
        <w:t xml:space="preserve">Special-category condition and Schedule 1 basis: </w:t>
      </w:r>
      <w:sdt>
        <w:sdtPr>
          <w:tag w:val="UK_SPECIAL_CATEGORY_BASIS"/>
          <w:alias w:val="UK_SPECIAL_CATEGORY_BASIS"/>
          <w:text/>
        </w:sdtPr>
        <w:sdtContent>
          <w:r>
            <w:rPr>
              <w:rFonts w:ascii="Calibri" w:hAnsi="Calibri"/>
              <w:color w:val="000000"/>
              <w:sz w:val="22"/>
            </w:rPr>
            <w:t>{{UK_SPECIAL_CATEGORY_BASIS}}</w:t>
          </w:r>
        </w:sdtContent>
      </w:sdt>
    </w:p>
    <w:p>
      <w:pPr>
        <w:spacing w:after="60"/>
      </w:pPr>
      <w:r>
        <w:rPr>
          <w:rFonts w:ascii="Calibri" w:hAnsi="Calibri"/>
          <w:b/>
          <w:color w:val="0B2545"/>
          <w:sz w:val="22"/>
        </w:rPr>
        <w:t xml:space="preserve">Recipients, retention, and transfers: </w:t>
      </w:r>
      <w:sdt>
        <w:sdtPr>
          <w:tag w:val="UK_RECIPIENTS_RETENTION_TRANSFERS"/>
          <w:alias w:val="UK_RECIPIENTS_RETENTION_TRANSFERS"/>
          <w:text/>
        </w:sdtPr>
        <w:sdtContent>
          <w:r>
            <w:rPr>
              <w:rFonts w:ascii="Calibri" w:hAnsi="Calibri"/>
              <w:color w:val="000000"/>
              <w:sz w:val="22"/>
            </w:rPr>
            <w:t>{{UK_RECIPIENTS_RETENTION_TRANSFERS}}</w:t>
          </w:r>
        </w:sdtContent>
      </w:sdt>
    </w:p>
    <w:p>
      <w:pPr>
        <w:spacing w:after="60"/>
      </w:pPr>
      <w:r>
        <w:rPr>
          <w:rFonts w:ascii="Calibri" w:hAnsi="Calibri"/>
          <w:b/>
          <w:color w:val="0B2545"/>
          <w:sz w:val="22"/>
        </w:rPr>
        <w:t xml:space="preserve">Rights, research limitations, and ICO complaint: </w:t>
      </w:r>
      <w:sdt>
        <w:sdtPr>
          <w:tag w:val="UK_RIGHTS_ICO"/>
          <w:alias w:val="UK_RIGHTS_ICO"/>
          <w:text/>
        </w:sdtPr>
        <w:sdtContent>
          <w:r>
            <w:rPr>
              <w:rFonts w:ascii="Calibri" w:hAnsi="Calibri"/>
              <w:color w:val="000000"/>
              <w:sz w:val="22"/>
            </w:rPr>
            <w:t>{{UK_RIGHTS_ICO}}</w:t>
          </w:r>
        </w:sdtContent>
      </w:sdt>
    </w:p>
    <w:p>
      <w:pPr>
        <w:pStyle w:val="Heading2"/>
      </w:pPr>
      <w:r>
        <w:t>UK explicit data consent (only if selected legal basis)</w:t>
      </w:r>
    </w:p>
    <w:p>
      <w:pPr>
        <w:spacing w:after="60"/>
      </w:pPr>
      <w:r>
        <w:rPr>
          <w:rFonts w:ascii="Calibri" w:hAnsi="Calibri"/>
          <w:b/>
          <w:color w:val="0B2545"/>
          <w:sz w:val="22"/>
        </w:rPr>
        <w:t xml:space="preserve">Printed name: </w:t>
      </w:r>
      <w:sdt>
        <w:sdtPr>
          <w:tag w:val="UK_EXPLICIT_CONSENT_SIGNER_PRINTED_NAME"/>
          <w:alias w:val="UK_EXPLICIT_CONSENT_SIGNER_PRINTED_NAME"/>
          <w:text/>
        </w:sdtPr>
        <w:sdtContent>
          <w:r>
            <w:rPr>
              <w:rFonts w:ascii="Calibri" w:hAnsi="Calibri"/>
              <w:color w:val="000000"/>
              <w:sz w:val="22"/>
            </w:rPr>
            <w:t>{{UK_EXPLICIT_CONSENT_SIGNER_PRINTED_NAME}}</w:t>
          </w:r>
        </w:sdtContent>
      </w:sdt>
    </w:p>
    <w:p>
      <w:pPr>
        <w:spacing w:after="60"/>
      </w:pPr>
      <w:r>
        <w:rPr>
          <w:rFonts w:ascii="Calibri" w:hAnsi="Calibri"/>
          <w:b/>
          <w:color w:val="0B2545"/>
          <w:sz w:val="22"/>
        </w:rPr>
        <w:t xml:space="preserve">Electronic or handwritten signature: </w:t>
      </w:r>
      <w:sdt>
        <w:sdtPr>
          <w:tag w:val="UK_EXPLICIT_CONSENT_SIGNER_SIGNATURE"/>
          <w:alias w:val="UK_EXPLICIT_CONSENT_SIGNER_SIGNATURE"/>
          <w:text/>
        </w:sdtPr>
        <w:sdtContent>
          <w:r>
            <w:rPr>
              <w:rFonts w:ascii="Calibri" w:hAnsi="Calibri"/>
              <w:color w:val="000000"/>
              <w:sz w:val="22"/>
            </w:rPr>
            <w:t>{{UK_EXPLICIT_CONSENT_SIGNER_SIGNATURE}}</w:t>
          </w:r>
        </w:sdtContent>
      </w:sdt>
    </w:p>
    <w:p>
      <w:pPr>
        <w:spacing w:after="60"/>
      </w:pPr>
      <w:r>
        <w:rPr>
          <w:rFonts w:ascii="Calibri" w:hAnsi="Calibri"/>
          <w:b/>
          <w:color w:val="0B2545"/>
          <w:sz w:val="22"/>
        </w:rPr>
        <w:t xml:space="preserve">Date and time (with time zone): </w:t>
      </w:r>
      <w:sdt>
        <w:sdtPr>
          <w:tag w:val="UK_EXPLICIT_CONSENT_SIGNER_SIGNED_AT"/>
          <w:alias w:val="UK_EXPLICIT_CONSENT_SIGNER_SIGNED_AT"/>
          <w:text/>
        </w:sdtPr>
        <w:sdtContent>
          <w:r>
            <w:rPr>
              <w:rFonts w:ascii="Calibri" w:hAnsi="Calibri"/>
              <w:color w:val="000000"/>
              <w:sz w:val="22"/>
            </w:rPr>
            <w:t>{{UK_EXPLICIT_CONSENT_SIGNER_SIGNED_AT}}</w:t>
          </w:r>
        </w:sdtContent>
      </w:sdt>
    </w:p>
    <w:p>
      <w:r>
        <w:br w:type="page"/>
      </w:r>
    </w:p>
    <w:p>
      <w:pPr>
        <w:pStyle w:val="Heading1"/>
      </w:pPr>
      <w:r>
        <w:t>MODULE J - Canada Data Protection Information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a Canada- and province-approved version. Identify whether federal PIPEDA, a substantially similar provincial private-sector law, a health-information law, or public-sector rules apply. Quebec, Alberta, and British Columbia require province-specific analysis; a federal form alone is not sufficient.</w:t>
      </w:r>
    </w:p>
    <w:p>
      <w:pPr>
        <w:spacing w:after="60"/>
      </w:pPr>
      <w:r>
        <w:rPr>
          <w:rFonts w:ascii="Calibri" w:hAnsi="Calibri"/>
          <w:b/>
          <w:color w:val="0B2545"/>
          <w:sz w:val="22"/>
        </w:rPr>
        <w:t xml:space="preserve">Organization(s) accountable for the data: </w:t>
      </w:r>
      <w:sdt>
        <w:sdtPr>
          <w:tag w:val="CA_ACCOUNTABLE_ORGANIZATIONS"/>
          <w:alias w:val="CA_ACCOUNTABLE_ORGANIZATIONS"/>
          <w:text/>
        </w:sdtPr>
        <w:sdtContent>
          <w:r>
            <w:rPr>
              <w:rFonts w:ascii="Calibri" w:hAnsi="Calibri"/>
              <w:color w:val="000000"/>
              <w:sz w:val="22"/>
            </w:rPr>
            <w:t>{{CA_ACCOUNTABLE_ORGANIZATIONS}}</w:t>
          </w:r>
        </w:sdtContent>
      </w:sdt>
    </w:p>
    <w:p>
      <w:pPr>
        <w:spacing w:after="60"/>
      </w:pPr>
      <w:r>
        <w:rPr>
          <w:rFonts w:ascii="Calibri" w:hAnsi="Calibri"/>
          <w:b/>
          <w:color w:val="0B2545"/>
          <w:sz w:val="22"/>
        </w:rPr>
        <w:t xml:space="preserve">Purposes, data categories, and consequences of declining: </w:t>
      </w:r>
      <w:sdt>
        <w:sdtPr>
          <w:tag w:val="CA_PURPOSES_CATEGORIES_CONSEQUENCES"/>
          <w:alias w:val="CA_PURPOSES_CATEGORIES_CONSEQUENCES"/>
          <w:text/>
        </w:sdtPr>
        <w:sdtContent>
          <w:r>
            <w:rPr>
              <w:rFonts w:ascii="Calibri" w:hAnsi="Calibri"/>
              <w:color w:val="000000"/>
              <w:sz w:val="22"/>
            </w:rPr>
            <w:t>{{CA_PURPOSES_CATEGORIES_CONSEQUENCES}}</w:t>
          </w:r>
        </w:sdtContent>
      </w:sdt>
    </w:p>
    <w:p>
      <w:pPr>
        <w:spacing w:after="60"/>
      </w:pPr>
      <w:r>
        <w:rPr>
          <w:rFonts w:ascii="Calibri" w:hAnsi="Calibri"/>
          <w:b/>
          <w:color w:val="0B2545"/>
          <w:sz w:val="22"/>
        </w:rPr>
        <w:t xml:space="preserve">Consent basis and any permitted exception: </w:t>
      </w:r>
      <w:sdt>
        <w:sdtPr>
          <w:tag w:val="CA_CONSENT_OR_EXCEPTION"/>
          <w:alias w:val="CA_CONSENT_OR_EXCEPTION"/>
          <w:text/>
        </w:sdtPr>
        <w:sdtContent>
          <w:r>
            <w:rPr>
              <w:rFonts w:ascii="Calibri" w:hAnsi="Calibri"/>
              <w:color w:val="000000"/>
              <w:sz w:val="22"/>
            </w:rPr>
            <w:t>{{CA_CONSENT_OR_EXCEPTION}}</w:t>
          </w:r>
        </w:sdtContent>
      </w:sdt>
    </w:p>
    <w:p>
      <w:pPr>
        <w:spacing w:after="60"/>
      </w:pPr>
      <w:r>
        <w:rPr>
          <w:rFonts w:ascii="Calibri" w:hAnsi="Calibri"/>
          <w:b/>
          <w:color w:val="0B2545"/>
          <w:sz w:val="22"/>
        </w:rPr>
        <w:t xml:space="preserve">Province-specific health/biometric requirements: </w:t>
      </w:r>
      <w:sdt>
        <w:sdtPr>
          <w:tag w:val="CA_PROVINCIAL_REQUIREMENTS"/>
          <w:alias w:val="CA_PROVINCIAL_REQUIREMENTS"/>
          <w:text/>
        </w:sdtPr>
        <w:sdtContent>
          <w:r>
            <w:rPr>
              <w:rFonts w:ascii="Calibri" w:hAnsi="Calibri"/>
              <w:color w:val="000000"/>
              <w:sz w:val="22"/>
            </w:rPr>
            <w:t>{{CA_PROVINCIAL_REQUIREMENTS}}</w:t>
          </w:r>
        </w:sdtContent>
      </w:sdt>
    </w:p>
    <w:p>
      <w:pPr>
        <w:spacing w:after="60"/>
      </w:pPr>
      <w:r>
        <w:rPr>
          <w:rFonts w:ascii="Calibri" w:hAnsi="Calibri"/>
          <w:b/>
          <w:color w:val="0B2545"/>
          <w:sz w:val="22"/>
        </w:rPr>
        <w:t xml:space="preserve">Repositories, processors, countries, and safeguards: </w:t>
      </w:r>
      <w:sdt>
        <w:sdtPr>
          <w:tag w:val="CA_REPOSITORIES_PROCESSORS_TRANSFERS"/>
          <w:alias w:val="CA_REPOSITORIES_PROCESSORS_TRANSFERS"/>
          <w:text/>
        </w:sdtPr>
        <w:sdtContent>
          <w:r>
            <w:rPr>
              <w:rFonts w:ascii="Calibri" w:hAnsi="Calibri"/>
              <w:color w:val="000000"/>
              <w:sz w:val="22"/>
            </w:rPr>
            <w:t>{{CA_REPOSITORIES_PROCESSORS_TRANSFERS}}</w:t>
          </w:r>
        </w:sdtContent>
      </w:sdt>
    </w:p>
    <w:p>
      <w:pPr>
        <w:spacing w:after="60"/>
      </w:pPr>
      <w:r>
        <w:rPr>
          <w:rFonts w:ascii="Calibri" w:hAnsi="Calibri"/>
          <w:b/>
          <w:color w:val="0B2545"/>
          <w:sz w:val="22"/>
        </w:rPr>
        <w:t xml:space="preserve">Retention, access/correction, withdrawal, complaint: </w:t>
      </w:r>
      <w:sdt>
        <w:sdtPr>
          <w:tag w:val="CA_RIGHTS_RETENTION_COMPLAINT"/>
          <w:alias w:val="CA_RIGHTS_RETENTION_COMPLAINT"/>
          <w:text/>
        </w:sdtPr>
        <w:sdtContent>
          <w:r>
            <w:rPr>
              <w:rFonts w:ascii="Calibri" w:hAnsi="Calibri"/>
              <w:color w:val="000000"/>
              <w:sz w:val="22"/>
            </w:rPr>
            <w:t>{{CA_RIGHTS_RETENTION_COMPLAINT}}</w:t>
          </w:r>
        </w:sdtContent>
      </w:sdt>
    </w:p>
    <w:p>
      <w:r>
        <w:t>Consent must be meaningful: the study must highlight the information a reasonable person would expect to affect the decision, including key risks, third parties, and any processing outside Canada. A repository option must name the organization and location; it may not be described only as a Canadian or regional warehouse.</w:t>
      </w:r>
    </w:p>
    <w:p>
      <w:pPr>
        <w:pStyle w:val="Heading1"/>
      </w:pPr>
      <w:r>
        <w:t>MODULE K - Australia Privacy Information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an Australia-approved version identifying the applicable research ethics framework, Privacy Act 1988/APP status, any State or Territory health-records law, and any approved waiver or exception. Sensitive information generally requires consent unless a lawful exception applies.</w:t>
      </w:r>
    </w:p>
    <w:p>
      <w:pPr>
        <w:spacing w:after="60"/>
      </w:pPr>
      <w:r>
        <w:rPr>
          <w:rFonts w:ascii="Calibri" w:hAnsi="Calibri"/>
          <w:b/>
          <w:color w:val="0B2545"/>
          <w:sz w:val="22"/>
        </w:rPr>
        <w:t xml:space="preserve">Responsible entity and contact: </w:t>
      </w:r>
      <w:sdt>
        <w:sdtPr>
          <w:tag w:val="AU_RESPONSIBLE_ENTITY_CONTACT"/>
          <w:alias w:val="AU_RESPONSIBLE_ENTITY_CONTACT"/>
          <w:text/>
        </w:sdtPr>
        <w:sdtContent>
          <w:r>
            <w:rPr>
              <w:rFonts w:ascii="Calibri" w:hAnsi="Calibri"/>
              <w:color w:val="000000"/>
              <w:sz w:val="22"/>
            </w:rPr>
            <w:t>{{AU_RESPONSIBLE_ENTITY_CONTACT}}</w:t>
          </w:r>
        </w:sdtContent>
      </w:sdt>
    </w:p>
    <w:p>
      <w:pPr>
        <w:spacing w:after="60"/>
      </w:pPr>
      <w:r>
        <w:rPr>
          <w:rFonts w:ascii="Calibri" w:hAnsi="Calibri"/>
          <w:b/>
          <w:color w:val="0B2545"/>
          <w:sz w:val="22"/>
        </w:rPr>
        <w:t xml:space="preserve">Sensitive information, purpose, and collection source: </w:t>
      </w:r>
      <w:sdt>
        <w:sdtPr>
          <w:tag w:val="AU_SENSITIVE_INFORMATION_PURPOSE_SOURCE"/>
          <w:alias w:val="AU_SENSITIVE_INFORMATION_PURPOSE_SOURCE"/>
          <w:text/>
        </w:sdtPr>
        <w:sdtContent>
          <w:r>
            <w:rPr>
              <w:rFonts w:ascii="Calibri" w:hAnsi="Calibri"/>
              <w:color w:val="000000"/>
              <w:sz w:val="22"/>
            </w:rPr>
            <w:t>{{AU_SENSITIVE_INFORMATION_PURPOSE_SOURCE}}</w:t>
          </w:r>
        </w:sdtContent>
      </w:sdt>
    </w:p>
    <w:p>
      <w:pPr>
        <w:spacing w:after="60"/>
      </w:pPr>
      <w:r>
        <w:rPr>
          <w:rFonts w:ascii="Calibri" w:hAnsi="Calibri"/>
          <w:b/>
          <w:color w:val="0B2545"/>
          <w:sz w:val="22"/>
        </w:rPr>
        <w:t xml:space="preserve">Required/optional data and consequences: </w:t>
      </w:r>
      <w:sdt>
        <w:sdtPr>
          <w:tag w:val="AU_REQUIRED_OPTIONAL_CONSEQUENCES"/>
          <w:alias w:val="AU_REQUIRED_OPTIONAL_CONSEQUENCES"/>
          <w:text/>
        </w:sdtPr>
        <w:sdtContent>
          <w:r>
            <w:rPr>
              <w:rFonts w:ascii="Calibri" w:hAnsi="Calibri"/>
              <w:color w:val="000000"/>
              <w:sz w:val="22"/>
            </w:rPr>
            <w:t>{{AU_REQUIRED_OPTIONAL_CONSEQUENCES}}</w:t>
          </w:r>
        </w:sdtContent>
      </w:sdt>
    </w:p>
    <w:p>
      <w:pPr>
        <w:spacing w:after="60"/>
      </w:pPr>
      <w:r>
        <w:rPr>
          <w:rFonts w:ascii="Calibri" w:hAnsi="Calibri"/>
          <w:b/>
          <w:color w:val="0B2545"/>
          <w:sz w:val="22"/>
        </w:rPr>
        <w:t xml:space="preserve">Recipients and likely overseas countries: </w:t>
      </w:r>
      <w:sdt>
        <w:sdtPr>
          <w:tag w:val="AU_RECIPIENTS_OVERSEAS_COUNTRIES"/>
          <w:alias w:val="AU_RECIPIENTS_OVERSEAS_COUNTRIES"/>
          <w:text/>
        </w:sdtPr>
        <w:sdtContent>
          <w:r>
            <w:rPr>
              <w:rFonts w:ascii="Calibri" w:hAnsi="Calibri"/>
              <w:color w:val="000000"/>
              <w:sz w:val="22"/>
            </w:rPr>
            <w:t>{{AU_RECIPIENTS_OVERSEAS_COUNTRIES}}</w:t>
          </w:r>
        </w:sdtContent>
      </w:sdt>
    </w:p>
    <w:p>
      <w:pPr>
        <w:spacing w:after="60"/>
      </w:pPr>
      <w:r>
        <w:rPr>
          <w:rFonts w:ascii="Calibri" w:hAnsi="Calibri"/>
          <w:b/>
          <w:color w:val="0B2545"/>
          <w:sz w:val="22"/>
        </w:rPr>
        <w:t xml:space="preserve">Cross-border accountability or applicable exception: </w:t>
      </w:r>
      <w:sdt>
        <w:sdtPr>
          <w:tag w:val="AU_CROSS_BORDER_BASIS"/>
          <w:alias w:val="AU_CROSS_BORDER_BASIS"/>
          <w:text/>
        </w:sdtPr>
        <w:sdtContent>
          <w:r>
            <w:rPr>
              <w:rFonts w:ascii="Calibri" w:hAnsi="Calibri"/>
              <w:color w:val="000000"/>
              <w:sz w:val="22"/>
            </w:rPr>
            <w:t>{{AU_CROSS_BORDER_BASIS}}</w:t>
          </w:r>
        </w:sdtContent>
      </w:sdt>
    </w:p>
    <w:p>
      <w:pPr>
        <w:spacing w:after="60"/>
      </w:pPr>
      <w:r>
        <w:rPr>
          <w:rFonts w:ascii="Calibri" w:hAnsi="Calibri"/>
          <w:b/>
          <w:color w:val="0B2545"/>
          <w:sz w:val="22"/>
        </w:rPr>
        <w:t xml:space="preserve">Retention, access/correction, and complaint process: </w:t>
      </w:r>
      <w:sdt>
        <w:sdtPr>
          <w:tag w:val="AU_RIGHTS_RETENTION_COMPLAINT"/>
          <w:alias w:val="AU_RIGHTS_RETENTION_COMPLAINT"/>
          <w:text/>
        </w:sdtPr>
        <w:sdtContent>
          <w:r>
            <w:rPr>
              <w:rFonts w:ascii="Calibri" w:hAnsi="Calibri"/>
              <w:color w:val="000000"/>
              <w:sz w:val="22"/>
            </w:rPr>
            <w:t>{{AU_RIGHTS_RETENTION_COMPLAINT}}</w:t>
          </w:r>
        </w:sdtContent>
      </w:sdt>
    </w:p>
    <w:p>
      <w:pPr>
        <w:pStyle w:val="Heading1"/>
      </w:pPr>
      <w:r>
        <w:t>MODULE L - Brazil Data Protection Information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Activation rule. </w:t>
      </w:r>
      <w:r>
        <w:rPr>
          <w:rFonts w:ascii="Calibri" w:hAnsi="Calibri"/>
          <w:color w:val="000000"/>
          <w:sz w:val="22"/>
        </w:rPr>
        <w:t>Use a Brazil-approved version identifying the controller, encarregado/contact, LGPD legal basis for ordinary personal data, lawful condition for sensitive personal data, research-ethics requirements, international-transfer mechanism, and data-subject rights. Do not assume that a commercial platform qualifies for a research-body exception.</w:t>
      </w:r>
    </w:p>
    <w:p>
      <w:pPr>
        <w:spacing w:after="60"/>
      </w:pPr>
      <w:r>
        <w:rPr>
          <w:rFonts w:ascii="Calibri" w:hAnsi="Calibri"/>
          <w:b/>
          <w:color w:val="0B2545"/>
          <w:sz w:val="22"/>
        </w:rPr>
        <w:t xml:space="preserve">Controller, operator(s), and data-protection contact: </w:t>
      </w:r>
      <w:sdt>
        <w:sdtPr>
          <w:tag w:val="BR_CONTROLLER_OPERATORS_CONTACT"/>
          <w:alias w:val="BR_CONTROLLER_OPERATORS_CONTACT"/>
          <w:text/>
        </w:sdtPr>
        <w:sdtContent>
          <w:r>
            <w:rPr>
              <w:rFonts w:ascii="Calibri" w:hAnsi="Calibri"/>
              <w:color w:val="000000"/>
              <w:sz w:val="22"/>
            </w:rPr>
            <w:t>{{BR_CONTROLLER_OPERATORS_CONTACT}}</w:t>
          </w:r>
        </w:sdtContent>
      </w:sdt>
    </w:p>
    <w:p>
      <w:pPr>
        <w:spacing w:after="60"/>
      </w:pPr>
      <w:r>
        <w:rPr>
          <w:rFonts w:ascii="Calibri" w:hAnsi="Calibri"/>
          <w:b/>
          <w:color w:val="0B2545"/>
          <w:sz w:val="22"/>
        </w:rPr>
        <w:t xml:space="preserve">Purposes and data categories: </w:t>
      </w:r>
      <w:sdt>
        <w:sdtPr>
          <w:tag w:val="BR_PURPOSES_DATA_CATEGORIES"/>
          <w:alias w:val="BR_PURPOSES_DATA_CATEGORIES"/>
          <w:text/>
        </w:sdtPr>
        <w:sdtContent>
          <w:r>
            <w:rPr>
              <w:rFonts w:ascii="Calibri" w:hAnsi="Calibri"/>
              <w:color w:val="000000"/>
              <w:sz w:val="22"/>
            </w:rPr>
            <w:t>{{BR_PURPOSES_DATA_CATEGORIES}}</w:t>
          </w:r>
        </w:sdtContent>
      </w:sdt>
    </w:p>
    <w:p>
      <w:pPr>
        <w:spacing w:after="60"/>
      </w:pPr>
      <w:r>
        <w:rPr>
          <w:rFonts w:ascii="Calibri" w:hAnsi="Calibri"/>
          <w:b/>
          <w:color w:val="0B2545"/>
          <w:sz w:val="22"/>
        </w:rPr>
        <w:t xml:space="preserve">LGPD legal basis and sensitive-data condition: </w:t>
      </w:r>
      <w:sdt>
        <w:sdtPr>
          <w:tag w:val="BR_LEGAL_BASES"/>
          <w:alias w:val="BR_LEGAL_BASES"/>
          <w:text/>
        </w:sdtPr>
        <w:sdtContent>
          <w:r>
            <w:rPr>
              <w:rFonts w:ascii="Calibri" w:hAnsi="Calibri"/>
              <w:color w:val="000000"/>
              <w:sz w:val="22"/>
            </w:rPr>
            <w:t>{{BR_LEGAL_BASES}}</w:t>
          </w:r>
        </w:sdtContent>
      </w:sdt>
    </w:p>
    <w:p>
      <w:pPr>
        <w:spacing w:after="60"/>
      </w:pPr>
      <w:r>
        <w:rPr>
          <w:rFonts w:ascii="Calibri" w:hAnsi="Calibri"/>
          <w:b/>
          <w:color w:val="0B2545"/>
          <w:sz w:val="22"/>
        </w:rPr>
        <w:t xml:space="preserve">Repositories, recipients, countries, and transfer mechanism: </w:t>
      </w:r>
      <w:sdt>
        <w:sdtPr>
          <w:tag w:val="BR_REPOSITORIES_RECIPIENTS_TRANSFERS"/>
          <w:alias w:val="BR_REPOSITORIES_RECIPIENTS_TRANSFERS"/>
          <w:text/>
        </w:sdtPr>
        <w:sdtContent>
          <w:r>
            <w:rPr>
              <w:rFonts w:ascii="Calibri" w:hAnsi="Calibri"/>
              <w:color w:val="000000"/>
              <w:sz w:val="22"/>
            </w:rPr>
            <w:t>{{BR_REPOSITORIES_RECIPIENTS_TRANSFERS}}</w:t>
          </w:r>
        </w:sdtContent>
      </w:sdt>
    </w:p>
    <w:p>
      <w:pPr>
        <w:spacing w:after="60"/>
      </w:pPr>
      <w:r>
        <w:rPr>
          <w:rFonts w:ascii="Calibri" w:hAnsi="Calibri"/>
          <w:b/>
          <w:color w:val="0B2545"/>
          <w:sz w:val="22"/>
        </w:rPr>
        <w:t xml:space="preserve">Retention, security, and disposal: </w:t>
      </w:r>
      <w:sdt>
        <w:sdtPr>
          <w:tag w:val="BR_RETENTION_SECURITY_DISPOSAL"/>
          <w:alias w:val="BR_RETENTION_SECURITY_DISPOSAL"/>
          <w:text/>
        </w:sdtPr>
        <w:sdtContent>
          <w:r>
            <w:rPr>
              <w:rFonts w:ascii="Calibri" w:hAnsi="Calibri"/>
              <w:color w:val="000000"/>
              <w:sz w:val="22"/>
            </w:rPr>
            <w:t>{{BR_RETENTION_SECURITY_DISPOSAL}}</w:t>
          </w:r>
        </w:sdtContent>
      </w:sdt>
    </w:p>
    <w:p>
      <w:pPr>
        <w:spacing w:after="60"/>
      </w:pPr>
      <w:r>
        <w:rPr>
          <w:rFonts w:ascii="Calibri" w:hAnsi="Calibri"/>
          <w:b/>
          <w:color w:val="0B2545"/>
          <w:sz w:val="22"/>
        </w:rPr>
        <w:t xml:space="preserve">Confirmation/access/correction/anonymization/blocking/deletion/portability and ANPD route: </w:t>
      </w:r>
      <w:sdt>
        <w:sdtPr>
          <w:tag w:val="BR_RIGHTS_ANPD_ROUTE"/>
          <w:alias w:val="BR_RIGHTS_ANPD_ROUTE"/>
          <w:text/>
        </w:sdtPr>
        <w:sdtContent>
          <w:r>
            <w:rPr>
              <w:rFonts w:ascii="Calibri" w:hAnsi="Calibri"/>
              <w:color w:val="000000"/>
              <w:sz w:val="22"/>
            </w:rPr>
            <w:t>{{BR_RIGHTS_ANPD_ROUTE}}</w:t>
          </w:r>
        </w:sdtContent>
      </w:sdt>
    </w:p>
    <w:p>
      <w:r>
        <w:t>If consent is used, it must be demonstrable, tied to specified purposes, and separately address sensitive data where required. Generic permission for undefined repositories, recipients, countries, or future purposes is not deployment-ready.</w:t>
      </w:r>
    </w:p>
    <w:p>
      <w:pPr>
        <w:pStyle w:val="Heading1"/>
      </w:pPr>
      <w:r>
        <w:t>MODULE M - Unsupported Country or Region Deployment Hold</w:t>
      </w:r>
    </w:p>
    <w:p>
      <w:pPr>
        <w:spacing w:before="80" w:after="200" w:line="259" w:lineRule="auto"/>
        <w:ind w:left="173" w:right="115"/>
        <w:shd w:fill="FFF4D6"/>
        <w:pBdr>
          <w:left w:val="single" w:sz="16" w:space="8" w:color="9B1C1C"/>
        </w:pBdr>
        <w:keepLines/>
      </w:pPr>
      <w:r>
        <w:rPr>
          <w:rFonts w:ascii="Calibri" w:hAnsi="Calibri"/>
          <w:b/>
          <w:color w:val="9B1C1C"/>
          <w:sz w:val="22"/>
        </w:rPr>
        <w:t xml:space="preserve">Enrollment blocked. </w:t>
      </w:r>
      <w:r>
        <w:rPr>
          <w:rFonts w:ascii="Calibri" w:hAnsi="Calibri"/>
          <w:color w:val="000000"/>
          <w:sz w:val="22"/>
        </w:rPr>
        <w:t>If the consent engine does not have a current, approved addendum and data-flow configuration for the participant's residence, collection location, site, and controller arrangement, no human or biometric data may be collected. The participant may be offered a non-recording information/demo mode only if separately approved.</w:t>
      </w:r>
    </w:p>
    <w:p>
      <w:pPr>
        <w:spacing w:after="60"/>
      </w:pPr>
      <w:r>
        <w:rPr>
          <w:rFonts w:ascii="Calibri" w:hAnsi="Calibri"/>
          <w:b/>
          <w:color w:val="0B2545"/>
          <w:sz w:val="22"/>
        </w:rPr>
        <w:t xml:space="preserve">Jurisdiction requiring review: </w:t>
      </w:r>
      <w:sdt>
        <w:sdtPr>
          <w:tag w:val="UNSUPPORTED_JURISDICTION"/>
          <w:alias w:val="UNSUPPORTED_JURISDICTION"/>
          <w:text/>
        </w:sdtPr>
        <w:sdtContent>
          <w:r>
            <w:rPr>
              <w:rFonts w:ascii="Calibri" w:hAnsi="Calibri"/>
              <w:color w:val="000000"/>
              <w:sz w:val="22"/>
            </w:rPr>
            <w:t>{{UNSUPPORTED_JURISDICTION}}</w:t>
          </w:r>
        </w:sdtContent>
      </w:sdt>
    </w:p>
    <w:p>
      <w:pPr>
        <w:spacing w:after="60"/>
      </w:pPr>
      <w:r>
        <w:rPr>
          <w:rFonts w:ascii="Calibri" w:hAnsi="Calibri"/>
          <w:b/>
          <w:color w:val="0B2545"/>
          <w:sz w:val="22"/>
        </w:rPr>
        <w:t xml:space="preserve">Legal/ethics reviewer and approval date: </w:t>
      </w:r>
      <w:sdt>
        <w:sdtPr>
          <w:tag w:val="LOCAL_REVIEW_APPROVAL"/>
          <w:alias w:val="LOCAL_REVIEW_APPROVAL"/>
          <w:text/>
        </w:sdtPr>
        <w:sdtContent>
          <w:r>
            <w:rPr>
              <w:rFonts w:ascii="Calibri" w:hAnsi="Calibri"/>
              <w:color w:val="000000"/>
              <w:sz w:val="22"/>
            </w:rPr>
            <w:t>{{LOCAL_REVIEW_APPROVAL}}</w:t>
          </w:r>
        </w:sdtContent>
      </w:sdt>
    </w:p>
    <w:p>
      <w:pPr>
        <w:spacing w:after="60"/>
      </w:pPr>
      <w:r>
        <w:rPr>
          <w:rFonts w:ascii="Calibri" w:hAnsi="Calibri"/>
          <w:b/>
          <w:color w:val="0B2545"/>
          <w:sz w:val="22"/>
        </w:rPr>
        <w:t xml:space="preserve">Approved localized addendum/version: </w:t>
      </w:r>
      <w:sdt>
        <w:sdtPr>
          <w:tag w:val="LOCALIZED_ADDENDUM_VERSION"/>
          <w:alias w:val="LOCALIZED_ADDENDUM_VERSION"/>
          <w:text/>
        </w:sdtPr>
        <w:sdtContent>
          <w:r>
            <w:rPr>
              <w:rFonts w:ascii="Calibri" w:hAnsi="Calibri"/>
              <w:color w:val="000000"/>
              <w:sz w:val="22"/>
            </w:rPr>
            <w:t>{{LOCALIZED_ADDENDUM_VERSION}}</w:t>
          </w:r>
        </w:sdtContent>
      </w:sdt>
    </w:p>
    <w:p>
      <w:r>
        <w:br w:type="page"/>
      </w:r>
    </w:p>
    <w:p>
      <w:pPr>
        <w:pStyle w:val="Heading1"/>
      </w:pPr>
      <w:r>
        <w:t>INTERNAL IMPLEMENTATION SPECIFICATION</w:t>
      </w:r>
    </w:p>
    <w:p>
      <w:pPr>
        <w:spacing w:before="80" w:after="200" w:line="259" w:lineRule="auto"/>
        <w:ind w:left="173" w:right="115"/>
        <w:shd w:fill="F4F6F9"/>
        <w:pBdr>
          <w:left w:val="single" w:sz="16" w:space="8" w:color="2E74B5"/>
        </w:pBdr>
        <w:keepLines/>
      </w:pPr>
      <w:r>
        <w:rPr>
          <w:rFonts w:ascii="Calibri" w:hAnsi="Calibri"/>
          <w:b/>
          <w:color w:val="2E74B5"/>
          <w:sz w:val="22"/>
        </w:rPr>
        <w:t xml:space="preserve">System boundary. </w:t>
      </w:r>
      <w:r>
        <w:rPr>
          <w:rFonts w:ascii="Calibri" w:hAnsi="Calibri"/>
          <w:color w:val="000000"/>
          <w:sz w:val="22"/>
        </w:rPr>
        <w:t>This section is for product, privacy, security, legal, and research operations. It is not displayed to participants unless converted into approved participant language.</w:t>
      </w:r>
    </w:p>
    <w:p>
      <w:pPr>
        <w:pStyle w:val="Heading2"/>
      </w:pPr>
      <w:r>
        <w:t>1. Consent engine inputs</w:t>
      </w:r>
    </w:p>
    <w:tbl>
      <w:tblPr>
        <w:tblStyle w:val="TableGrid"/>
        <w:tblW w:type="dxa" w:w="9360"/>
        <w:jc w:val="left"/>
        <w:tblLayout w:type="fixed"/>
        <w:tblLook w:firstColumn="1" w:firstRow="1" w:lastColumn="0" w:lastRow="0" w:noHBand="0" w:noVBand="1" w:val="04A0"/>
        <w:tblInd w:type="dxa" w:w="120"/>
      </w:tblPr>
      <w:tblGrid>
        <w:gridCol w:w="1872"/>
        <w:gridCol w:w="5242"/>
        <w:gridCol w:w="2246"/>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Input</w:t>
            </w:r>
          </w:p>
        </w:tc>
        <w:tc>
          <w:tcPr>
            <w:tcW w:type="dxa" w:w="524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Required values / behavior</w:t>
            </w:r>
          </w:p>
        </w:tc>
        <w:tc>
          <w:tcPr>
            <w:tcW w:type="dxa" w:w="2246"/>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Fail-safe</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Participant jurisdiction</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Country of residence; state/province/territory; physical collection location; age; capacity pathway; language.</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Unknown or unsupported blocks recording.</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Study governance</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Protocol; sponsor; PI/site; IRB/EC; Common Rule/FDA/HIPAA status; controller(s); processor(s); research exemptions.</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Missing approval or role blocks enrollment.</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Data modules</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Exact raw and derived categories; required vs optional; purpose; frequency; risk; result policy.</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Unlisted sensor/task cannot start.</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Repository registry</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Operator; legal role; storage/backup region; access countries; data copy; purpose; retention; deletion; transfer mechanism.</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Blank field hides destination and blocks selection.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Permissions</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Primary study; raw retention; future research; AI/model use; external sharing; commercial research; linkage; recontact.</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No prechecked optional permissions.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Consent lifecycle</w:t>
            </w:r>
          </w:p>
        </w:tc>
        <w:tc>
          <w:tcPr>
            <w:tcW w:type="dxa" w:w="5242"/>
            <w:vAlign w:val="center"/>
            <w:tcMar>
              <w:top w:w="80" w:type="dxa"/>
              <w:bottom w:w="80" w:type="dxa"/>
              <w:start w:w="120" w:type="dxa"/>
              <w:end w:w="120" w:type="dxa"/>
            </w:tcMar>
          </w:tcPr>
          <w:p>
            <w:pPr>
              <w:spacing w:before="0" w:after="40" w:line="252" w:lineRule="auto"/>
            </w:pPr>
            <w:r/>
            <w:r>
              <w:rPr>
                <w:rFonts w:ascii="Calibri" w:hAnsi="Calibri"/>
                <w:b w:val="0"/>
                <w:color w:val="000000"/>
                <w:sz w:val="17"/>
              </w:rPr>
              <w:t>Version/hash; signer; LAR authority; comprehension/assent; receipt delivery; re-consent triggers; withdrawal/deletion events.</w:t>
            </w:r>
          </w:p>
        </w:tc>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7"/>
              </w:rPr>
              <w:t>Material change pauses affected processing.</w:t>
            </w:r>
          </w:p>
        </w:tc>
      </w:tr>
    </w:tbl>
    <w:p>
      <w:pPr>
        <w:spacing w:after="40"/>
      </w:pPr>
    </w:p>
    <w:p>
      <w:pPr>
        <w:pStyle w:val="Heading2"/>
      </w:pPr>
      <w:r>
        <w:t>2. Data destination registry</w:t>
      </w:r>
    </w:p>
    <w:p>
      <w:r>
        <w:t>Every repository must have an approved registry record. Participant-facing terms such as 'NeuroAgent warehouse,' 'institution warehouse,' or 'regional warehouse' are labels only and cannot substitute for the fields below.</w:t>
      </w:r>
    </w:p>
    <w:tbl>
      <w:tblPr>
        <w:tblStyle w:val="TableGrid"/>
        <w:tblW w:type="dxa" w:w="9360"/>
        <w:jc w:val="left"/>
        <w:tblLayout w:type="fixed"/>
        <w:tblLook w:firstColumn="1" w:firstRow="1" w:lastColumn="0" w:lastRow="0" w:noHBand="0" w:noVBand="1" w:val="04A0"/>
        <w:tblInd w:type="dxa" w:w="120"/>
      </w:tblPr>
      <w:tblGrid>
        <w:gridCol w:w="1872"/>
        <w:gridCol w:w="4961"/>
        <w:gridCol w:w="2527"/>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Registry field</w:t>
            </w:r>
          </w:p>
        </w:tc>
        <w:tc>
          <w:tcPr>
            <w:tcW w:type="dxa" w:w="4961"/>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Minimum content</w:t>
            </w:r>
          </w:p>
        </w:tc>
        <w:tc>
          <w:tcPr>
            <w:tcW w:type="dxa" w:w="2527"/>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Participant display</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Identity/role</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Legal entity, address/contact, controller/joint controller/processor/custodian, site/sponsor relationship.</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Name and role in plain language.</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Location</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Primary data-center country/region, backup region, remote-access countries, subprocessor list.</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Exact region and cross-border access.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Data flow</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Raw/coded/derived/aggregate copy, temporary/transient processing, onward transfers, federated outputs.</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What the destination receives and returns.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Purpose/access</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Approved purposes, roles/groups with access, data access committee, external-research process.</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Who may use it and why.</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Retention/deletion</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Category-specific schedule, trigger, backups, legal holds, deletion SLA, recipient cascade, model handling.</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Dates/criteria and request method.</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Transfer/security</w:t>
            </w:r>
          </w:p>
        </w:tc>
        <w:tc>
          <w:tcPr>
            <w:tcW w:type="dxa" w:w="4961"/>
            <w:vAlign w:val="center"/>
            <w:tcMar>
              <w:top w:w="80" w:type="dxa"/>
              <w:bottom w:w="80" w:type="dxa"/>
              <w:start w:w="120" w:type="dxa"/>
              <w:end w:w="120" w:type="dxa"/>
            </w:tcMar>
          </w:tcPr>
          <w:p>
            <w:pPr>
              <w:spacing w:before="0" w:after="40" w:line="252" w:lineRule="auto"/>
            </w:pPr>
            <w:r/>
            <w:r>
              <w:rPr>
                <w:rFonts w:ascii="Calibri" w:hAnsi="Calibri"/>
                <w:b w:val="0"/>
                <w:color w:val="000000"/>
                <w:sz w:val="17"/>
              </w:rPr>
              <w:t>Adequacy/SCC/IDTA/other mechanism, encryption, key control, logging, incident obligations.</w:t>
            </w:r>
          </w:p>
        </w:tc>
        <w:tc>
          <w:tcPr>
            <w:tcW w:type="dxa" w:w="2527"/>
            <w:vAlign w:val="center"/>
            <w:tcMar>
              <w:top w:w="80" w:type="dxa"/>
              <w:bottom w:w="80" w:type="dxa"/>
              <w:start w:w="120" w:type="dxa"/>
              <w:end w:w="120" w:type="dxa"/>
            </w:tcMar>
          </w:tcPr>
          <w:p>
            <w:pPr>
              <w:spacing w:before="0" w:after="40" w:line="252" w:lineRule="auto"/>
            </w:pPr>
            <w:r/>
            <w:r>
              <w:rPr>
                <w:rFonts w:ascii="Calibri" w:hAnsi="Calibri"/>
                <w:b w:val="0"/>
                <w:color w:val="000000"/>
                <w:sz w:val="17"/>
              </w:rPr>
              <w:t>Meaningful summary and safeguard access.</w:t>
            </w:r>
          </w:p>
        </w:tc>
      </w:tr>
    </w:tbl>
    <w:p>
      <w:pPr>
        <w:spacing w:after="40"/>
      </w:pPr>
    </w:p>
    <w:p>
      <w:pPr>
        <w:pStyle w:val="Heading2"/>
      </w:pPr>
      <w:r>
        <w:t>3. Consent dependency and enforcement rules</w:t>
      </w:r>
    </w:p>
    <w:p>
      <w:pPr>
        <w:numPr>
          <w:ilvl w:val="0"/>
          <w:numId w:val="10"/>
        </w:numPr>
        <w:spacing w:after="160" w:line="280" w:lineRule="auto"/>
      </w:pPr>
      <w:r>
        <w:t>Do not initialize camera, microphone, motion sensors, local recordings, server upload, analytics, or nonessential logs until required consent and notices are complete.</w:t>
      </w:r>
    </w:p>
    <w:p>
      <w:pPr>
        <w:numPr>
          <w:ilvl w:val="0"/>
          <w:numId w:val="10"/>
        </w:numPr>
        <w:spacing w:after="160" w:line="280" w:lineRule="auto"/>
      </w:pPr>
      <w:r>
        <w:t>A destination choice authorizes storage/deposit only. Enforce separate permissions for processing purpose, recipient access, sharing, external research, AI/model development, commercial research, and cross-border transfer.</w:t>
      </w:r>
    </w:p>
    <w:p>
      <w:pPr>
        <w:numPr>
          <w:ilvl w:val="0"/>
          <w:numId w:val="10"/>
        </w:numPr>
        <w:spacing w:after="160" w:line="280" w:lineRule="auto"/>
      </w:pPr>
      <w:r>
        <w:t>If raw-media retention is declined but derived measures are allowed, process ephemerally, verify successful derived-data receipt, and delete temporary raw copies and queues according to the disclosed deadline. Record deletion evidence without retaining the media.</w:t>
      </w:r>
    </w:p>
    <w:p>
      <w:pPr>
        <w:numPr>
          <w:ilvl w:val="0"/>
          <w:numId w:val="10"/>
        </w:numPr>
        <w:spacing w:after="160" w:line="280" w:lineRule="auto"/>
      </w:pPr>
      <w:r>
        <w:t>If a study requires raw media or a particular repository, label it required before consent. Declining means the person cannot join that study; do not convert the required item into a coerced optional toggle.</w:t>
      </w:r>
    </w:p>
    <w:p>
      <w:pPr>
        <w:numPr>
          <w:ilvl w:val="0"/>
          <w:numId w:val="10"/>
        </w:numPr>
        <w:spacing w:after="160" w:line="280" w:lineRule="auto"/>
      </w:pPr>
      <w:r>
        <w:t>When multiple repositories hold copies, maintain copy lineage and recipient identifiers so withdrawal, correction, breach, and deletion notices can cascade. Show unresolved downstream requests to the participant and privacy team.</w:t>
      </w:r>
    </w:p>
    <w:p>
      <w:pPr>
        <w:numPr>
          <w:ilvl w:val="0"/>
          <w:numId w:val="10"/>
        </w:numPr>
        <w:spacing w:after="160" w:line="280" w:lineRule="auto"/>
      </w:pPr>
      <w:r>
        <w:t>Do not treat deidentification as permanent or absolute for voice, face, eye, gait, genetic, or rare-disease data. Apply a documented re-identification risk review before release or broader sharing.</w:t>
      </w:r>
    </w:p>
    <w:p>
      <w:pPr>
        <w:numPr>
          <w:ilvl w:val="0"/>
          <w:numId w:val="10"/>
        </w:numPr>
        <w:spacing w:after="160" w:line="280" w:lineRule="auto"/>
      </w:pPr>
      <w:r>
        <w:t>No advertising SDKs, session replay, social pixels, or unrelated telemetry may operate on consent, assessment, results, or participant dashboards.</w:t>
      </w:r>
    </w:p>
    <w:p>
      <w:pPr>
        <w:numPr>
          <w:ilvl w:val="0"/>
          <w:numId w:val="10"/>
        </w:numPr>
        <w:spacing w:after="160" w:line="280" w:lineRule="auto"/>
      </w:pPr>
      <w:r>
        <w:t>Do not collect precise GPS or infer a legal jurisdiction solely from IP address. Ask residence and current collection location; collect only the minimum technical evidence needed to support the ruleset decision.</w:t>
      </w:r>
    </w:p>
    <w:p>
      <w:pPr>
        <w:numPr>
          <w:ilvl w:val="0"/>
          <w:numId w:val="10"/>
        </w:numPr>
        <w:spacing w:after="160" w:line="280" w:lineRule="auto"/>
      </w:pPr>
      <w:r>
        <w:t>A new purpose, data category, recipient class, repository, access country, transfer mechanism, material retention extension, or biometric identification use triggers prospective review and, where required, re-consent before affected processing.</w:t>
      </w:r>
    </w:p>
    <w:p>
      <w:pPr>
        <w:numPr>
          <w:ilvl w:val="0"/>
          <w:numId w:val="10"/>
        </w:numPr>
        <w:spacing w:after="160" w:line="280" w:lineRule="auto"/>
      </w:pPr>
      <w:r>
        <w:t>If a participant moves or performs follow-up in a new jurisdiction, re-evaluate the ruleset and apply the stricter applicable control until local review is complete.</w:t>
      </w:r>
    </w:p>
    <w:p>
      <w:pPr>
        <w:numPr>
          <w:ilvl w:val="0"/>
          <w:numId w:val="10"/>
        </w:numPr>
        <w:spacing w:after="160" w:line="280" w:lineRule="auto"/>
      </w:pPr>
      <w:r>
        <w:t>Open-source releases must exclude secrets, repository credentials, production endpoints, consent records, data schemas containing real participant examples, and all participant data. Demonstration data must be synthetic or separately approved.</w:t>
      </w:r>
    </w:p>
    <w:p>
      <w:pPr>
        <w:numPr>
          <w:ilvl w:val="0"/>
          <w:numId w:val="10"/>
        </w:numPr>
        <w:spacing w:after="160" w:line="280" w:lineRule="auto"/>
      </w:pPr>
      <w:r>
        <w:t>The app must generate a human-readable signed copy and a machine-verifiable consent receipt. The receipt records choices and provenance but is not a substitute for the participant-facing form.</w:t>
      </w:r>
    </w:p>
    <w:p>
      <w:pPr>
        <w:pStyle w:val="Heading2"/>
      </w:pPr>
      <w:r>
        <w:t>4. Consent receipt minimum record</w:t>
      </w:r>
    </w:p>
    <w:tbl>
      <w:tblPr>
        <w:tblStyle w:val="TableGrid"/>
        <w:tblW w:type="dxa" w:w="9360"/>
        <w:jc w:val="left"/>
        <w:tblLayout w:type="fixed"/>
        <w:tblLook w:firstColumn="1" w:firstRow="1" w:lastColumn="0" w:lastRow="0" w:noHBand="0" w:noVBand="1" w:val="04A0"/>
        <w:tblInd w:type="dxa" w:w="120"/>
      </w:tblPr>
      <w:tblGrid>
        <w:gridCol w:w="2246"/>
        <w:gridCol w:w="7114"/>
      </w:tblGrid>
      <w:tr>
        <w:trPr>
          <w:tblHeader w:val="true"/>
          <w:cantSplit/>
        </w:trPr>
        <w:tc>
          <w:tcPr>
            <w:tcW w:type="dxa" w:w="2246"/>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Record group</w:t>
            </w:r>
          </w:p>
        </w:tc>
        <w:tc>
          <w:tcPr>
            <w:tcW w:type="dxa" w:w="711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8"/>
              </w:rPr>
              <w:t>Minimum fields</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Identity/provenance</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Study ID; participant code; signer type; LAR authority reference; signature verification; consent obtainer; IRB/site.</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Ruleset</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Form version/hash; module versions; jurisdiction decision inputs; language; accessibility mode; timestamps/time zone.</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Choices</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Required acknowledgements; every optional yes/no; selected repositories; raw/derived handling; transfer acknowledgement/consent where applicable.</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Delivery</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Signed-copy format, delivery time, participant access method, updated notice delivery.</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Lifecycle</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Re-consent, withdrawal, correction, deletion, restriction, portability, appeal, breach notice, and recipient-cascade events.</w:t>
            </w:r>
          </w:p>
        </w:tc>
      </w:tr>
      <w:tr>
        <w:trPr>
          <w:cantSplit/>
        </w:trPr>
        <w:tc>
          <w:tcPr>
            <w:tcW w:type="dxa" w:w="2246"/>
            <w:vAlign w:val="center"/>
            <w:tcMar>
              <w:top w:w="80" w:type="dxa"/>
              <w:bottom w:w="80" w:type="dxa"/>
              <w:start w:w="120" w:type="dxa"/>
              <w:end w:w="120" w:type="dxa"/>
            </w:tcMar>
          </w:tcPr>
          <w:p>
            <w:pPr>
              <w:spacing w:before="0" w:after="40" w:line="252" w:lineRule="auto"/>
            </w:pPr>
            <w:r/>
            <w:r>
              <w:rPr>
                <w:rFonts w:ascii="Calibri" w:hAnsi="Calibri"/>
                <w:b w:val="0"/>
                <w:color w:val="000000"/>
                <w:sz w:val="18"/>
              </w:rPr>
              <w:t>Data lineage</w:t>
            </w:r>
          </w:p>
        </w:tc>
        <w:tc>
          <w:tcPr>
            <w:tcW w:type="dxa" w:w="7114"/>
            <w:vAlign w:val="center"/>
            <w:tcMar>
              <w:top w:w="80" w:type="dxa"/>
              <w:bottom w:w="80" w:type="dxa"/>
              <w:start w:w="120" w:type="dxa"/>
              <w:end w:w="120" w:type="dxa"/>
            </w:tcMar>
          </w:tcPr>
          <w:p>
            <w:pPr>
              <w:spacing w:before="0" w:after="40" w:line="252" w:lineRule="auto"/>
            </w:pPr>
            <w:r/>
            <w:r>
              <w:rPr>
                <w:rFonts w:ascii="Calibri" w:hAnsi="Calibri"/>
                <w:b w:val="0"/>
                <w:color w:val="000000"/>
                <w:sz w:val="18"/>
              </w:rPr>
              <w:t>Repository record IDs; copies; processors/recipients; models/datasets that used the record; deletion/unlearning assessment status.</w:t>
            </w:r>
          </w:p>
        </w:tc>
      </w:tr>
    </w:tbl>
    <w:p>
      <w:pPr>
        <w:spacing w:after="40"/>
      </w:pPr>
    </w:p>
    <w:p>
      <w:pPr>
        <w:pStyle w:val="Heading2"/>
      </w:pPr>
      <w:r>
        <w:t>5. Capacity and ALS-FTD safeguards</w:t>
      </w:r>
    </w:p>
    <w:p>
      <w:pPr>
        <w:numPr>
          <w:ilvl w:val="0"/>
          <w:numId w:val="10"/>
        </w:numPr>
        <w:spacing w:after="160" w:line="280" w:lineRule="auto"/>
      </w:pPr>
      <w:r>
        <w:t>Use a protocol-defined, decision-specific capacity process; do not infer incapacity from diagnosis, dysarthria, weakness, poor dexterity, eye-gaze access, language difference, or cognitive task score alone.</w:t>
      </w:r>
    </w:p>
    <w:p>
      <w:pPr>
        <w:numPr>
          <w:ilvl w:val="0"/>
          <w:numId w:val="10"/>
        </w:numPr>
        <w:spacing w:after="160" w:line="280" w:lineRule="auto"/>
      </w:pPr>
      <w:r>
        <w:t>Offer communication accommodations before capacity is assessed. Record the accommodation and whether it changed comprehension or response ability.</w:t>
      </w:r>
    </w:p>
    <w:p>
      <w:pPr>
        <w:numPr>
          <w:ilvl w:val="0"/>
          <w:numId w:val="10"/>
        </w:numPr>
        <w:spacing w:after="160" w:line="280" w:lineRule="auto"/>
      </w:pPr>
      <w:r>
        <w:t>Separate cognitive/behavioral interpretation from dysarthria, respiratory fatigue, hand weakness, gait impairment, ocular-motor limitations, and device-access constraints in ALS and ALS-FTD.</w:t>
      </w:r>
    </w:p>
    <w:p>
      <w:pPr>
        <w:numPr>
          <w:ilvl w:val="0"/>
          <w:numId w:val="10"/>
        </w:numPr>
        <w:spacing w:after="160" w:line="280" w:lineRule="auto"/>
      </w:pPr>
      <w:r>
        <w:t>Verify LAR authority under the law applicable to the participant/site; collect participant assent where possible; document dissent; and define a re-consent schedule because capacity can fluctuate or decline.</w:t>
      </w:r>
    </w:p>
    <w:p>
      <w:pPr>
        <w:numPr>
          <w:ilvl w:val="0"/>
          <w:numId w:val="10"/>
        </w:numPr>
        <w:spacing w:after="160" w:line="280" w:lineRule="auto"/>
      </w:pPr>
      <w:r>
        <w:t>Treat caregiver/study-partner data as data about a separate person. Avoid allowing the participant or representative to authorize capture of the study partner's voice, face, contact details, or personal observations without that person's permission.</w:t>
      </w:r>
    </w:p>
    <w:p>
      <w:pPr>
        <w:pStyle w:val="Heading2"/>
      </w:pPr>
      <w:r>
        <w:t>6. Pre-launch approval checklist</w:t>
      </w:r>
    </w:p>
    <w:p>
      <w:pPr>
        <w:spacing w:after="100"/>
        <w:ind w:left="259"/>
      </w:pPr>
      <w:r>
        <w:t>[ ] Final protocol, risk analysis, and participant materials approved by the responsible IRB/EC.</w:t>
      </w:r>
    </w:p>
    <w:p>
      <w:pPr>
        <w:spacing w:after="100"/>
        <w:ind w:left="259"/>
      </w:pPr>
      <w:r>
        <w:t>[ ] Controller, joint-controller, processor, sponsor, institution, and repository roles documented in contracts and participant language.</w:t>
      </w:r>
    </w:p>
    <w:p>
      <w:pPr>
        <w:spacing w:after="100"/>
        <w:ind w:left="259"/>
      </w:pPr>
      <w:r>
        <w:t>[ ] HIPAA/BAA/authorization or waiver analysis complete for every U.S. institutional data flow.</w:t>
      </w:r>
    </w:p>
    <w:p>
      <w:pPr>
        <w:spacing w:after="100"/>
        <w:ind w:left="259"/>
      </w:pPr>
      <w:r>
        <w:t>[ ] NIH Certificate of Confidentiality analysis complete when identifiable sensitive research is NIH-funded; downstream agreements and participant language match the result.</w:t>
      </w:r>
    </w:p>
    <w:p>
      <w:pPr>
        <w:spacing w:after="100"/>
        <w:ind w:left="259"/>
      </w:pPr>
      <w:r>
        <w:t>[ ] State biometric, consumer-health, and comprehensive privacy analysis current; public biometric policy and sensitive-data consent active where required.</w:t>
      </w:r>
    </w:p>
    <w:p>
      <w:pPr>
        <w:spacing w:after="100"/>
        <w:ind w:left="259"/>
      </w:pPr>
      <w:r>
        <w:t>[ ] State audio/video interception, recording-consent, medical-information, data-security, breach, and genetic-information rules reviewed for every remote collection location and modality.</w:t>
      </w:r>
    </w:p>
    <w:p>
      <w:pPr>
        <w:spacing w:after="100"/>
        <w:ind w:left="259"/>
      </w:pPr>
      <w:r>
        <w:t>[ ] GDPR/UK GDPR lawful bases, Article 9 conditions, DPIA, transfer mechanism, representatives/DPOs, and Member State/UK research safeguards documented.</w:t>
      </w:r>
    </w:p>
    <w:p>
      <w:pPr>
        <w:spacing w:after="100"/>
        <w:ind w:left="259"/>
      </w:pPr>
      <w:r>
        <w:t>[ ] Data use agreements, repository terms, SCCs/IDTA/addenda, vendor agreements, and deletion/breach clauses executed.</w:t>
      </w:r>
    </w:p>
    <w:p>
      <w:pPr>
        <w:spacing w:after="100"/>
        <w:ind w:left="259"/>
      </w:pPr>
      <w:r>
        <w:t>[ ] Destination registry completed, security controls tested, backup regions verified, advertising/analytics trackers disabled, and data-flow map validated.</w:t>
      </w:r>
    </w:p>
    <w:p>
      <w:pPr>
        <w:spacing w:after="100"/>
        <w:ind w:left="259"/>
      </w:pPr>
      <w:r>
        <w:t>[ ] Accessible e-consent, identity/signature verification, comprehension support, LAR/assent, caregiver consent, translations, and copy delivery tested.</w:t>
      </w:r>
    </w:p>
    <w:p>
      <w:pPr>
        <w:spacing w:after="100"/>
        <w:ind w:left="259"/>
      </w:pPr>
      <w:r>
        <w:t>[ ] Withdrawal/deletion/correction/appeal and recipient-cascade workflows tested end to end, including backups and model/dataset lineage.</w:t>
      </w:r>
    </w:p>
    <w:p>
      <w:pPr>
        <w:spacing w:after="100"/>
        <w:ind w:left="259"/>
      </w:pPr>
      <w:r>
        <w:t>[ ] Unknown jurisdiction, missing field, ruleset conflict, or expired legal review reliably blocks recording and upload.</w:t>
      </w:r>
    </w:p>
    <w:p>
      <w:r>
        <w:br w:type="page"/>
      </w:r>
    </w:p>
    <w:p>
      <w:pPr>
        <w:pStyle w:val="Heading2"/>
      </w:pPr>
      <w:r>
        <w:t>7. Jurisdiction activation map</w:t>
      </w:r>
    </w:p>
    <w:tbl>
      <w:tblPr>
        <w:tblStyle w:val="TableGrid"/>
        <w:tblW w:type="dxa" w:w="9360"/>
        <w:jc w:val="left"/>
        <w:tblLayout w:type="fixed"/>
        <w:tblLook w:firstColumn="1" w:firstRow="1" w:lastColumn="0" w:lastRow="0" w:noHBand="0" w:noVBand="1" w:val="04A0"/>
        <w:tblInd w:type="dxa" w:w="120"/>
      </w:tblPr>
      <w:tblGrid>
        <w:gridCol w:w="1872"/>
        <w:gridCol w:w="3838"/>
        <w:gridCol w:w="3650"/>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Trigger</w:t>
            </w:r>
          </w:p>
        </w:tc>
        <w:tc>
          <w:tcPr>
            <w:tcW w:type="dxa" w:w="3838"/>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Required module/action</w:t>
            </w:r>
          </w:p>
        </w:tc>
        <w:tc>
          <w:tcPr>
            <w:tcW w:type="dxa" w:w="3650"/>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Critical deployment note</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U.S. HHS-regulated research</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Core consent + IRB-approved e-consent process; Common Rule elements and concise key-information opening.</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Broad consent applies only to storage/maintenance and secondary use of identifiable private information/biospecimens; study consent remains study-specific.</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HIPAA PHI from covered entity/BA</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C or documented waiver/other permission; covered entity-approved privacy language.</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Research consent and HIPAA authorization are different permissions even when combined.</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Illinois biometric identifiers/information</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D + current public retention/destruction policy + data-flow match.</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Written notice of collection/storage, purpose, term, written release, disclosure limits, no sale/profit, and destruction rule.</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Texas biometric identifier for commercial purpose</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E and controller analysis.</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Inform before capture; limited sale/disclosure; destroy no later than one year after purpose expires unless an exception applies.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Washington consumer health data</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F unless a documented exemption applies; separate collection and sharing consents.</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Sale requires a separate authorization and is disabled in this template; deletion must cascade to recipients.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California/Colorado/Maryland/other state privacy</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G using counsel-approved state variant; rights and sensitive-data controls in app.</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Research/entity/data exemptions vary and do not automatically cover a commercial research platform.</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EU/EEA</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H + ethics consent + GDPR notice/lawful-basis configuration + transfer safeguards.</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Data residency choice is not a Chapter V transfer mechanism; consent to research is not automatically GDPR consent.</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United Kingdom</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I + UK GDPR/DPA 2018 configuration + UK transfer mechanism.</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Name ICO route and any research-rights limitations; explicit consent only where it is the selected condition.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Canada</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J + applicable federal/provincial privacy, health-information, and ethics configuration.</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Meaningful consent and cross-border transparency are distinct from a participant's repository selection; Quebec requires a dedicated assessment.</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Australia</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K + APP, research-ethics, and applicable State/Territory health-records configuration.</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Identify likely overseas recipient countries and document the APP 8 accountability/exception analysis.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Brazil</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L + LGPD/research-ethics configuration and approved international-transfer mechanism.</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Name the legal basis for sensitive data; do not treat a commercial platform as a research body without analysis.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7"/>
              </w:rPr>
              <w:t>Any other/unknown jurisdiction</w:t>
            </w:r>
          </w:p>
        </w:tc>
        <w:tc>
          <w:tcPr>
            <w:tcW w:type="dxa" w:w="3838"/>
            <w:vAlign w:val="center"/>
            <w:tcMar>
              <w:top w:w="80" w:type="dxa"/>
              <w:bottom w:w="80" w:type="dxa"/>
              <w:start w:w="120" w:type="dxa"/>
              <w:end w:w="120" w:type="dxa"/>
            </w:tcMar>
          </w:tcPr>
          <w:p>
            <w:pPr>
              <w:spacing w:before="0" w:after="40" w:line="252" w:lineRule="auto"/>
            </w:pPr>
            <w:r/>
            <w:r>
              <w:rPr>
                <w:rFonts w:ascii="Calibri" w:hAnsi="Calibri"/>
                <w:b w:val="0"/>
                <w:color w:val="000000"/>
                <w:sz w:val="17"/>
              </w:rPr>
              <w:t>Module M deployment hold pending local approval.</w:t>
            </w:r>
          </w:p>
        </w:tc>
        <w:tc>
          <w:tcPr>
            <w:tcW w:type="dxa" w:w="3650"/>
            <w:vAlign w:val="center"/>
            <w:tcMar>
              <w:top w:w="80" w:type="dxa"/>
              <w:bottom w:w="80" w:type="dxa"/>
              <w:start w:w="120" w:type="dxa"/>
              <w:end w:w="120" w:type="dxa"/>
            </w:tcMar>
          </w:tcPr>
          <w:p>
            <w:pPr>
              <w:spacing w:before="0" w:after="40" w:line="252" w:lineRule="auto"/>
            </w:pPr>
            <w:r/>
            <w:r>
              <w:rPr>
                <w:rFonts w:ascii="Calibri" w:hAnsi="Calibri"/>
                <w:b w:val="0"/>
                <w:color w:val="000000"/>
                <w:sz w:val="17"/>
              </w:rPr>
              <w:t>No recording/upload until an approved localized ruleset is installed.</w:t>
            </w:r>
          </w:p>
        </w:tc>
      </w:tr>
    </w:tbl>
    <w:p>
      <w:pPr>
        <w:spacing w:after="40"/>
      </w:pPr>
    </w:p>
    <w:p>
      <w:pPr>
        <w:pStyle w:val="Heading2"/>
      </w:pPr>
      <w:r>
        <w:t>8. U.S. state rules-registry starter profiles</w:t>
      </w:r>
    </w:p>
    <w:p>
      <w:r>
        <w:t>These profiles seed the consent engine; they are not a substitute for a current fifty-state review. Resolve both residence and physical collection location. Apply the strictest active rule when more than one profile applies, and normalize sensitive-data revocation to 15 days where operationally feasible.</w:t>
      </w:r>
    </w:p>
    <w:tbl>
      <w:tblPr>
        <w:tblStyle w:val="TableGrid"/>
        <w:tblW w:type="dxa" w:w="9360"/>
        <w:jc w:val="left"/>
        <w:tblLayout w:type="fixed"/>
        <w:tblLook w:firstColumn="1" w:firstRow="1" w:lastColumn="0" w:lastRow="0" w:noHBand="0" w:noVBand="1" w:val="04A0"/>
        <w:tblInd w:type="dxa" w:w="120"/>
      </w:tblPr>
      <w:tblGrid>
        <w:gridCol w:w="1872"/>
        <w:gridCol w:w="3931"/>
        <w:gridCol w:w="3557"/>
      </w:tblGrid>
      <w:tr>
        <w:trPr>
          <w:tblHeader w:val="true"/>
          <w:cantSplit/>
        </w:trPr>
        <w:tc>
          <w:tcPr>
            <w:tcW w:type="dxa" w:w="1872"/>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6"/>
              </w:rPr>
              <w:t>Profile</w:t>
            </w:r>
          </w:p>
        </w:tc>
        <w:tc>
          <w:tcPr>
            <w:tcW w:type="dxa" w:w="3931"/>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6"/>
              </w:rPr>
              <w:t>Consent / notice trigger</w:t>
            </w:r>
          </w:p>
        </w:tc>
        <w:tc>
          <w:tcPr>
            <w:tcW w:type="dxa" w:w="3557"/>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6"/>
              </w:rPr>
              <w:t>Retention, withdrawal, or deployment control</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Illinois BIPA</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Separate written biometric notice/release for covered biometric identifiers or information; purpose, term, disclosures, public policy; no sale/profit.</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Destroy at purpose completion or three years after last interaction, whichever comes first, subject to lawful exceptions.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Texas biometric</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Inform and obtain consent before capture of a covered biometric identifier for commercial purpose; restrict sale/lease/disclosure.</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Destroy within a reasonable time, no later than one year after purpose expires, subject to lawful exceptions.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Washington / Nevada consumer health</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Separate, unbundled opt-ins for collection and sharing; name data, purpose, recipients, and withdrawal method. Sale remains disabled.</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Propagate deletion. Washington backups: up to six months; Nevada backups: up to two years. Recheck physical collection location.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Colorado biometric</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Notice, consent, public policy, incident plan, processor disclosures, and no sale/lease/trade for covered biometric data.</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Delete at purpose completion, 24 months after last interaction, or an annual-review finding that retention is unnecessary; after that finding, delete within 45 days, subject to the limited statutory extension.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California CCPA / CMIA</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Notice at or before collection; CCPA rights/choices where in scope. Use a separate CMIA-compliant authorization if the app/data flow meets that law's trigger.</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Honor applicable access, correction, deletion, limit, opt-out, and authorization requirements; do not collapse notice into consent.</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Maryland</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Sensitive collection must be strictly necessary for the specifically requested service; consent does not cure unnecessary collection. No sensitive-data sale.</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Easy revocation; stop affected processing within the state deadline, configured no later than 30 days.</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Opt-in comprehensive states</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Affirmative, specific, unbundled consent for in-scope sensitive data; new consent for materially incompatible purposes where required.</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Profiles include CT, DE, IN, KY, MN, MT, NE, NH, NJ, OR, RI, TN, TX, and VA. Normalize revocation to 15 days when feasible; state thresholds/exemptions vary.</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Opt-out states</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Iowa and Utah use clear notice and opportunity to opt out for in-scope sensitive processing; the product may use the stronger affirmative opt-in workflow.</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Do not imply that a voluntary higher standard changes statutory rights or creates a research exemption.</w:t>
            </w:r>
          </w:p>
        </w:tc>
      </w:tr>
      <w:tr>
        <w:trPr>
          <w:cantSplit/>
        </w:trPr>
        <w:tc>
          <w:tcPr>
            <w:tcW w:type="dxa" w:w="1872"/>
            <w:vAlign w:val="center"/>
            <w:tcMar>
              <w:top w:w="80" w:type="dxa"/>
              <w:bottom w:w="80" w:type="dxa"/>
              <w:start w:w="120" w:type="dxa"/>
              <w:end w:w="120" w:type="dxa"/>
            </w:tcMar>
          </w:tcPr>
          <w:p>
            <w:pPr>
              <w:spacing w:before="0" w:after="40" w:line="252" w:lineRule="auto"/>
            </w:pPr>
            <w:r/>
            <w:r>
              <w:rPr>
                <w:rFonts w:ascii="Calibri" w:hAnsi="Calibri"/>
                <w:b w:val="0"/>
                <w:color w:val="000000"/>
                <w:sz w:val="16"/>
              </w:rPr>
              <w:t>Florida / other threshold-specific</w:t>
            </w:r>
          </w:p>
        </w:tc>
        <w:tc>
          <w:tcPr>
            <w:tcW w:type="dxa" w:w="3931"/>
            <w:vAlign w:val="center"/>
            <w:tcMar>
              <w:top w:w="80" w:type="dxa"/>
              <w:bottom w:w="80" w:type="dxa"/>
              <w:start w:w="120" w:type="dxa"/>
              <w:end w:w="120" w:type="dxa"/>
            </w:tcMar>
          </w:tcPr>
          <w:p>
            <w:pPr>
              <w:spacing w:before="0" w:after="40" w:line="252" w:lineRule="auto"/>
            </w:pPr>
            <w:r/>
            <w:r>
              <w:rPr>
                <w:rFonts w:ascii="Calibri" w:hAnsi="Calibri"/>
                <w:b w:val="0"/>
                <w:color w:val="000000"/>
                <w:sz w:val="16"/>
              </w:rPr>
              <w:t>Apply the exact entity, revenue, platform, data-sale, nonprofit, university, HIPAA, and research conditions in the current profile.</w:t>
            </w:r>
          </w:p>
        </w:tc>
        <w:tc>
          <w:tcPr>
            <w:tcW w:type="dxa" w:w="3557"/>
            <w:vAlign w:val="center"/>
            <w:tcMar>
              <w:top w:w="80" w:type="dxa"/>
              <w:bottom w:w="80" w:type="dxa"/>
              <w:start w:w="120" w:type="dxa"/>
              <w:end w:w="120" w:type="dxa"/>
            </w:tcMar>
          </w:tcPr>
          <w:p>
            <w:pPr>
              <w:spacing w:before="0" w:after="40" w:line="252" w:lineRule="auto"/>
            </w:pPr>
            <w:r/>
            <w:r>
              <w:rPr>
                <w:rFonts w:ascii="Calibri" w:hAnsi="Calibri"/>
                <w:b w:val="0"/>
                <w:color w:val="000000"/>
                <w:sz w:val="16"/>
              </w:rPr>
              <w:t>A narrow omnibus scope does not remove breach, security, health-record, wiretap/recording, or other applicable duties.</w:t>
            </w:r>
          </w:p>
        </w:tc>
      </w:tr>
    </w:tbl>
    <w:p>
      <w:pPr>
        <w:spacing w:after="40"/>
      </w:pPr>
    </w:p>
    <w:p>
      <w:r>
        <w:br w:type="page"/>
      </w:r>
    </w:p>
    <w:p>
      <w:pPr>
        <w:pStyle w:val="Heading1"/>
      </w:pPr>
      <w:r>
        <w:t>OFFICIAL LEGAL AND REGULATORY REVIEW SOURCES</w:t>
      </w:r>
    </w:p>
    <w:p>
      <w:r>
        <w:t>Current through 31 July 2026 for this drafting pass. These sources support localization but do not replace counsel, IRB/EC review, Member State/country law, regulator guidance, or a current fifty-state analysis. Draft EDPB materials are identified as draft.</w:t>
      </w:r>
    </w:p>
    <w:p>
      <w:pPr>
        <w:spacing w:after="100"/>
        <w:ind w:left="317" w:hanging="317"/>
      </w:pPr>
      <w:r>
        <w:rPr>
          <w:rFonts w:ascii="Calibri" w:hAnsi="Calibri"/>
          <w:b/>
          <w:color w:val="0B2545"/>
          <w:sz w:val="19"/>
        </w:rPr>
        <w:t xml:space="preserve">1. 45 CFR 46.116 - General requirements and elements of informed consent. </w:t>
      </w:r>
      <w:hyperlink r:id="rId11">
        <w:r>
          <w:rPr>
            <w:color w:val="2E74B5"/>
            <w:u w:val="single"/>
          </w:rPr>
          <w:t>Official source</w:t>
        </w:r>
      </w:hyperlink>
      <w:r>
        <w:rPr>
          <w:rFonts w:ascii="Calibri" w:hAnsi="Calibri"/>
          <w:color w:val="5B6573"/>
          <w:sz w:val="19"/>
        </w:rPr>
        <w:t xml:space="preserve"> Official eCFR; includes key-information opening, basic/additional elements, broad consent, and non-preemption.</w:t>
      </w:r>
    </w:p>
    <w:p>
      <w:pPr>
        <w:spacing w:after="100"/>
        <w:ind w:left="317" w:hanging="317"/>
      </w:pPr>
      <w:r>
        <w:rPr>
          <w:rFonts w:ascii="Calibri" w:hAnsi="Calibri"/>
          <w:b/>
          <w:color w:val="0B2545"/>
          <w:sz w:val="19"/>
        </w:rPr>
        <w:t xml:space="preserve">2. HHS/OHRP and FDA - Use of Electronic Informed Consent: Questions and Answers. </w:t>
      </w:r>
      <w:hyperlink r:id="rId12">
        <w:r>
          <w:rPr>
            <w:color w:val="2E74B5"/>
            <w:u w:val="single"/>
          </w:rPr>
          <w:t>Official source</w:t>
        </w:r>
      </w:hyperlink>
      <w:r>
        <w:rPr>
          <w:rFonts w:ascii="Calibri" w:hAnsi="Calibri"/>
          <w:color w:val="5B6573"/>
          <w:sz w:val="19"/>
        </w:rPr>
        <w:t xml:space="preserve"> Remote e-consent must contain required elements and support understanding, questions, and a copy.</w:t>
      </w:r>
    </w:p>
    <w:p>
      <w:pPr>
        <w:spacing w:after="100"/>
        <w:ind w:left="317" w:hanging="317"/>
      </w:pPr>
      <w:r>
        <w:rPr>
          <w:rFonts w:ascii="Calibri" w:hAnsi="Calibri"/>
          <w:b/>
          <w:color w:val="0B2545"/>
          <w:sz w:val="19"/>
        </w:rPr>
        <w:t xml:space="preserve">3. HHS/OHRP - Informed Consent FAQs for adults lacking capacity. </w:t>
      </w:r>
      <w:hyperlink r:id="rId13">
        <w:r>
          <w:rPr>
            <w:color w:val="2E74B5"/>
            <w:u w:val="single"/>
          </w:rPr>
          <w:t>Official source</w:t>
        </w:r>
      </w:hyperlink>
      <w:r>
        <w:rPr>
          <w:rFonts w:ascii="Calibri" w:hAnsi="Calibri"/>
          <w:color w:val="5B6573"/>
          <w:sz w:val="19"/>
        </w:rPr>
        <w:t xml:space="preserve"> An adult who lacks capacity generally requires a legally authorized representative unless the IRB has approved a waiver.</w:t>
      </w:r>
    </w:p>
    <w:p>
      <w:pPr>
        <w:spacing w:after="100"/>
        <w:ind w:left="317" w:hanging="317"/>
      </w:pPr>
      <w:r>
        <w:rPr>
          <w:rFonts w:ascii="Calibri" w:hAnsi="Calibri"/>
          <w:b/>
          <w:color w:val="0B2545"/>
          <w:sz w:val="19"/>
        </w:rPr>
        <w:t xml:space="preserve">4. HHS - HIPAA Research Uses and Disclosures. </w:t>
      </w:r>
      <w:hyperlink r:id="rId14">
        <w:r>
          <w:rPr>
            <w:color w:val="2E74B5"/>
            <w:u w:val="single"/>
          </w:rPr>
          <w:t>Official source</w:t>
        </w:r>
      </w:hyperlink>
      <w:r>
        <w:rPr>
          <w:rFonts w:ascii="Calibri" w:hAnsi="Calibri"/>
          <w:color w:val="5B6573"/>
          <w:sz w:val="19"/>
        </w:rPr>
        <w:t xml:space="preserve"> Explains research authorization, waivers, combination with consent, and revocation limits.</w:t>
      </w:r>
    </w:p>
    <w:p>
      <w:pPr>
        <w:spacing w:after="100"/>
        <w:ind w:left="317" w:hanging="317"/>
      </w:pPr>
      <w:r>
        <w:rPr>
          <w:rFonts w:ascii="Calibri" w:hAnsi="Calibri"/>
          <w:b/>
          <w:color w:val="0B2545"/>
          <w:sz w:val="19"/>
        </w:rPr>
        <w:t xml:space="preserve">5. 45 CFR 164.508 - HIPAA uses and disclosures requiring authorization. </w:t>
      </w:r>
      <w:hyperlink r:id="rId15">
        <w:r>
          <w:rPr>
            <w:color w:val="2E74B5"/>
            <w:u w:val="single"/>
          </w:rPr>
          <w:t>Official source</w:t>
        </w:r>
      </w:hyperlink>
      <w:r>
        <w:rPr>
          <w:rFonts w:ascii="Calibri" w:hAnsi="Calibri"/>
          <w:color w:val="5B6573"/>
          <w:sz w:val="19"/>
        </w:rPr>
        <w:t xml:space="preserve"> Required authorization elements, compound authorizations, conditioning rules, revocation, representative authority, and copy requirements.</w:t>
      </w:r>
    </w:p>
    <w:p>
      <w:pPr>
        <w:spacing w:after="100"/>
        <w:ind w:left="317" w:hanging="317"/>
      </w:pPr>
      <w:r>
        <w:rPr>
          <w:rFonts w:ascii="Calibri" w:hAnsi="Calibri"/>
          <w:b/>
          <w:color w:val="0B2545"/>
          <w:sz w:val="19"/>
        </w:rPr>
        <w:t xml:space="preserve">6. HHS/OHRP - Withdrawal of subjects from research. </w:t>
      </w:r>
      <w:hyperlink r:id="rId16">
        <w:r>
          <w:rPr>
            <w:color w:val="2E74B5"/>
            <w:u w:val="single"/>
          </w:rPr>
          <w:t>Official source</w:t>
        </w:r>
      </w:hyperlink>
      <w:r>
        <w:rPr>
          <w:rFonts w:ascii="Calibri" w:hAnsi="Calibri"/>
          <w:color w:val="5B6573"/>
          <w:sz w:val="19"/>
        </w:rPr>
        <w:t xml:space="preserve"> Distinguishes stopping participation from continued handling of already collected research data.</w:t>
      </w:r>
    </w:p>
    <w:p>
      <w:pPr>
        <w:spacing w:after="100"/>
        <w:ind w:left="317" w:hanging="317"/>
      </w:pPr>
      <w:r>
        <w:rPr>
          <w:rFonts w:ascii="Calibri" w:hAnsi="Calibri"/>
          <w:b/>
          <w:color w:val="0B2545"/>
          <w:sz w:val="19"/>
        </w:rPr>
        <w:t xml:space="preserve">7. NIH - Certificates of Confidentiality. </w:t>
      </w:r>
      <w:hyperlink r:id="rId17">
        <w:r>
          <w:rPr>
            <w:color w:val="2E74B5"/>
            <w:u w:val="single"/>
          </w:rPr>
          <w:t>Official source</w:t>
        </w:r>
      </w:hyperlink>
      <w:r>
        <w:rPr>
          <w:rFonts w:ascii="Calibri" w:hAnsi="Calibri"/>
          <w:color w:val="5B6573"/>
          <w:sz w:val="19"/>
        </w:rPr>
        <w:t xml:space="preserve"> Confidentiality protections and responsibilities for qualifying NIH-funded identifiable sensitive research.</w:t>
      </w:r>
    </w:p>
    <w:p>
      <w:pPr>
        <w:spacing w:after="100"/>
        <w:ind w:left="317" w:hanging="317"/>
      </w:pPr>
      <w:r>
        <w:rPr>
          <w:rFonts w:ascii="Calibri" w:hAnsi="Calibri"/>
          <w:b/>
          <w:color w:val="0B2545"/>
          <w:sz w:val="19"/>
        </w:rPr>
        <w:t xml:space="preserve">8. FTC - Policy Statement on Biometric Information and Section 5. </w:t>
      </w:r>
      <w:hyperlink r:id="rId18">
        <w:r>
          <w:rPr>
            <w:color w:val="2E74B5"/>
            <w:u w:val="single"/>
          </w:rPr>
          <w:t>Official source</w:t>
        </w:r>
      </w:hyperlink>
      <w:r>
        <w:rPr>
          <w:rFonts w:ascii="Calibri" w:hAnsi="Calibri"/>
          <w:color w:val="5B6573"/>
          <w:sz w:val="19"/>
        </w:rPr>
        <w:t xml:space="preserve"> Highlights risk assessment, substantiation, vendor review, safeguards, training, and monitoring.</w:t>
      </w:r>
    </w:p>
    <w:p>
      <w:pPr>
        <w:spacing w:after="100"/>
        <w:ind w:left="317" w:hanging="317"/>
      </w:pPr>
      <w:r>
        <w:rPr>
          <w:rFonts w:ascii="Calibri" w:hAnsi="Calibri"/>
          <w:b/>
          <w:color w:val="0B2545"/>
          <w:sz w:val="19"/>
        </w:rPr>
        <w:t xml:space="preserve">9. 16 CFR Part 318 - FTC Health Breach Notification Rule. </w:t>
      </w:r>
      <w:hyperlink r:id="rId19">
        <w:r>
          <w:rPr>
            <w:color w:val="2E74B5"/>
            <w:u w:val="single"/>
          </w:rPr>
          <w:t>Official source</w:t>
        </w:r>
      </w:hyperlink>
      <w:r>
        <w:rPr>
          <w:rFonts w:ascii="Calibri" w:hAnsi="Calibri"/>
          <w:color w:val="5B6573"/>
          <w:sz w:val="19"/>
        </w:rPr>
        <w:t xml:space="preserve"> May apply to health apps and related entities outside HIPAA.</w:t>
      </w:r>
    </w:p>
    <w:p>
      <w:pPr>
        <w:spacing w:after="100"/>
        <w:ind w:left="317" w:hanging="317"/>
      </w:pPr>
      <w:r>
        <w:rPr>
          <w:rFonts w:ascii="Calibri" w:hAnsi="Calibri"/>
          <w:b/>
          <w:color w:val="0B2545"/>
          <w:sz w:val="19"/>
        </w:rPr>
        <w:t xml:space="preserve">10. Illinois 740 ILCS 14/15 - Biometric Information Privacy Act. </w:t>
      </w:r>
      <w:hyperlink r:id="rId20">
        <w:r>
          <w:rPr>
            <w:color w:val="2E74B5"/>
            <w:u w:val="single"/>
          </w:rPr>
          <w:t>Official source</w:t>
        </w:r>
      </w:hyperlink>
      <w:r>
        <w:rPr>
          <w:rFonts w:ascii="Calibri" w:hAnsi="Calibri"/>
          <w:color w:val="5B6573"/>
          <w:sz w:val="19"/>
        </w:rPr>
        <w:t xml:space="preserve"> Written notice/release, purpose/term, retention/destruction, no sale/profit, disclosure limits, safeguards.</w:t>
      </w:r>
    </w:p>
    <w:p>
      <w:pPr>
        <w:spacing w:after="100"/>
        <w:ind w:left="317" w:hanging="317"/>
      </w:pPr>
      <w:r>
        <w:rPr>
          <w:rFonts w:ascii="Calibri" w:hAnsi="Calibri"/>
          <w:b/>
          <w:color w:val="0B2545"/>
          <w:sz w:val="19"/>
        </w:rPr>
        <w:t xml:space="preserve">11. Texas Business &amp; Commerce Code Chapter 503 - Biometric Identifiers. </w:t>
      </w:r>
      <w:hyperlink r:id="rId21">
        <w:r>
          <w:rPr>
            <w:color w:val="2E74B5"/>
            <w:u w:val="single"/>
          </w:rPr>
          <w:t>Official source</w:t>
        </w:r>
      </w:hyperlink>
      <w:r>
        <w:rPr>
          <w:rFonts w:ascii="Calibri" w:hAnsi="Calibri"/>
          <w:color w:val="5B6573"/>
          <w:sz w:val="19"/>
        </w:rPr>
        <w:t xml:space="preserve"> Advance notice/consent, limits on sale/disclosure, safeguards, and destruction timing.</w:t>
      </w:r>
    </w:p>
    <w:p>
      <w:pPr>
        <w:spacing w:after="100"/>
        <w:ind w:left="317" w:hanging="317"/>
      </w:pPr>
      <w:r>
        <w:rPr>
          <w:rFonts w:ascii="Calibri" w:hAnsi="Calibri"/>
          <w:b/>
          <w:color w:val="0B2545"/>
          <w:sz w:val="19"/>
        </w:rPr>
        <w:t xml:space="preserve">12. Washington RCW 19.373 - My Health My Data Act. </w:t>
      </w:r>
      <w:hyperlink r:id="rId22">
        <w:r>
          <w:rPr>
            <w:color w:val="2E74B5"/>
            <w:u w:val="single"/>
          </w:rPr>
          <w:t>Official source</w:t>
        </w:r>
      </w:hyperlink>
      <w:r>
        <w:rPr>
          <w:rFonts w:ascii="Calibri" w:hAnsi="Calibri"/>
          <w:color w:val="5B6573"/>
          <w:sz w:val="19"/>
        </w:rPr>
        <w:t xml:space="preserve"> Collection/sharing consent, privacy notice, rights, deletion, and separate sale authorization.</w:t>
      </w:r>
    </w:p>
    <w:p>
      <w:pPr>
        <w:spacing w:after="100"/>
        <w:ind w:left="317" w:hanging="317"/>
      </w:pPr>
      <w:r>
        <w:rPr>
          <w:rFonts w:ascii="Calibri" w:hAnsi="Calibri"/>
          <w:b/>
          <w:color w:val="0B2545"/>
          <w:sz w:val="19"/>
        </w:rPr>
        <w:t xml:space="preserve">13. Washington RCW 19.375 - Biometric Identifiers. </w:t>
      </w:r>
      <w:hyperlink r:id="rId23">
        <w:r>
          <w:rPr>
            <w:color w:val="2E74B5"/>
            <w:u w:val="single"/>
          </w:rPr>
          <w:t>Official source</w:t>
        </w:r>
      </w:hyperlink>
      <w:r>
        <w:rPr>
          <w:rFonts w:ascii="Calibri" w:hAnsi="Calibri"/>
          <w:color w:val="5B6573"/>
          <w:sz w:val="19"/>
        </w:rPr>
        <w:t xml:space="preserve"> Notice/consent and commercial-purpose enrollment, disclosure, security, and retention requirements.</w:t>
      </w:r>
    </w:p>
    <w:p>
      <w:pPr>
        <w:spacing w:after="100"/>
        <w:ind w:left="317" w:hanging="317"/>
      </w:pPr>
      <w:r>
        <w:rPr>
          <w:rFonts w:ascii="Calibri" w:hAnsi="Calibri"/>
          <w:b/>
          <w:color w:val="0B2545"/>
          <w:sz w:val="19"/>
        </w:rPr>
        <w:t xml:space="preserve">14. Nevada NRS Chapter 603A - Security and Privacy of Personal Information. </w:t>
      </w:r>
      <w:hyperlink r:id="rId24">
        <w:r>
          <w:rPr>
            <w:color w:val="2E74B5"/>
            <w:u w:val="single"/>
          </w:rPr>
          <w:t>Official source</w:t>
        </w:r>
      </w:hyperlink>
      <w:r>
        <w:rPr>
          <w:rFonts w:ascii="Calibri" w:hAnsi="Calibri"/>
          <w:color w:val="5B6573"/>
          <w:sz w:val="19"/>
        </w:rPr>
        <w:t xml:space="preserve"> Nevada consumer-health collection/sharing consent, privacy, rights, deletion, and sale-authorization framework.</w:t>
      </w:r>
    </w:p>
    <w:p>
      <w:pPr>
        <w:spacing w:after="100"/>
        <w:ind w:left="317" w:hanging="317"/>
      </w:pPr>
      <w:r>
        <w:rPr>
          <w:rFonts w:ascii="Calibri" w:hAnsi="Calibri"/>
          <w:b/>
          <w:color w:val="0B2545"/>
          <w:sz w:val="19"/>
        </w:rPr>
        <w:t xml:space="preserve">15. California Attorney General - California Consumer Privacy Act. </w:t>
      </w:r>
      <w:hyperlink r:id="rId25">
        <w:r>
          <w:rPr>
            <w:color w:val="2E74B5"/>
            <w:u w:val="single"/>
          </w:rPr>
          <w:t>Official source</w:t>
        </w:r>
      </w:hyperlink>
      <w:r>
        <w:rPr>
          <w:rFonts w:ascii="Calibri" w:hAnsi="Calibri"/>
          <w:color w:val="5B6573"/>
          <w:sz w:val="19"/>
        </w:rPr>
        <w:t xml:space="preserve"> Rights and treatment of health, genetic, and identification-purpose biometric information as sensitive personal information.</w:t>
      </w:r>
    </w:p>
    <w:p>
      <w:pPr>
        <w:spacing w:after="100"/>
        <w:ind w:left="317" w:hanging="317"/>
      </w:pPr>
      <w:r>
        <w:rPr>
          <w:rFonts w:ascii="Calibri" w:hAnsi="Calibri"/>
          <w:b/>
          <w:color w:val="0B2545"/>
          <w:sz w:val="19"/>
        </w:rPr>
        <w:t xml:space="preserve">16. California Civil Code 56.06 - Confidentiality of Medical Information. </w:t>
      </w:r>
      <w:hyperlink r:id="rId26">
        <w:r>
          <w:rPr>
            <w:color w:val="2E74B5"/>
            <w:u w:val="single"/>
          </w:rPr>
          <w:t>Official source</w:t>
        </w:r>
      </w:hyperlink>
      <w:r>
        <w:rPr>
          <w:rFonts w:ascii="Calibri" w:hAnsi="Calibri"/>
          <w:color w:val="5B6573"/>
          <w:sz w:val="19"/>
        </w:rPr>
        <w:t xml:space="preserve"> Certain health apps may be treated as providers of health care for CMIA purposes.</w:t>
      </w:r>
    </w:p>
    <w:p>
      <w:pPr>
        <w:spacing w:after="100"/>
        <w:ind w:left="317" w:hanging="317"/>
      </w:pPr>
      <w:r>
        <w:rPr>
          <w:rFonts w:ascii="Calibri" w:hAnsi="Calibri"/>
          <w:b/>
          <w:color w:val="0B2545"/>
          <w:sz w:val="19"/>
        </w:rPr>
        <w:t xml:space="preserve">17. Colorado HB24-1130 - Privacy of Biometric Identifiers and Data. </w:t>
      </w:r>
      <w:hyperlink r:id="rId27">
        <w:r>
          <w:rPr>
            <w:color w:val="2E74B5"/>
            <w:u w:val="single"/>
          </w:rPr>
          <w:t>Official source</w:t>
        </w:r>
      </w:hyperlink>
      <w:r>
        <w:rPr>
          <w:rFonts w:ascii="Calibri" w:hAnsi="Calibri"/>
          <w:color w:val="5B6573"/>
          <w:sz w:val="19"/>
        </w:rPr>
        <w:t xml:space="preserve"> Adds biometric policy, retention, security, consent, and related protections to the Colorado Privacy Act.</w:t>
      </w:r>
    </w:p>
    <w:p>
      <w:pPr>
        <w:spacing w:after="100"/>
        <w:ind w:left="317" w:hanging="317"/>
      </w:pPr>
      <w:r>
        <w:rPr>
          <w:rFonts w:ascii="Calibri" w:hAnsi="Calibri"/>
          <w:b/>
          <w:color w:val="0B2545"/>
          <w:sz w:val="19"/>
        </w:rPr>
        <w:t xml:space="preserve">18. Connecticut Chapter 743jj - Data Privacy and Online Monitoring. </w:t>
      </w:r>
      <w:hyperlink r:id="rId28">
        <w:r>
          <w:rPr>
            <w:color w:val="2E74B5"/>
            <w:u w:val="single"/>
          </w:rPr>
          <w:t>Official source</w:t>
        </w:r>
      </w:hyperlink>
      <w:r>
        <w:rPr>
          <w:rFonts w:ascii="Calibri" w:hAnsi="Calibri"/>
          <w:color w:val="5B6573"/>
          <w:sz w:val="19"/>
        </w:rPr>
        <w:t xml:space="preserve"> Current Connecticut controller, sensitive-data, consumer-health, consent, rights, and assessment provisions.</w:t>
      </w:r>
    </w:p>
    <w:p>
      <w:pPr>
        <w:spacing w:after="100"/>
        <w:ind w:left="317" w:hanging="317"/>
      </w:pPr>
      <w:r>
        <w:rPr>
          <w:rFonts w:ascii="Calibri" w:hAnsi="Calibri"/>
          <w:b/>
          <w:color w:val="0B2545"/>
          <w:sz w:val="19"/>
        </w:rPr>
        <w:t xml:space="preserve">19. Maryland Attorney General - Maryland Online Data Privacy Act. </w:t>
      </w:r>
      <w:hyperlink r:id="rId29">
        <w:r>
          <w:rPr>
            <w:color w:val="2E74B5"/>
            <w:u w:val="single"/>
          </w:rPr>
          <w:t>Official source</w:t>
        </w:r>
      </w:hyperlink>
      <w:r>
        <w:rPr>
          <w:rFonts w:ascii="Calibri" w:hAnsi="Calibri"/>
          <w:color w:val="5B6573"/>
          <w:sz w:val="19"/>
        </w:rPr>
        <w:t xml:space="preserve"> Maryland privacy rights and controller obligations effective 1 October 2025.</w:t>
      </w:r>
    </w:p>
    <w:p>
      <w:pPr>
        <w:spacing w:after="100"/>
        <w:ind w:left="317" w:hanging="317"/>
      </w:pPr>
      <w:r>
        <w:rPr>
          <w:rFonts w:ascii="Calibri" w:hAnsi="Calibri"/>
          <w:b/>
          <w:color w:val="0B2545"/>
          <w:sz w:val="19"/>
        </w:rPr>
        <w:t xml:space="preserve">20. EU General Data Protection Regulation - Regulation (EU) 2016/679. </w:t>
      </w:r>
      <w:hyperlink r:id="rId30">
        <w:r>
          <w:rPr>
            <w:color w:val="2E74B5"/>
            <w:u w:val="single"/>
          </w:rPr>
          <w:t>Official source</w:t>
        </w:r>
      </w:hyperlink>
      <w:r>
        <w:rPr>
          <w:rFonts w:ascii="Calibri" w:hAnsi="Calibri"/>
          <w:color w:val="5B6573"/>
          <w:sz w:val="19"/>
        </w:rPr>
        <w:t xml:space="preserve"> Articles 4, 5, 6, 7, 9, 12-22, 26-30, 32-36, 44-49, and 89 are especially relevant.</w:t>
      </w:r>
    </w:p>
    <w:p>
      <w:pPr>
        <w:spacing w:after="100"/>
        <w:ind w:left="317" w:hanging="317"/>
      </w:pPr>
      <w:r>
        <w:rPr>
          <w:rFonts w:ascii="Calibri" w:hAnsi="Calibri"/>
          <w:b/>
          <w:color w:val="0B2545"/>
          <w:sz w:val="19"/>
        </w:rPr>
        <w:t xml:space="preserve">21. European Commission - Standard Contractual Clauses. </w:t>
      </w:r>
      <w:hyperlink r:id="rId31">
        <w:r>
          <w:rPr>
            <w:color w:val="2E74B5"/>
            <w:u w:val="single"/>
          </w:rPr>
          <w:t>Official source</w:t>
        </w:r>
      </w:hyperlink>
      <w:r>
        <w:rPr>
          <w:rFonts w:ascii="Calibri" w:hAnsi="Calibri"/>
          <w:color w:val="5B6573"/>
          <w:sz w:val="19"/>
        </w:rPr>
        <w:t xml:space="preserve"> Approved safeguards for certain transfers outside the EEA.</w:t>
      </w:r>
    </w:p>
    <w:p>
      <w:pPr>
        <w:spacing w:after="100"/>
        <w:ind w:left="317" w:hanging="317"/>
      </w:pPr>
      <w:r>
        <w:rPr>
          <w:rFonts w:ascii="Calibri" w:hAnsi="Calibri"/>
          <w:b/>
          <w:color w:val="0B2545"/>
          <w:sz w:val="19"/>
        </w:rPr>
        <w:t xml:space="preserve">22. EDPB - Guidelines 1/2026 on scientific research. </w:t>
      </w:r>
      <w:hyperlink r:id="rId32">
        <w:r>
          <w:rPr>
            <w:color w:val="2E74B5"/>
            <w:u w:val="single"/>
          </w:rPr>
          <w:t>Official source</w:t>
        </w:r>
      </w:hyperlink>
      <w:r>
        <w:rPr>
          <w:rFonts w:ascii="Calibri" w:hAnsi="Calibri"/>
          <w:color w:val="5B6573"/>
          <w:sz w:val="19"/>
        </w:rPr>
        <w:t xml:space="preserve"> Draft/consultation material as of this template date; not final guidance.</w:t>
      </w:r>
    </w:p>
    <w:p>
      <w:pPr>
        <w:spacing w:after="100"/>
        <w:ind w:left="317" w:hanging="317"/>
      </w:pPr>
      <w:r>
        <w:rPr>
          <w:rFonts w:ascii="Calibri" w:hAnsi="Calibri"/>
          <w:b/>
          <w:color w:val="0B2545"/>
          <w:sz w:val="19"/>
        </w:rPr>
        <w:t xml:space="preserve">23. UK ICO - Research provisions and lawful grounds. </w:t>
      </w:r>
      <w:hyperlink r:id="rId33">
        <w:r>
          <w:rPr>
            <w:color w:val="2E74B5"/>
            <w:u w:val="single"/>
          </w:rPr>
          <w:t>Official source</w:t>
        </w:r>
      </w:hyperlink>
      <w:r>
        <w:rPr>
          <w:rFonts w:ascii="Calibri" w:hAnsi="Calibri"/>
          <w:color w:val="5B6573"/>
          <w:sz w:val="19"/>
        </w:rPr>
        <w:t xml:space="preserve"> UK GDPR/DPA 2018 research bases and special-category conditions.</w:t>
      </w:r>
    </w:p>
    <w:p>
      <w:pPr>
        <w:spacing w:after="100"/>
        <w:ind w:left="317" w:hanging="317"/>
      </w:pPr>
      <w:r>
        <w:rPr>
          <w:rFonts w:ascii="Calibri" w:hAnsi="Calibri"/>
          <w:b/>
          <w:color w:val="0B2545"/>
          <w:sz w:val="19"/>
        </w:rPr>
        <w:t xml:space="preserve">24. UK ICO - Biometric data guidance. </w:t>
      </w:r>
      <w:hyperlink r:id="rId34">
        <w:r>
          <w:rPr>
            <w:color w:val="2E74B5"/>
            <w:u w:val="single"/>
          </w:rPr>
          <w:t>Official source</w:t>
        </w:r>
      </w:hyperlink>
      <w:r>
        <w:rPr>
          <w:rFonts w:ascii="Calibri" w:hAnsi="Calibri"/>
          <w:color w:val="5B6573"/>
          <w:sz w:val="19"/>
        </w:rPr>
        <w:t xml:space="preserve"> Biometric lawful basis, special-category conditions, fairness, accuracy, rights, and DPIA considerations.</w:t>
      </w:r>
    </w:p>
    <w:p>
      <w:pPr>
        <w:spacing w:after="100"/>
        <w:ind w:left="317" w:hanging="317"/>
      </w:pPr>
      <w:r>
        <w:rPr>
          <w:rFonts w:ascii="Calibri" w:hAnsi="Calibri"/>
          <w:b/>
          <w:color w:val="0B2545"/>
          <w:sz w:val="19"/>
        </w:rPr>
        <w:t xml:space="preserve">25. Canada - Personal Information Protection and Electronic Documents Act. </w:t>
      </w:r>
      <w:hyperlink r:id="rId35">
        <w:r>
          <w:rPr>
            <w:color w:val="2E74B5"/>
            <w:u w:val="single"/>
          </w:rPr>
          <w:t>Official source</w:t>
        </w:r>
      </w:hyperlink>
      <w:r>
        <w:rPr>
          <w:rFonts w:ascii="Calibri" w:hAnsi="Calibri"/>
          <w:color w:val="5B6573"/>
          <w:sz w:val="19"/>
        </w:rPr>
        <w:t xml:space="preserve"> Federal private-sector accountability, consent, safeguards, access, openness, and cross-border processor responsibility framework.</w:t>
      </w:r>
    </w:p>
    <w:p>
      <w:pPr>
        <w:spacing w:after="100"/>
        <w:ind w:left="317" w:hanging="317"/>
      </w:pPr>
      <w:r>
        <w:rPr>
          <w:rFonts w:ascii="Calibri" w:hAnsi="Calibri"/>
          <w:b/>
          <w:color w:val="0B2545"/>
          <w:sz w:val="19"/>
        </w:rPr>
        <w:t xml:space="preserve">26. Office of the Privacy Commissioner of Canada - Guidelines for obtaining meaningful consent. </w:t>
      </w:r>
      <w:hyperlink r:id="rId36">
        <w:r>
          <w:rPr>
            <w:color w:val="2E74B5"/>
            <w:u w:val="single"/>
          </w:rPr>
          <w:t>Official source</w:t>
        </w:r>
      </w:hyperlink>
      <w:r>
        <w:rPr>
          <w:rFonts w:ascii="Calibri" w:hAnsi="Calibri"/>
          <w:color w:val="5B6573"/>
          <w:sz w:val="19"/>
        </w:rPr>
        <w:t xml:space="preserve"> Requires emphasis on key elements such as collection, parties, purposes, risks, and consequences.</w:t>
      </w:r>
    </w:p>
    <w:p>
      <w:pPr>
        <w:spacing w:after="100"/>
        <w:ind w:left="317" w:hanging="317"/>
      </w:pPr>
      <w:r>
        <w:rPr>
          <w:rFonts w:ascii="Calibri" w:hAnsi="Calibri"/>
          <w:b/>
          <w:color w:val="0B2545"/>
          <w:sz w:val="19"/>
        </w:rPr>
        <w:t xml:space="preserve">27. Quebec - Act respecting the protection of personal information in the private sector. </w:t>
      </w:r>
      <w:hyperlink r:id="rId37">
        <w:r>
          <w:rPr>
            <w:color w:val="2E74B5"/>
            <w:u w:val="single"/>
          </w:rPr>
          <w:t>Official source</w:t>
        </w:r>
      </w:hyperlink>
      <w:r>
        <w:rPr>
          <w:rFonts w:ascii="Calibri" w:hAnsi="Calibri"/>
          <w:color w:val="5B6573"/>
          <w:sz w:val="19"/>
        </w:rPr>
        <w:t xml:space="preserve"> Quebec-specific consent, governance, privacy-impact assessment, transfer, biometric, retention, and rights analysis.</w:t>
      </w:r>
    </w:p>
    <w:p>
      <w:pPr>
        <w:spacing w:after="100"/>
        <w:ind w:left="317" w:hanging="317"/>
      </w:pPr>
      <w:r>
        <w:rPr>
          <w:rFonts w:ascii="Calibri" w:hAnsi="Calibri"/>
          <w:b/>
          <w:color w:val="0B2545"/>
          <w:sz w:val="19"/>
        </w:rPr>
        <w:t xml:space="preserve">28. Australia - Privacy Act 1988. </w:t>
      </w:r>
      <w:hyperlink r:id="rId38">
        <w:r>
          <w:rPr>
            <w:color w:val="2E74B5"/>
            <w:u w:val="single"/>
          </w:rPr>
          <w:t>Official source</w:t>
        </w:r>
      </w:hyperlink>
      <w:r>
        <w:rPr>
          <w:rFonts w:ascii="Calibri" w:hAnsi="Calibri"/>
          <w:color w:val="5B6573"/>
          <w:sz w:val="19"/>
        </w:rPr>
        <w:t xml:space="preserve"> Australian Privacy Principles and statutory rules for sensitive information and overseas disclosures.</w:t>
      </w:r>
    </w:p>
    <w:p>
      <w:pPr>
        <w:spacing w:after="100"/>
        <w:ind w:left="317" w:hanging="317"/>
      </w:pPr>
      <w:r>
        <w:rPr>
          <w:rFonts w:ascii="Calibri" w:hAnsi="Calibri"/>
          <w:b/>
          <w:color w:val="0B2545"/>
          <w:sz w:val="19"/>
        </w:rPr>
        <w:t xml:space="preserve">29. OAIC - APP 3 collection of solicited personal information. </w:t>
      </w:r>
      <w:hyperlink r:id="rId39">
        <w:r>
          <w:rPr>
            <w:color w:val="2E74B5"/>
            <w:u w:val="single"/>
          </w:rPr>
          <w:t>Official source</w:t>
        </w:r>
      </w:hyperlink>
      <w:r>
        <w:rPr>
          <w:rFonts w:ascii="Calibri" w:hAnsi="Calibri"/>
          <w:color w:val="5B6573"/>
          <w:sz w:val="19"/>
        </w:rPr>
        <w:t xml:space="preserve"> Collection limits and consent requirements for sensitive information.</w:t>
      </w:r>
    </w:p>
    <w:p>
      <w:pPr>
        <w:spacing w:after="100"/>
        <w:ind w:left="317" w:hanging="317"/>
      </w:pPr>
      <w:r>
        <w:rPr>
          <w:rFonts w:ascii="Calibri" w:hAnsi="Calibri"/>
          <w:b/>
          <w:color w:val="0B2545"/>
          <w:sz w:val="19"/>
        </w:rPr>
        <w:t xml:space="preserve">30. OAIC - APP 8 cross-border disclosure. </w:t>
      </w:r>
      <w:hyperlink r:id="rId40">
        <w:r>
          <w:rPr>
            <w:color w:val="2E74B5"/>
            <w:u w:val="single"/>
          </w:rPr>
          <w:t>Official source</w:t>
        </w:r>
      </w:hyperlink>
      <w:r>
        <w:rPr>
          <w:rFonts w:ascii="Calibri" w:hAnsi="Calibri"/>
          <w:color w:val="5B6573"/>
          <w:sz w:val="19"/>
        </w:rPr>
        <w:t xml:space="preserve"> Reasonable steps, accountability, and exceptions for overseas disclosures.</w:t>
      </w:r>
    </w:p>
    <w:p>
      <w:pPr>
        <w:spacing w:after="100"/>
        <w:ind w:left="317" w:hanging="317"/>
      </w:pPr>
      <w:r>
        <w:rPr>
          <w:rFonts w:ascii="Calibri" w:hAnsi="Calibri"/>
          <w:b/>
          <w:color w:val="0B2545"/>
          <w:sz w:val="19"/>
        </w:rPr>
        <w:t xml:space="preserve">31. Brazil - Lei Geral de Protecao de Dados Pessoais. </w:t>
      </w:r>
      <w:hyperlink r:id="rId41">
        <w:r>
          <w:rPr>
            <w:color w:val="2E74B5"/>
            <w:u w:val="single"/>
          </w:rPr>
          <w:t>Official source</w:t>
        </w:r>
      </w:hyperlink>
      <w:r>
        <w:rPr>
          <w:rFonts w:ascii="Calibri" w:hAnsi="Calibri"/>
          <w:color w:val="5B6573"/>
          <w:sz w:val="19"/>
        </w:rPr>
        <w:t xml:space="preserve"> LGPD lawful bases, sensitive personal data, transparency, rights, security, research, and international transfer.</w:t>
      </w:r>
    </w:p>
    <w:p>
      <w:pPr>
        <w:spacing w:after="100"/>
        <w:ind w:left="317" w:hanging="317"/>
      </w:pPr>
      <w:r>
        <w:rPr>
          <w:rFonts w:ascii="Calibri" w:hAnsi="Calibri"/>
          <w:b/>
          <w:color w:val="0B2545"/>
          <w:sz w:val="19"/>
        </w:rPr>
        <w:t xml:space="preserve">32. Brazil ANPD - International data transfers. </w:t>
      </w:r>
      <w:hyperlink r:id="rId42">
        <w:r>
          <w:rPr>
            <w:color w:val="2E74B5"/>
            <w:u w:val="single"/>
          </w:rPr>
          <w:t>Official source</w:t>
        </w:r>
      </w:hyperlink>
      <w:r>
        <w:rPr>
          <w:rFonts w:ascii="Calibri" w:hAnsi="Calibri"/>
          <w:color w:val="5B6573"/>
          <w:sz w:val="19"/>
        </w:rPr>
        <w:t xml:space="preserve"> Official ANPD materials on mechanisms and regulation for international transfers.</w:t>
      </w:r>
    </w:p>
    <w:p>
      <w:pPr>
        <w:pStyle w:val="Heading1"/>
      </w:pPr>
      <w:r>
        <w:t>Template change control</w:t>
      </w:r>
    </w:p>
    <w:tbl>
      <w:tblPr>
        <w:tblStyle w:val="TableGrid"/>
        <w:tblW w:type="dxa" w:w="9360"/>
        <w:jc w:val="left"/>
        <w:tblLayout w:type="fixed"/>
        <w:tblLook w:firstColumn="1" w:firstRow="1" w:lastColumn="0" w:lastRow="0" w:noHBand="0" w:noVBand="1" w:val="04A0"/>
        <w:tblInd w:type="dxa" w:w="120"/>
      </w:tblPr>
      <w:tblGrid>
        <w:gridCol w:w="1123"/>
        <w:gridCol w:w="1498"/>
        <w:gridCol w:w="2434"/>
        <w:gridCol w:w="4305"/>
      </w:tblGrid>
      <w:tr>
        <w:trPr>
          <w:tblHeader w:val="true"/>
          <w:cantSplit/>
        </w:trPr>
        <w:tc>
          <w:tcPr>
            <w:tcW w:type="dxa" w:w="1123"/>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Version</w:t>
            </w:r>
          </w:p>
        </w:tc>
        <w:tc>
          <w:tcPr>
            <w:tcW w:type="dxa" w:w="1498"/>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Date</w:t>
            </w:r>
          </w:p>
        </w:tc>
        <w:tc>
          <w:tcPr>
            <w:tcW w:type="dxa" w:w="2434"/>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Owner/reviewer</w:t>
            </w:r>
          </w:p>
        </w:tc>
        <w:tc>
          <w:tcPr>
            <w:tcW w:type="dxa" w:w="4305"/>
            <w:vAlign w:val="center"/>
            <w:shd w:fill="F2F4F7"/>
            <w:tcMar>
              <w:top w:w="80" w:type="dxa"/>
              <w:bottom w:w="80" w:type="dxa"/>
              <w:start w:w="120" w:type="dxa"/>
              <w:end w:w="120" w:type="dxa"/>
            </w:tcMar>
          </w:tcPr>
          <w:p>
            <w:pPr>
              <w:spacing w:before="0" w:after="40" w:line="252" w:lineRule="auto"/>
            </w:pPr>
            <w:r/>
            <w:r>
              <w:rPr>
                <w:rFonts w:ascii="Calibri" w:hAnsi="Calibri"/>
                <w:b/>
                <w:color w:val="0B2545"/>
                <w:sz w:val="17"/>
              </w:rPr>
              <w:t>Change and approval status</w:t>
            </w:r>
          </w:p>
        </w:tc>
      </w:tr>
      <w:tr>
        <w:trPr>
          <w:cantSplit/>
        </w:trPr>
        <w:tc>
          <w:tcPr>
            <w:tcW w:type="dxa" w:w="1123"/>
            <w:vAlign w:val="center"/>
            <w:tcMar>
              <w:top w:w="80" w:type="dxa"/>
              <w:bottom w:w="80" w:type="dxa"/>
              <w:start w:w="120" w:type="dxa"/>
              <w:end w:w="120" w:type="dxa"/>
            </w:tcMar>
          </w:tcPr>
          <w:p>
            <w:pPr>
              <w:spacing w:before="0" w:after="40" w:line="252" w:lineRule="auto"/>
            </w:pPr>
            <w:r/>
            <w:r>
              <w:rPr>
                <w:rFonts w:ascii="Calibri" w:hAnsi="Calibri"/>
                <w:b w:val="0"/>
                <w:color w:val="000000"/>
                <w:sz w:val="17"/>
              </w:rPr>
              <w:t>0.9</w:t>
            </w:r>
          </w:p>
        </w:tc>
        <w:tc>
          <w:tcPr>
            <w:tcW w:type="dxa" w:w="1498"/>
            <w:vAlign w:val="center"/>
            <w:tcMar>
              <w:top w:w="80" w:type="dxa"/>
              <w:bottom w:w="80" w:type="dxa"/>
              <w:start w:w="120" w:type="dxa"/>
              <w:end w:w="120" w:type="dxa"/>
            </w:tcMar>
          </w:tcPr>
          <w:p>
            <w:pPr>
              <w:spacing w:before="0" w:after="40" w:line="252" w:lineRule="auto"/>
            </w:pPr>
            <w:r/>
            <w:r>
              <w:rPr>
                <w:rFonts w:ascii="Calibri" w:hAnsi="Calibri"/>
                <w:b w:val="0"/>
                <w:color w:val="000000"/>
                <w:sz w:val="17"/>
              </w:rPr>
              <w:t>31 July 2026</w:t>
            </w:r>
          </w:p>
        </w:tc>
        <w:tc>
          <w:tcPr>
            <w:tcW w:type="dxa" w:w="2434"/>
            <w:vAlign w:val="center"/>
            <w:tcMar>
              <w:top w:w="80" w:type="dxa"/>
              <w:bottom w:w="80" w:type="dxa"/>
              <w:start w:w="120" w:type="dxa"/>
              <w:end w:w="120" w:type="dxa"/>
            </w:tcMar>
          </w:tcPr>
          <w:p>
            <w:pPr>
              <w:spacing w:before="0" w:after="40" w:line="252" w:lineRule="auto"/>
            </w:pPr>
            <w:r/>
            <w:r>
              <w:rPr>
                <w:rFonts w:ascii="Calibri" w:hAnsi="Calibri"/>
                <w:b w:val="0"/>
                <w:color w:val="000000"/>
                <w:sz w:val="17"/>
              </w:rPr>
              <w:t>NeuroAgent AI / counsel / IRB pending</w:t>
            </w:r>
          </w:p>
        </w:tc>
        <w:tc>
          <w:tcPr>
            <w:tcW w:type="dxa" w:w="4305"/>
            <w:vAlign w:val="center"/>
            <w:tcMar>
              <w:top w:w="80" w:type="dxa"/>
              <w:bottom w:w="80" w:type="dxa"/>
              <w:start w:w="120" w:type="dxa"/>
              <w:end w:w="120" w:type="dxa"/>
            </w:tcMar>
          </w:tcPr>
          <w:p>
            <w:pPr>
              <w:spacing w:before="0" w:after="40" w:line="252" w:lineRule="auto"/>
            </w:pPr>
            <w:r/>
            <w:r>
              <w:rPr>
                <w:rFonts w:ascii="Calibri" w:hAnsi="Calibri"/>
                <w:b w:val="0"/>
                <w:color w:val="000000"/>
                <w:sz w:val="17"/>
              </w:rPr>
              <w:t>Initial modular master: adult remote dementia research, biometric data, multi-repository choices, U.S./EU/UK/Canada/Australia/Brazil modules, capacity and caregiver pathways.</w:t>
            </w:r>
          </w:p>
        </w:tc>
      </w:tr>
      <w:tr>
        <w:trPr>
          <w:cantSplit/>
        </w:trPr>
        <w:tc>
          <w:tcPr>
            <w:tcW w:type="dxa" w:w="1123"/>
            <w:vAlign w:val="center"/>
            <w:tcMar>
              <w:top w:w="80" w:type="dxa"/>
              <w:bottom w:w="80" w:type="dxa"/>
              <w:start w:w="120" w:type="dxa"/>
              <w:end w:w="120" w:type="dxa"/>
            </w:tcMar>
          </w:tcPr>
          <w:p>
            <w:pPr>
              <w:spacing w:before="0" w:after="40" w:line="252" w:lineRule="auto"/>
            </w:pPr>
            <w:r/>
            <w:sdt>
              <w:sdtPr>
                <w:tag w:val="NEXT_VERSION"/>
                <w:alias w:val="NEXT_VERSION"/>
                <w:text/>
              </w:sdtPr>
              <w:sdtContent>
                <w:r>
                  <w:rPr>
                    <w:rFonts w:ascii="Calibri" w:hAnsi="Calibri"/>
                    <w:b w:val="0"/>
                    <w:color w:val="000000"/>
                    <w:sz w:val="17"/>
                  </w:rPr>
                  <w:t>{{NEXT_VERSION}}</w:t>
                </w:r>
              </w:sdtContent>
            </w:sdt>
          </w:p>
        </w:tc>
        <w:tc>
          <w:tcPr>
            <w:tcW w:type="dxa" w:w="1498"/>
            <w:vAlign w:val="center"/>
            <w:tcMar>
              <w:top w:w="80" w:type="dxa"/>
              <w:bottom w:w="80" w:type="dxa"/>
              <w:start w:w="120" w:type="dxa"/>
              <w:end w:w="120" w:type="dxa"/>
            </w:tcMar>
          </w:tcPr>
          <w:p>
            <w:pPr>
              <w:spacing w:before="0" w:after="40" w:line="252" w:lineRule="auto"/>
            </w:pPr>
            <w:r/>
            <w:sdt>
              <w:sdtPr>
                <w:tag w:val="NEXT_VERSION_DATE"/>
                <w:alias w:val="NEXT_VERSION_DATE"/>
                <w:text/>
              </w:sdtPr>
              <w:sdtContent>
                <w:r>
                  <w:rPr>
                    <w:rFonts w:ascii="Calibri" w:hAnsi="Calibri"/>
                    <w:b w:val="0"/>
                    <w:color w:val="000000"/>
                    <w:sz w:val="17"/>
                  </w:rPr>
                  <w:t>{{NEXT_VERSION_DATE}}</w:t>
                </w:r>
              </w:sdtContent>
            </w:sdt>
          </w:p>
        </w:tc>
        <w:tc>
          <w:tcPr>
            <w:tcW w:type="dxa" w:w="2434"/>
            <w:vAlign w:val="center"/>
            <w:tcMar>
              <w:top w:w="80" w:type="dxa"/>
              <w:bottom w:w="80" w:type="dxa"/>
              <w:start w:w="120" w:type="dxa"/>
              <w:end w:w="120" w:type="dxa"/>
            </w:tcMar>
          </w:tcPr>
          <w:p>
            <w:pPr>
              <w:spacing w:before="0" w:after="40" w:line="252" w:lineRule="auto"/>
            </w:pPr>
            <w:r/>
            <w:sdt>
              <w:sdtPr>
                <w:tag w:val="NEXT_REVIEWER"/>
                <w:alias w:val="NEXT_REVIEWER"/>
                <w:text/>
              </w:sdtPr>
              <w:sdtContent>
                <w:r>
                  <w:rPr>
                    <w:rFonts w:ascii="Calibri" w:hAnsi="Calibri"/>
                    <w:b w:val="0"/>
                    <w:color w:val="000000"/>
                    <w:sz w:val="17"/>
                  </w:rPr>
                  <w:t>{{NEXT_REVIEWER}}</w:t>
                </w:r>
              </w:sdtContent>
            </w:sdt>
          </w:p>
        </w:tc>
        <w:tc>
          <w:tcPr>
            <w:tcW w:type="dxa" w:w="4305"/>
            <w:vAlign w:val="center"/>
            <w:tcMar>
              <w:top w:w="80" w:type="dxa"/>
              <w:bottom w:w="80" w:type="dxa"/>
              <w:start w:w="120" w:type="dxa"/>
              <w:end w:w="120" w:type="dxa"/>
            </w:tcMar>
          </w:tcPr>
          <w:p>
            <w:pPr>
              <w:spacing w:before="0" w:after="40" w:line="252" w:lineRule="auto"/>
            </w:pPr>
            <w:r/>
            <w:sdt>
              <w:sdtPr>
                <w:tag w:val="NEXT_CHANGE_SUMMARY"/>
                <w:alias w:val="NEXT_CHANGE_SUMMARY"/>
                <w:text/>
              </w:sdtPr>
              <w:sdtContent>
                <w:r>
                  <w:rPr>
                    <w:rFonts w:ascii="Calibri" w:hAnsi="Calibri"/>
                    <w:b w:val="0"/>
                    <w:color w:val="000000"/>
                    <w:sz w:val="17"/>
                  </w:rPr>
                  <w:t>{{NEXT_CHANGE_SUMMARY}}</w:t>
                </w:r>
              </w:sdtContent>
            </w:sdt>
          </w:p>
        </w:tc>
      </w:tr>
    </w:tbl>
    <w:p>
      <w:pPr>
        <w:spacing w:after="4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Calibri" w:hAnsi="Calibri"/>
        <w:color w:val="5B6573"/>
        <w:sz w:val="17"/>
      </w:rPr>
      <w:t>Template v0.9 | 31 July 2026 | Internal review copy</w:t>
    </w:r>
    <w:r>
      <w:rPr>
        <w:rFonts w:ascii="Calibri" w:hAnsi="Calibri"/>
        <w:color w:val="5B6573"/>
        <w:sz w:val="17"/>
      </w:rPr>
      <w:t xml:space="preserve">                                                       Page </w:t>
    </w:r>
    <w:r>
      <w:rPr>
        <w:rFonts w:ascii="Calibri" w:hAnsi="Calibri"/>
        <w:color w:val="5B6573"/>
        <w:sz w:val="18"/>
      </w:rPr>
      <w:fldChar w:fldCharType="begin"/>
      <w:instrText xml:space="preserve">PAGE</w:instrText>
      <w:fldChar w:fldCharType="separate"/>
      <w:t>1</w:t>
      <w:fldChar w:fldCharType="end"/>
    </w:r>
    <w:r>
      <w:rPr>
        <w:rFonts w:ascii="Calibri" w:hAnsi="Calibri"/>
        <w:color w:val="5B6573"/>
        <w:sz w:val="17"/>
      </w:rPr>
      <w:t xml:space="preserve"> of </w:t>
    </w:r>
    <w:r>
      <w:rPr>
        <w:rFonts w:ascii="Calibri" w:hAnsi="Calibri"/>
        <w:color w:val="5B65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NEUROAGENT AI | MODULAR CONSENT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B65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B65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80"/>
    </w:pPr>
    <w:rPr>
      <w:rFonts w:asciiTheme="majorHAnsi" w:eastAsiaTheme="majorEastAsia" w:hAnsiTheme="majorHAnsi" w:cstheme="majorBidi" w:ascii="Calibri" w:hAnsi="Calibri"/>
      <w:b w:val="0"/>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cfr.gov/current/title-45/subtitle-A/subchapter-A/part-46/subpart-A/section-46.116" TargetMode="External"/><Relationship Id="rId12" Type="http://schemas.openxmlformats.org/officeDocument/2006/relationships/hyperlink" Target="https://www.hhs.gov/ohrp/regulations-and-policy/guidance/use-electronic-informed-consent-questions-and-answers/index.html" TargetMode="External"/><Relationship Id="rId13" Type="http://schemas.openxmlformats.org/officeDocument/2006/relationships/hyperlink" Target="https://www.hhs.gov/ohrp/regulations-and-policy/guidance/faq/informed-consent/index.html" TargetMode="External"/><Relationship Id="rId14" Type="http://schemas.openxmlformats.org/officeDocument/2006/relationships/hyperlink" Target="https://www.hhs.gov/hipaa/for-professionals/special-topics/research/index.html" TargetMode="External"/><Relationship Id="rId15" Type="http://schemas.openxmlformats.org/officeDocument/2006/relationships/hyperlink" Target="https://www.ecfr.gov/current/title-45/subtitle-A/subchapter-C/part-164/subpart-E/section-164.508" TargetMode="External"/><Relationship Id="rId16" Type="http://schemas.openxmlformats.org/officeDocument/2006/relationships/hyperlink" Target="https://www.hhs.gov/ohrp/regulations-and-policy/guidance/guidance-on-withdrawal-of-subject/index.html" TargetMode="External"/><Relationship Id="rId17" Type="http://schemas.openxmlformats.org/officeDocument/2006/relationships/hyperlink" Target="https://grants.nih.gov/policy-and-compliance/policy-topics/human-subjects/coc" TargetMode="External"/><Relationship Id="rId18" Type="http://schemas.openxmlformats.org/officeDocument/2006/relationships/hyperlink" Target="https://www.ftc.gov/news-events/news/press-releases/2023/05/ftc-warns-about-misuses-biometric-information-harm-consumers" TargetMode="External"/><Relationship Id="rId19" Type="http://schemas.openxmlformats.org/officeDocument/2006/relationships/hyperlink" Target="https://www.ecfr.gov/current/title-16/chapter-I/subchapter-C/part-318" TargetMode="External"/><Relationship Id="rId20" Type="http://schemas.openxmlformats.org/officeDocument/2006/relationships/hyperlink" Target="https://www.ilga.gov/documents/legislation/ilcs/documents/074000140K15.htm" TargetMode="External"/><Relationship Id="rId21" Type="http://schemas.openxmlformats.org/officeDocument/2006/relationships/hyperlink" Target="https://statutes.capitol.texas.gov/Docs/BC/pdf/BC.503.pdf" TargetMode="External"/><Relationship Id="rId22" Type="http://schemas.openxmlformats.org/officeDocument/2006/relationships/hyperlink" Target="https://app.leg.wa.gov/RCW/default.aspx?cite=19.373&amp;full=true" TargetMode="External"/><Relationship Id="rId23" Type="http://schemas.openxmlformats.org/officeDocument/2006/relationships/hyperlink" Target="https://app.leg.wa.gov/RCW/default.aspx?cite=19.375&amp;full=true" TargetMode="External"/><Relationship Id="rId24" Type="http://schemas.openxmlformats.org/officeDocument/2006/relationships/hyperlink" Target="https://www.leg.state.nv.us/nrs/nrs-603a.html" TargetMode="External"/><Relationship Id="rId25" Type="http://schemas.openxmlformats.org/officeDocument/2006/relationships/hyperlink" Target="https://oag.ca.gov/privacy/ccpa" TargetMode="External"/><Relationship Id="rId26" Type="http://schemas.openxmlformats.org/officeDocument/2006/relationships/hyperlink" Target="https://leginfo.legislature.ca.gov/faces/codes_displaySection.xhtml?lawCode=CIV&amp;sectionNum=56.06." TargetMode="External"/><Relationship Id="rId27" Type="http://schemas.openxmlformats.org/officeDocument/2006/relationships/hyperlink" Target="https://leg.colorado.gov/bills/hb24-1130" TargetMode="External"/><Relationship Id="rId28" Type="http://schemas.openxmlformats.org/officeDocument/2006/relationships/hyperlink" Target="https://cga.ct.gov/2026/sup/chap_743jj.htm" TargetMode="External"/><Relationship Id="rId29" Type="http://schemas.openxmlformats.org/officeDocument/2006/relationships/hyperlink" Target="https://oag.maryland.gov/resources-info/Pages/data-privacy.aspx" TargetMode="External"/><Relationship Id="rId30" Type="http://schemas.openxmlformats.org/officeDocument/2006/relationships/hyperlink" Target="https://eur-lex.europa.eu/eli/reg/2016/679/oj/eng" TargetMode="External"/><Relationship Id="rId31" Type="http://schemas.openxmlformats.org/officeDocument/2006/relationships/hyperlink" Target="https://commission.europa.eu/law/law-topic/data-protection/international-dimension-data-protection/standard-contractual-clauses-scc_en" TargetMode="External"/><Relationship Id="rId32" Type="http://schemas.openxmlformats.org/officeDocument/2006/relationships/hyperlink" Target="https://www.edpb.europa.eu/public-consultations/guidelines-12026-on-processing-of-personal-data-for-scientific-research_en" TargetMode="External"/><Relationship Id="rId33" Type="http://schemas.openxmlformats.org/officeDocument/2006/relationships/hyperlink" Target="https://ico.org.uk/for-organisations/uk-gdpr-guidance-and-resources/the-research-provisions/principles-and-grounds-for-processing/" TargetMode="External"/><Relationship Id="rId34" Type="http://schemas.openxmlformats.org/officeDocument/2006/relationships/hyperlink" Target="https://ico.org.uk/for-organisations/uk-gdpr-guidance-and-resources/lawful-basis/biometric-data-guidance-biometric-recognition/" TargetMode="External"/><Relationship Id="rId35" Type="http://schemas.openxmlformats.org/officeDocument/2006/relationships/hyperlink" Target="https://laws-lois.justice.gc.ca/eng/acts/p-8.6/FullText.html" TargetMode="External"/><Relationship Id="rId36" Type="http://schemas.openxmlformats.org/officeDocument/2006/relationships/hyperlink" Target="https://www.priv.gc.ca/en/privacy-topics/business-privacy/collecting-personal-information/consent/gl_omc_201805/" TargetMode="External"/><Relationship Id="rId37" Type="http://schemas.openxmlformats.org/officeDocument/2006/relationships/hyperlink" Target="https://www.legisquebec.gouv.qc.ca/en/document/cs/p-39.1" TargetMode="External"/><Relationship Id="rId38" Type="http://schemas.openxmlformats.org/officeDocument/2006/relationships/hyperlink" Target="https://www.legislation.gov.au/C2004A03712/latest/text" TargetMode="External"/><Relationship Id="rId39" Type="http://schemas.openxmlformats.org/officeDocument/2006/relationships/hyperlink" Target="https://www.oaic.gov.au/privacy/australian-privacy-principles/australian-privacy-principles-guidelines/chapter-3-app-3-collection-of-solicited-personal-information" TargetMode="External"/><Relationship Id="rId40" Type="http://schemas.openxmlformats.org/officeDocument/2006/relationships/hyperlink" Target="https://www.oaic.gov.au/privacy/australian-privacy-principles/australian-privacy-principles-guidelines/chapter-8-app-8-cross-border-disclosure-of-personal-information" TargetMode="External"/><Relationship Id="rId41" Type="http://schemas.openxmlformats.org/officeDocument/2006/relationships/hyperlink" Target="https://www.planalto.gov.br/ccivil_03/_ato2015-2018/2018/lei/l13709compilado.htm" TargetMode="External"/><Relationship Id="rId42" Type="http://schemas.openxmlformats.org/officeDocument/2006/relationships/hyperlink" Target="https://www.gov.br/anpd/pt-br/assuntos/assuntos-internacionais/transferencia-internacional-de-dados/international-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NeuroAgent AI Modular Informed Consent and Data Authorization</dc:title>
  <dc:subject>Remote dementia research; human, health, and biometric data</dc:subject>
  <dc:creator/>
  <cp:keywords/>
  <dc:description>Master template pending legal and IRB/EC review</dc:description>
  <cp:lastModifiedBy/>
  <cp:revision>1</cp:revision>
  <dcterms:created xsi:type="dcterms:W3CDTF">2013-12-23T23:15:00Z</dcterms:created>
  <dcterms:modified xsi:type="dcterms:W3CDTF">2013-12-23T23:15:00Z</dcterms:modified>
  <cp:category/>
</cp:coreProperties>
</file>