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mongodb"/>
    <w:p>
      <w:pPr>
        <w:pStyle w:val="Heading1"/>
      </w:pPr>
      <w:r>
        <w:t xml:space="preserve">MongoDB</w:t>
      </w:r>
    </w:p>
    <w:p>
      <w:pPr>
        <w:pStyle w:val="FirstParagraph"/>
      </w:pPr>
      <w:r>
        <w:t xml:space="preserve">MongoDB es una base de datos NoSQL en la que la información se organiza en documentos.</w:t>
      </w:r>
      <w:r>
        <w:t xml:space="preserve"> </w:t>
      </w:r>
    </w:p>
    <w:bookmarkStart w:id="23" w:name="documentos"/>
    <w:p>
      <w:pPr>
        <w:pStyle w:val="Heading2"/>
      </w:pPr>
      <w:r>
        <w:t xml:space="preserve">Documentos</w:t>
      </w:r>
    </w:p>
    <w:p>
      <w:pPr>
        <w:pStyle w:val="FirstParagraph"/>
      </w:pPr>
      <w:r>
        <w:t xml:space="preserve">Los documentos almacenan la información como pares clave-valor. Todas las claves son strings, y siempre hay que escribirlos con comillas; los valores pueden ser datos de cualquier tipo.</w:t>
      </w:r>
    </w:p>
    <w:p>
      <w:pPr>
        <w:pStyle w:val="CaptionedFigure"/>
      </w:pPr>
      <w:r>
        <w:drawing>
          <wp:inline>
            <wp:extent cx="4953000" cy="2781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223214036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JSON es un formato muy popular y fácil de manejar, pero ocupa demasiado espacio. Por este motivo, MongoDB almacena los documentos de forma interna en un formato binario que llaman BSON, pero permite acceder a ellos con sintaxis JSON.</w:t>
      </w:r>
    </w:p>
    <w:p>
      <w:pPr>
        <w:pStyle w:val="BodyText"/>
      </w:pPr>
      <w:r>
        <w:t xml:space="preserve">Los documentos pueden contener otros documentos. Todos los documentos contienen un documento</w:t>
      </w:r>
      <w:r>
        <w:t xml:space="preserve"> </w:t>
      </w:r>
      <w:r>
        <w:rPr>
          <w:rStyle w:val="VerbatimChar"/>
        </w:rPr>
        <w:t xml:space="preserve">_id</w:t>
      </w:r>
      <w:r>
        <w:t xml:space="preserve">, que es un identificador único.</w:t>
      </w:r>
      <w:r>
        <w:t xml:space="preserve"> </w:t>
      </w:r>
    </w:p>
    <w:p>
      <w:pPr>
        <w:pStyle w:val="BodyText"/>
      </w:pPr>
      <w:r>
        <w:t xml:space="preserve">Las colecciones son conjuntos de documentos con contenidos similares. Por ejemplo, todos los documentos correspondientes a restaurantes se pueden almacenar en una colección. Al contrario que en una tabla de SQL, podemos colocar documentos con claves totalmente diferentes en la misma colección.</w:t>
      </w:r>
    </w:p>
    <w:bookmarkEnd w:id="23"/>
    <w:bookmarkStart w:id="26" w:name="instalación"/>
    <w:p>
      <w:pPr>
        <w:pStyle w:val="Heading2"/>
      </w:pPr>
      <w:r>
        <w:t xml:space="preserve">Instalación</w:t>
      </w:r>
    </w:p>
    <w:p>
      <w:pPr>
        <w:pStyle w:val="FirstParagraph"/>
      </w:pPr>
      <w:r>
        <w:t xml:space="preserve">MongoDB se puede utilizar desde nuestro ordenador o en la nube: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Instalación local</w:t>
      </w:r>
      <w:r>
        <w:t xml:space="preserve">: descargar la versión gratuita en</w:t>
      </w:r>
      <w:r>
        <w:t xml:space="preserve"> </w:t>
      </w:r>
      <w:hyperlink r:id="rId24">
        <w:r>
          <w:rPr>
            <w:rStyle w:val="Hyperlink"/>
          </w:rPr>
          <w:t xml:space="preserve">https://www.mongodb.com/try/download/community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MongoDB Atlas</w:t>
      </w:r>
      <w:r>
        <w:t xml:space="preserve">: es un servicio en la nube de pago, con una opción gratuita que no requiere tarjeta de crédito</w:t>
      </w:r>
    </w:p>
    <w:p>
      <w:pPr>
        <w:pStyle w:val="FirstParagraph"/>
      </w:pPr>
      <w:r>
        <w:t xml:space="preserve">Una vez configurada la base de datos, hay que instalar también uno de los servicios para acceder a ella: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MongoDB Shell</w:t>
      </w:r>
      <w:r>
        <w:t xml:space="preserve">: línea de comandos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MongoDB Compass</w:t>
      </w:r>
      <w:r>
        <w:t xml:space="preserve">: interfaz gráfica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disponible para aplicaciones en Python, Java, JavaScript / NodeJS y otros</w:t>
      </w:r>
    </w:p>
    <w:p>
      <w:pPr>
        <w:pStyle w:val="FirstParagraph"/>
      </w:pPr>
      <w:r>
        <w:t xml:space="preserve">En este tutorial emplearemos Compass para acceder a una base de datos de MongoDB en la nube. Los pasos a seguir están descritos en la</w:t>
      </w:r>
      <w:r>
        <w:t xml:space="preserve"> </w:t>
      </w:r>
      <w:hyperlink r:id="rId25">
        <w:r>
          <w:rPr>
            <w:rStyle w:val="Hyperlink"/>
          </w:rPr>
          <w:t xml:space="preserve">guía de instalación</w:t>
        </w:r>
      </w:hyperlink>
      <w:r>
        <w:t xml:space="preserve">.</w:t>
      </w:r>
    </w:p>
    <w:bookmarkEnd w:id="26"/>
    <w:bookmarkStart w:id="30" w:name="visualización-de-datos"/>
    <w:p>
      <w:pPr>
        <w:pStyle w:val="Heading2"/>
      </w:pPr>
      <w:r>
        <w:t xml:space="preserve">Visualización de datos</w:t>
      </w:r>
    </w:p>
    <w:p>
      <w:pPr>
        <w:pStyle w:val="FirstParagraph"/>
      </w:pPr>
      <w:r>
        <w:t xml:space="preserve">Una vez configurada la base de datos y establecida la conexión desde Compass, podemos ver nuestras bases de datos y conexiones en el panel izquierdo, y pulsar en cualquiera de ellas para ver los documentos.</w:t>
      </w:r>
    </w:p>
    <w:p>
      <w:pPr>
        <w:pStyle w:val="CaptionedFigure"/>
      </w:pPr>
      <w:r>
        <w:drawing>
          <wp:inline>
            <wp:extent cx="5334000" cy="30707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00290513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Las colecciones se denotan como</w:t>
      </w:r>
      <w:r>
        <w:t xml:space="preserve"> </w:t>
      </w:r>
      <w:r>
        <w:rPr>
          <w:rStyle w:val="VerbatimChar"/>
        </w:rPr>
        <w:t xml:space="preserve">baseDeDatos.colección</w:t>
      </w:r>
      <w:r>
        <w:t xml:space="preserve">: la colección en la imagen es</w:t>
      </w:r>
      <w:r>
        <w:t xml:space="preserve"> </w:t>
      </w:r>
      <w:r>
        <w:rPr>
          <w:rStyle w:val="VerbatimChar"/>
        </w:rPr>
        <w:t xml:space="preserve">sample_restaurants.restaurants</w:t>
      </w:r>
      <w:r>
        <w:t xml:space="preserve">.</w:t>
      </w:r>
    </w:p>
    <w:p>
      <w:pPr>
        <w:pStyle w:val="BodyText"/>
      </w:pPr>
      <w:r>
        <w:t xml:space="preserve">Se pueden añadir nuevos documentos con la opción</w:t>
      </w:r>
      <w:r>
        <w:t xml:space="preserve"> </w:t>
      </w:r>
      <w:r>
        <w:rPr>
          <w:rStyle w:val="VerbatimChar"/>
        </w:rPr>
        <w:t xml:space="preserve">Add Data</w:t>
      </w:r>
      <w:r>
        <w:t xml:space="preserve">. MongoDB les asigna automáticamente un ID único. Los botones arriba a la derecha en la vista de documento permiten editar, copiar al portapapeles, clonar y borrar documentos.</w:t>
      </w:r>
    </w:p>
    <w:bookmarkEnd w:id="30"/>
    <w:bookmarkStart w:id="46" w:name="búsqueda-de-datos"/>
    <w:p>
      <w:pPr>
        <w:pStyle w:val="Heading2"/>
      </w:pPr>
      <w:r>
        <w:t xml:space="preserve">Búsqueda de datos</w:t>
      </w:r>
    </w:p>
    <w:p>
      <w:pPr>
        <w:pStyle w:val="FirstParagraph"/>
      </w:pPr>
      <w:r>
        <w:t xml:space="preserve">En este apartado vamos a utilizar el dataset</w:t>
      </w:r>
      <w:r>
        <w:t xml:space="preserve"> </w:t>
      </w:r>
      <w:r>
        <w:rPr>
          <w:rStyle w:val="VerbatimChar"/>
        </w:rPr>
        <w:t xml:space="preserve">sample_training.zips</w:t>
      </w:r>
      <w:r>
        <w:t xml:space="preserve">, en los datos de ejemplo de MongoDB. Contiene información sobre los códigos postales de Estados Unidos:</w:t>
      </w:r>
    </w:p>
    <w:p>
      <w:pPr>
        <w:pStyle w:val="CaptionedFigure"/>
      </w:pPr>
      <w:r>
        <w:drawing>
          <wp:inline>
            <wp:extent cx="5334000" cy="4318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05195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Al contrario que en SQL, las queries se escriben en formato JSON, indicando las claves por las que queremos filtrar y los valores que deben tomar. Por ejemplo, para buscar todos los códigos postales en California escribimos</w:t>
      </w:r>
      <w:r>
        <w:t xml:space="preserve"> </w:t>
      </w:r>
      <w:r>
        <w:rPr>
          <w:rStyle w:val="VerbatimChar"/>
        </w:rPr>
        <w:t xml:space="preserve">{"state": "CA"}</w:t>
      </w:r>
      <w:r>
        <w:t xml:space="preserve">.</w:t>
      </w:r>
    </w:p>
    <w:p>
      <w:pPr>
        <w:pStyle w:val="CaptionedFigure"/>
      </w:pPr>
      <w:r>
        <w:drawing>
          <wp:inline>
            <wp:extent cx="5334000" cy="428935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072366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Se pueden combinar varias condiciones en una búsqueda:</w:t>
      </w:r>
    </w:p>
    <w:p>
      <w:pPr>
        <w:pStyle w:val="CaptionedFigure"/>
      </w:pPr>
      <w:r>
        <w:drawing>
          <wp:inline>
            <wp:extent cx="5334000" cy="642504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101477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En las queries se pueden usar operadores de comparación como</w:t>
      </w:r>
      <w:r>
        <w:t xml:space="preserve"> </w:t>
      </w:r>
      <w:r>
        <w:rPr>
          <w:rStyle w:val="VerbatimChar"/>
        </w:rPr>
        <w:t xml:space="preserve">$eq</w:t>
      </w:r>
      <w:r>
        <w:t xml:space="preserve"> </w:t>
      </w:r>
      <w:r>
        <w:t xml:space="preserve">(igual a) y</w:t>
      </w:r>
      <w:r>
        <w:t xml:space="preserve"> </w:t>
      </w:r>
      <w:r>
        <w:rPr>
          <w:rStyle w:val="VerbatimChar"/>
        </w:rPr>
        <w:t xml:space="preserve">$gt</w:t>
      </w:r>
      <w:r>
        <w:t xml:space="preserve"> </w:t>
      </w:r>
      <w:r>
        <w:t xml:space="preserve">(mayor que):</w:t>
      </w:r>
    </w:p>
    <w:p>
      <w:pPr>
        <w:pStyle w:val="CaptionedFigure"/>
      </w:pPr>
      <w:r>
        <w:drawing>
          <wp:inline>
            <wp:extent cx="5334000" cy="142051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151653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Para buscar los distritos postales con más de 1.000 pero menos de 10.000 habitantes, se podría usar</w:t>
      </w:r>
      <w:r>
        <w:t xml:space="preserve"> </w:t>
      </w:r>
      <w:r>
        <w:rPr>
          <w:rStyle w:val="VerbatimChar"/>
        </w:rPr>
        <w:t xml:space="preserve">{"pop": { $gt:  1000, $lt: 10000}}</w:t>
      </w:r>
      <w:r>
        <w:t xml:space="preserve">.</w:t>
      </w:r>
    </w:p>
    <w:p>
      <w:pPr>
        <w:pStyle w:val="CaptionedFigure"/>
      </w:pPr>
      <w:r>
        <w:drawing>
          <wp:inline>
            <wp:extent cx="5334000" cy="720876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1457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Si no incluimos ningún operador, MongoDB añade automáticamente el operador</w:t>
      </w:r>
      <w:r>
        <w:t xml:space="preserve"> </w:t>
      </w:r>
      <w:r>
        <w:rPr>
          <w:rStyle w:val="VerbatimChar"/>
        </w:rPr>
        <w:t xml:space="preserve">$eq</w:t>
      </w:r>
      <w:r>
        <w:t xml:space="preserve">: la query</w:t>
      </w:r>
      <w:r>
        <w:t xml:space="preserve"> </w:t>
      </w:r>
      <w:r>
        <w:rPr>
          <w:rStyle w:val="VerbatimChar"/>
        </w:rPr>
        <w:t xml:space="preserve">{"state": "CA"}</w:t>
      </w:r>
      <w:r>
        <w:t xml:space="preserve"> </w:t>
      </w:r>
      <w:r>
        <w:t xml:space="preserve">es equivalente a</w:t>
      </w:r>
      <w:r>
        <w:t xml:space="preserve"> </w:t>
      </w:r>
      <w:r>
        <w:rPr>
          <w:rStyle w:val="VerbatimChar"/>
        </w:rPr>
        <w:t xml:space="preserve">{$eq: {"state": "CA"}}</w:t>
      </w:r>
      <w:r>
        <w:t xml:space="preserve">.</w:t>
      </w:r>
    </w:p>
    <w:p>
      <w:pPr>
        <w:pStyle w:val="BodyText"/>
      </w:pPr>
      <w:r>
        <w:t xml:space="preserve">Los operadores lógicos son</w:t>
      </w:r>
      <w:r>
        <w:t xml:space="preserve"> </w:t>
      </w:r>
      <w:r>
        <w:rPr>
          <w:rStyle w:val="VerbatimChar"/>
        </w:rPr>
        <w:t xml:space="preserve">$and</w:t>
      </w:r>
      <w:r>
        <w:t xml:space="preserve">,</w:t>
      </w:r>
      <w:r>
        <w:t xml:space="preserve"> </w:t>
      </w:r>
      <w:r>
        <w:rPr>
          <w:rStyle w:val="VerbatimChar"/>
        </w:rPr>
        <w:t xml:space="preserve">$or</w:t>
      </w:r>
      <w:r>
        <w:t xml:space="preserve">,</w:t>
      </w:r>
      <w:r>
        <w:t xml:space="preserve"> </w:t>
      </w:r>
      <w:r>
        <w:rPr>
          <w:rStyle w:val="VerbatimChar"/>
        </w:rPr>
        <w:t xml:space="preserve">$not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$nor</w:t>
      </w:r>
      <w:r>
        <w:t xml:space="preserve">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$and</w:t>
      </w:r>
      <w:r>
        <w:t xml:space="preserve">: verdadero si se cumplen todas las condiciones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$or</w:t>
      </w:r>
      <w:r>
        <w:t xml:space="preserve">: verdadero si al menos una de las condiciones se cumple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$nor</w:t>
      </w:r>
      <w:r>
        <w:t xml:space="preserve">: verdadero si no se cumple ninguna de las condiciones dadas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$not</w:t>
      </w:r>
      <w:r>
        <w:t xml:space="preserve">: verdadero si la condición es falsa</w:t>
      </w:r>
    </w:p>
    <w:p>
      <w:pPr>
        <w:pStyle w:val="FirstParagraph"/>
      </w:pPr>
      <w:r>
        <w:t xml:space="preserve">Si una query incluye varias condiciones y ningún operador, MongoDB añade automáticamente el operador</w:t>
      </w:r>
      <w:r>
        <w:t xml:space="preserve"> </w:t>
      </w:r>
      <w:r>
        <w:rPr>
          <w:rStyle w:val="VerbatimChar"/>
        </w:rPr>
        <w:t xml:space="preserve">$and</w:t>
      </w:r>
      <w:r>
        <w:t xml:space="preserve">. Por ejemplo, las dos queries a continuación son idénticas, pero es mucho más cómodo usar la primera:</w:t>
      </w:r>
    </w:p>
    <w:p>
      <w:pPr>
        <w:pStyle w:val="SourceCode"/>
      </w:pPr>
      <w:r>
        <w:rPr>
          <w:rStyle w:val="VerbatimChar"/>
        </w:rPr>
        <w:t xml:space="preserve">{"pop": { $gt :  1000, $lt : 10000}}</w:t>
      </w:r>
      <w:r>
        <w:br/>
      </w:r>
      <w:r>
        <w:br/>
      </w:r>
      <w:r>
        <w:rPr>
          <w:rStyle w:val="VerbatimChar"/>
        </w:rPr>
        <w:t xml:space="preserve">{"$and": [{"pop": {"$gt": 1000}}, {"pop": {"$lt": 10000}}]}</w:t>
      </w:r>
    </w:p>
    <w:bookmarkEnd w:id="46"/>
    <w:bookmarkStart w:id="50" w:name="línea-de-comandos"/>
    <w:p>
      <w:pPr>
        <w:pStyle w:val="Heading2"/>
      </w:pPr>
      <w:r>
        <w:t xml:space="preserve">Línea de comandos</w:t>
      </w:r>
    </w:p>
    <w:p>
      <w:pPr>
        <w:pStyle w:val="FirstParagraph"/>
      </w:pPr>
      <w:r>
        <w:t xml:space="preserve">La interfaz gráfica es útil para visualizar el conjunto de datos y realizar consultas y modificaciones rápidas, pero sólo da acceso a una pequeña parte de la funcionalidad de MongoDB; la mayoría de operaciones sólo se pueden realizar desde la línea de comandos. Compass incluye una línea de comandos que se puede abrir pulsando sobre</w:t>
      </w:r>
      <w:r>
        <w:t xml:space="preserve"> </w:t>
      </w:r>
      <w:r>
        <w:rPr>
          <w:rStyle w:val="VerbatimChar"/>
        </w:rPr>
        <w:t xml:space="preserve">&gt;_MONGOSH</w:t>
      </w:r>
      <w:r>
        <w:t xml:space="preserve"> </w:t>
      </w:r>
      <w:r>
        <w:t xml:space="preserve">en la barra inferior.</w:t>
      </w:r>
    </w:p>
    <w:p>
      <w:pPr>
        <w:pStyle w:val="CaptionedFigure"/>
      </w:pPr>
      <w:r>
        <w:drawing>
          <wp:inline>
            <wp:extent cx="5334000" cy="252271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/image-2021112313272748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En este ejemplo ejecutamos la misma búsqueda que en el apartado anterior:</w:t>
      </w:r>
    </w:p>
    <w:p>
      <w:pPr>
        <w:pStyle w:val="SourceCode"/>
      </w:pPr>
      <w:r>
        <w:rPr>
          <w:rStyle w:val="VerbatimChar"/>
        </w:rPr>
        <w:t xml:space="preserve"># Mostrar todas las bases de datos</w:t>
      </w:r>
      <w:r>
        <w:br/>
      </w:r>
      <w:r>
        <w:rPr>
          <w:rStyle w:val="VerbatimChar"/>
        </w:rPr>
        <w:t xml:space="preserve">show dbs</w:t>
      </w:r>
      <w:r>
        <w:br/>
      </w:r>
      <w:r>
        <w:br/>
      </w:r>
      <w:r>
        <w:rPr>
          <w:rStyle w:val="VerbatimChar"/>
        </w:rPr>
        <w:t xml:space="preserve"># Seleccionar una</w:t>
      </w:r>
      <w:r>
        <w:br/>
      </w:r>
      <w:r>
        <w:rPr>
          <w:rStyle w:val="VerbatimChar"/>
        </w:rPr>
        <w:t xml:space="preserve">use sample_training</w:t>
      </w:r>
      <w:r>
        <w:br/>
      </w:r>
      <w:r>
        <w:br/>
      </w:r>
      <w:r>
        <w:rPr>
          <w:rStyle w:val="VerbatimChar"/>
        </w:rPr>
        <w:t xml:space="preserve"># Mostrar las colecciones</w:t>
      </w:r>
      <w:r>
        <w:br/>
      </w:r>
      <w:r>
        <w:rPr>
          <w:rStyle w:val="VerbatimChar"/>
        </w:rPr>
        <w:t xml:space="preserve">show collections</w:t>
      </w:r>
      <w:r>
        <w:br/>
      </w:r>
      <w:r>
        <w:br/>
      </w:r>
      <w:r>
        <w:rPr>
          <w:rStyle w:val="VerbatimChar"/>
        </w:rPr>
        <w:t xml:space="preserve"># Realizar una query</w:t>
      </w:r>
      <w:r>
        <w:br/>
      </w:r>
      <w:r>
        <w:rPr>
          <w:rStyle w:val="VerbatimChar"/>
        </w:rPr>
        <w:t xml:space="preserve">db.zips.find({"state": "CA"})</w:t>
      </w:r>
      <w:r>
        <w:br/>
      </w:r>
      <w:r>
        <w:rPr>
          <w:rStyle w:val="VerbatimChar"/>
        </w:rPr>
        <w:t xml:space="preserve">db.zips.find({"state": "CA"}).pretty()</w:t>
      </w:r>
      <w:r>
        <w:br/>
      </w:r>
      <w:r>
        <w:br/>
      </w:r>
      <w:r>
        <w:rPr>
          <w:rStyle w:val="VerbatimChar"/>
        </w:rPr>
        <w:t xml:space="preserve"># Se muestran 20 resultados por pantalla.</w:t>
      </w:r>
      <w:r>
        <w:br/>
      </w:r>
      <w:r>
        <w:rPr>
          <w:rStyle w:val="VerbatimChar"/>
        </w:rPr>
        <w:t xml:space="preserve"># Para ver los 20 siguientes escribir "it" (iterate)</w:t>
      </w:r>
      <w:r>
        <w:br/>
      </w:r>
      <w:r>
        <w:rPr>
          <w:rStyle w:val="VerbatimChar"/>
        </w:rPr>
        <w:t xml:space="preserve">it</w:t>
      </w:r>
    </w:p>
    <w:p>
      <w:pPr>
        <w:pStyle w:val="FirstParagraph"/>
      </w:pPr>
    </w:p>
    <w:bookmarkEnd w:id="50"/>
    <w:bookmarkStart w:id="51" w:name="modificar-datos"/>
    <w:p>
      <w:pPr>
        <w:pStyle w:val="Heading2"/>
      </w:pPr>
      <w:r>
        <w:t xml:space="preserve">Modificar datos</w:t>
      </w:r>
    </w:p>
    <w:p>
      <w:pPr>
        <w:pStyle w:val="FirstParagraph"/>
      </w:pPr>
      <w:r>
        <w:t xml:space="preserve">Los documentos se pueden modificar desde la línea de comandos con: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updateMany</w:t>
      </w:r>
      <w:r>
        <w:t xml:space="preserve">: modifica todos los documentos que cumplan la condición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updateOne</w:t>
      </w:r>
      <w:r>
        <w:t xml:space="preserve">: modifica sólo el primer documento que encuentre. Como los documentos no están ordenados, el documento que se modificará es aleatorio</w:t>
      </w:r>
    </w:p>
    <w:p>
      <w:pPr>
        <w:pStyle w:val="FirstParagraph"/>
      </w:pPr>
      <w:r>
        <w:t xml:space="preserve">En ambos casos, la sintaxis utiliza dos objetos JSON: el primero se utiliza para buscar los documentos que queremos cambiar, y el segundo define la modificación.</w:t>
      </w:r>
    </w:p>
    <w:p>
      <w:pPr>
        <w:pStyle w:val="SourceCode"/>
      </w:pPr>
      <w:r>
        <w:rPr>
          <w:rStyle w:val="VerbatimChar"/>
        </w:rPr>
        <w:t xml:space="preserve"># Añadir 100 habitantes a todas las ciudades de California</w:t>
      </w:r>
      <w:r>
        <w:br/>
      </w:r>
      <w:r>
        <w:rPr>
          <w:rStyle w:val="VerbatimChar"/>
        </w:rPr>
        <w:t xml:space="preserve">db.zips.updateMany({"state": "CA"}, {"$inc": {"pop": 100}})</w:t>
      </w:r>
    </w:p>
    <w:p>
      <w:pPr>
        <w:pStyle w:val="FirstParagraph"/>
      </w:pPr>
      <w:r>
        <w:t xml:space="preserve">Los operadores de modificación son: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$inc</w:t>
      </w:r>
      <w:r>
        <w:t xml:space="preserve">: aumenta un valor numérico (o lo disminuye si la cantidad es negativa)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$set</w:t>
      </w:r>
      <w:r>
        <w:t xml:space="preserve">: cambia el valor de una clave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$unset</w:t>
      </w:r>
      <w:r>
        <w:t xml:space="preserve">: elimina una clave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$push</w:t>
      </w:r>
      <w:r>
        <w:t xml:space="preserve">: añade un valor a un array</w:t>
      </w:r>
    </w:p>
    <w:p>
      <w:pPr>
        <w:pStyle w:val="FirstParagraph"/>
      </w:pPr>
    </w:p>
    <w:bookmarkEnd w:id="51"/>
    <w:bookmarkStart w:id="52" w:name="borrar-datos"/>
    <w:p>
      <w:pPr>
        <w:pStyle w:val="Heading2"/>
      </w:pPr>
      <w:r>
        <w:t xml:space="preserve">Borrar datos</w:t>
      </w:r>
    </w:p>
    <w:p>
      <w:pPr>
        <w:pStyle w:val="FirstParagraph"/>
      </w:pPr>
      <w:r>
        <w:t xml:space="preserve">Usar las funciones</w:t>
      </w:r>
      <w:r>
        <w:t xml:space="preserve"> </w:t>
      </w:r>
      <w:r>
        <w:rPr>
          <w:rStyle w:val="VerbatimChar"/>
        </w:rPr>
        <w:t xml:space="preserve">deleteOne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deleteMany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Eliminar California del conjunto de datos</w:t>
      </w:r>
      <w:r>
        <w:br/>
      </w:r>
      <w:r>
        <w:rPr>
          <w:rStyle w:val="VerbatimChar"/>
        </w:rPr>
        <w:t xml:space="preserve">db.zips.deleteMany({"state": "CA"})</w:t>
      </w:r>
    </w:p>
    <w:p>
      <w:pPr>
        <w:pStyle w:val="FirstParagraph"/>
      </w:pPr>
      <w:r>
        <w:t xml:space="preserve">También podemos borrar colecciones o bases de datos enteras con</w:t>
      </w:r>
      <w:r>
        <w:t xml:space="preserve"> </w:t>
      </w:r>
      <w:r>
        <w:rPr>
          <w:rStyle w:val="VerbatimChar"/>
        </w:rPr>
        <w:t xml:space="preserve">drop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Eliminar la colección zips</w:t>
      </w:r>
      <w:r>
        <w:br/>
      </w:r>
      <w:r>
        <w:rPr>
          <w:rStyle w:val="VerbatimChar"/>
        </w:rPr>
        <w:t xml:space="preserve">db.zips.drop()</w:t>
      </w:r>
      <w:r>
        <w:br/>
      </w:r>
      <w:r>
        <w:br/>
      </w:r>
      <w:r>
        <w:rPr>
          <w:rStyle w:val="VerbatimChar"/>
        </w:rPr>
        <w:t xml:space="preserve"># Eliminar la base de datos</w:t>
      </w:r>
      <w:r>
        <w:br/>
      </w:r>
      <w:r>
        <w:rPr>
          <w:rStyle w:val="VerbatimChar"/>
        </w:rPr>
        <w:t xml:space="preserve">db.dropDatabase()</w:t>
      </w:r>
    </w:p>
    <w:p>
      <w:pPr>
        <w:pStyle w:val="FirstParagraph"/>
      </w:pPr>
    </w:p>
    <w:bookmarkEnd w:id="52"/>
    <w:bookmarkStart w:id="54" w:name="referencias"/>
    <w:p>
      <w:pPr>
        <w:pStyle w:val="Heading2"/>
      </w:pPr>
      <w:r>
        <w:t xml:space="preserve">Referencias</w:t>
      </w:r>
    </w:p>
    <w:p>
      <w:pPr>
        <w:pStyle w:val="FirstParagraph"/>
      </w:pPr>
      <w:r>
        <w:t xml:space="preserve">Hemos elaborado este tutorial a partir del curso gratuito</w:t>
      </w:r>
      <w:r>
        <w:t xml:space="preserve"> </w:t>
      </w:r>
      <w:r>
        <w:rPr>
          <w:bCs/>
          <w:b/>
        </w:rPr>
        <w:t xml:space="preserve">M001: MongoDB Basics</w:t>
      </w:r>
      <w:r>
        <w:t xml:space="preserve"> </w:t>
      </w:r>
      <w:r>
        <w:t xml:space="preserve">en</w:t>
      </w:r>
      <w:r>
        <w:t xml:space="preserve"> </w:t>
      </w:r>
      <w:hyperlink r:id="rId53">
        <w:r>
          <w:rPr>
            <w:rStyle w:val="Hyperlink"/>
          </w:rPr>
          <w:t xml:space="preserve">MongoDB University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hyperlink" Id="rId25" Target="https://andresf.gitbook.io/apuntes/almacenamiento/mongodbatlas" TargetMode="External" /><Relationship Type="http://schemas.openxmlformats.org/officeDocument/2006/relationships/hyperlink" Id="rId53" Target="https://university.mongodb.com" TargetMode="External" /><Relationship Type="http://schemas.openxmlformats.org/officeDocument/2006/relationships/hyperlink" Id="rId24" Target="https://www.mongodb.com/try/download/commun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ndresf.gitbook.io/apuntes/almacenamiento/mongodbatlas" TargetMode="External" /><Relationship Type="http://schemas.openxmlformats.org/officeDocument/2006/relationships/hyperlink" Id="rId53" Target="https://university.mongodb.com" TargetMode="External" /><Relationship Type="http://schemas.openxmlformats.org/officeDocument/2006/relationships/hyperlink" Id="rId24" Target="https://www.mongodb.com/try/download/commun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2021-11-25T14:07:11Z</dcterms:created>
  <dcterms:modified xsi:type="dcterms:W3CDTF">2021-11-25T14:07:11Z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