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A286E" w14:textId="480AAE6A" w:rsidR="00293BF6" w:rsidRDefault="00825C3B" w:rsidP="00825C3B">
      <w:pPr>
        <w:pStyle w:val="1"/>
        <w:pBdr>
          <w:bottom w:val="single" w:sz="12" w:space="0" w:color="731C3F" w:themeColor="accent4"/>
        </w:pBdr>
        <w:rPr>
          <w:sz w:val="56"/>
        </w:rPr>
      </w:pPr>
      <w:r w:rsidRPr="00825C3B">
        <w:rPr>
          <w:sz w:val="56"/>
        </w:rPr>
        <w:t>CS</w:t>
      </w:r>
      <w:r w:rsidR="00D10795">
        <w:rPr>
          <w:sz w:val="56"/>
        </w:rPr>
        <w:t>E</w:t>
      </w:r>
      <w:r w:rsidRPr="00825C3B">
        <w:rPr>
          <w:sz w:val="56"/>
        </w:rPr>
        <w:t xml:space="preserve"> </w:t>
      </w:r>
      <w:r w:rsidR="00D10795">
        <w:rPr>
          <w:sz w:val="56"/>
        </w:rPr>
        <w:t>6010</w:t>
      </w:r>
      <w:r w:rsidRPr="00825C3B">
        <w:rPr>
          <w:sz w:val="56"/>
        </w:rPr>
        <w:t xml:space="preserve"> </w:t>
      </w:r>
    </w:p>
    <w:p w14:paraId="2D6DBD22" w14:textId="77777777" w:rsidR="00825C3B" w:rsidRPr="00825C3B" w:rsidRDefault="00825C3B" w:rsidP="00825C3B">
      <w:pPr>
        <w:rPr>
          <w:b/>
          <w:sz w:val="32"/>
        </w:rPr>
      </w:pPr>
      <w:r w:rsidRPr="00825C3B">
        <w:rPr>
          <w:b/>
          <w:sz w:val="32"/>
        </w:rPr>
        <w:t xml:space="preserve">Assignment 1 </w:t>
      </w:r>
      <w:r w:rsidRPr="00825C3B">
        <w:rPr>
          <w:b/>
          <w:sz w:val="32"/>
        </w:rPr>
        <w:tab/>
      </w:r>
      <w:r w:rsidRPr="00825C3B">
        <w:rPr>
          <w:b/>
          <w:sz w:val="32"/>
        </w:rPr>
        <w:tab/>
      </w:r>
      <w:r w:rsidRPr="00825C3B">
        <w:rPr>
          <w:b/>
          <w:sz w:val="32"/>
        </w:rPr>
        <w:tab/>
      </w:r>
      <w:r w:rsidRPr="00825C3B">
        <w:rPr>
          <w:b/>
          <w:sz w:val="32"/>
        </w:rPr>
        <w:tab/>
      </w:r>
      <w:r w:rsidRPr="00825C3B">
        <w:rPr>
          <w:b/>
          <w:sz w:val="32"/>
        </w:rPr>
        <w:tab/>
      </w:r>
      <w:r w:rsidRPr="00825C3B">
        <w:rPr>
          <w:b/>
          <w:sz w:val="32"/>
        </w:rPr>
        <w:tab/>
      </w:r>
      <w:r w:rsidRPr="00825C3B">
        <w:rPr>
          <w:b/>
          <w:sz w:val="32"/>
        </w:rPr>
        <w:tab/>
      </w:r>
      <w:r w:rsidRPr="00825C3B">
        <w:rPr>
          <w:b/>
          <w:sz w:val="32"/>
        </w:rPr>
        <w:tab/>
        <w:t>Wenxiang Lei</w:t>
      </w:r>
    </w:p>
    <w:p w14:paraId="65FD8B87" w14:textId="77777777" w:rsidR="00825C3B" w:rsidRDefault="00825C3B" w:rsidP="00825C3B"/>
    <w:p w14:paraId="5464A153" w14:textId="6EDD86B2" w:rsidR="00255DD8" w:rsidRDefault="00255DD8" w:rsidP="000051E7">
      <w:pPr>
        <w:autoSpaceDE w:val="0"/>
        <w:autoSpaceDN w:val="0"/>
        <w:adjustRightInd w:val="0"/>
        <w:rPr>
          <w:b/>
          <w:color w:val="000000" w:themeColor="text1"/>
          <w:sz w:val="36"/>
          <w:szCs w:val="32"/>
          <w:lang w:eastAsia="ja-JP"/>
        </w:rPr>
      </w:pPr>
      <w:r>
        <w:rPr>
          <w:b/>
          <w:color w:val="000000" w:themeColor="text1"/>
          <w:sz w:val="36"/>
          <w:szCs w:val="32"/>
          <w:lang w:eastAsia="ja-JP"/>
        </w:rPr>
        <w:t>Report</w:t>
      </w:r>
    </w:p>
    <w:p w14:paraId="1344BAE7" w14:textId="7CA179A1" w:rsidR="00293BF6" w:rsidRDefault="00293BF6" w:rsidP="00502567">
      <w:pPr>
        <w:autoSpaceDE w:val="0"/>
        <w:autoSpaceDN w:val="0"/>
        <w:adjustRightInd w:val="0"/>
        <w:rPr>
          <w:color w:val="000000" w:themeColor="text1"/>
          <w:sz w:val="32"/>
          <w:szCs w:val="28"/>
          <w:lang w:eastAsia="ja-JP"/>
        </w:rPr>
      </w:pPr>
    </w:p>
    <w:p w14:paraId="158B4E68" w14:textId="77777777" w:rsidR="00DC2973" w:rsidRDefault="00255DD8" w:rsidP="00502567">
      <w:pPr>
        <w:autoSpaceDE w:val="0"/>
        <w:autoSpaceDN w:val="0"/>
        <w:adjustRightInd w:val="0"/>
        <w:rPr>
          <w:color w:val="000000" w:themeColor="text1"/>
          <w:sz w:val="32"/>
          <w:szCs w:val="28"/>
          <w:lang w:eastAsia="ja-JP"/>
        </w:rPr>
      </w:pPr>
      <w:r>
        <w:rPr>
          <w:color w:val="000000" w:themeColor="text1"/>
          <w:sz w:val="32"/>
          <w:szCs w:val="28"/>
          <w:lang w:eastAsia="ja-JP"/>
        </w:rPr>
        <w:t xml:space="preserve">I use seven different function to create the forest-fire simulation. </w:t>
      </w:r>
    </w:p>
    <w:p w14:paraId="1EB76B3B" w14:textId="77777777" w:rsidR="00DC2973" w:rsidRDefault="00DC2973" w:rsidP="00502567">
      <w:pPr>
        <w:autoSpaceDE w:val="0"/>
        <w:autoSpaceDN w:val="0"/>
        <w:adjustRightInd w:val="0"/>
        <w:rPr>
          <w:color w:val="000000" w:themeColor="text1"/>
          <w:sz w:val="32"/>
          <w:szCs w:val="28"/>
          <w:lang w:eastAsia="ja-JP"/>
        </w:rPr>
      </w:pPr>
    </w:p>
    <w:p w14:paraId="7D996BD1" w14:textId="44544611" w:rsidR="00DC2973" w:rsidRDefault="00DC2973" w:rsidP="00502567">
      <w:pPr>
        <w:autoSpaceDE w:val="0"/>
        <w:autoSpaceDN w:val="0"/>
        <w:adjustRightInd w:val="0"/>
        <w:rPr>
          <w:color w:val="000000" w:themeColor="text1"/>
          <w:sz w:val="32"/>
          <w:szCs w:val="28"/>
          <w:lang w:eastAsia="ja-JP"/>
        </w:rPr>
      </w:pPr>
      <w:r>
        <w:rPr>
          <w:noProof/>
          <w:color w:val="000000" w:themeColor="text1"/>
          <w:sz w:val="32"/>
          <w:szCs w:val="28"/>
        </w:rPr>
        <w:drawing>
          <wp:inline distT="0" distB="0" distL="0" distR="0" wp14:anchorId="7010C242" wp14:editId="21BDEAE6">
            <wp:extent cx="5309235" cy="3669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9-07 下午2.35.24.png"/>
                    <pic:cNvPicPr/>
                  </pic:nvPicPr>
                  <pic:blipFill>
                    <a:blip r:embed="rId7">
                      <a:extLst>
                        <a:ext uri="{28A0092B-C50C-407E-A947-70E740481C1C}">
                          <a14:useLocalDpi xmlns:a14="http://schemas.microsoft.com/office/drawing/2010/main" val="0"/>
                        </a:ext>
                      </a:extLst>
                    </a:blip>
                    <a:stretch>
                      <a:fillRect/>
                    </a:stretch>
                  </pic:blipFill>
                  <pic:spPr>
                    <a:xfrm>
                      <a:off x="0" y="0"/>
                      <a:ext cx="5310241" cy="3670499"/>
                    </a:xfrm>
                    <a:prstGeom prst="rect">
                      <a:avLst/>
                    </a:prstGeom>
                  </pic:spPr>
                </pic:pic>
              </a:graphicData>
            </a:graphic>
          </wp:inline>
        </w:drawing>
      </w:r>
    </w:p>
    <w:p w14:paraId="0DE94D67" w14:textId="77777777" w:rsidR="00DC2973" w:rsidRDefault="00255DD8" w:rsidP="00502567">
      <w:pPr>
        <w:autoSpaceDE w:val="0"/>
        <w:autoSpaceDN w:val="0"/>
        <w:adjustRightInd w:val="0"/>
        <w:rPr>
          <w:color w:val="000000" w:themeColor="text1"/>
          <w:sz w:val="32"/>
          <w:szCs w:val="28"/>
          <w:lang w:eastAsia="ja-JP"/>
        </w:rPr>
      </w:pPr>
      <w:r>
        <w:rPr>
          <w:color w:val="000000" w:themeColor="text1"/>
          <w:sz w:val="32"/>
          <w:szCs w:val="28"/>
          <w:lang w:eastAsia="ja-JP"/>
        </w:rPr>
        <w:t xml:space="preserve">In the main function, </w:t>
      </w:r>
      <w:r w:rsidR="00DC2973">
        <w:rPr>
          <w:color w:val="000000" w:themeColor="text1"/>
          <w:sz w:val="32"/>
          <w:szCs w:val="28"/>
          <w:lang w:eastAsia="ja-JP"/>
        </w:rPr>
        <w:t xml:space="preserve">at first, I create a 2-D arrays </w:t>
      </w:r>
    </w:p>
    <w:p w14:paraId="0C880819" w14:textId="14C651C9" w:rsidR="00255DD8" w:rsidRDefault="00DC2973" w:rsidP="00502567">
      <w:pPr>
        <w:autoSpaceDE w:val="0"/>
        <w:autoSpaceDN w:val="0"/>
        <w:adjustRightInd w:val="0"/>
        <w:rPr>
          <w:color w:val="000000" w:themeColor="text1"/>
          <w:sz w:val="32"/>
          <w:szCs w:val="28"/>
          <w:lang w:eastAsia="ja-JP"/>
        </w:rPr>
      </w:pPr>
      <w:r>
        <w:rPr>
          <w:color w:val="000000" w:themeColor="text1"/>
          <w:sz w:val="32"/>
          <w:szCs w:val="28"/>
          <w:lang w:eastAsia="ja-JP"/>
        </w:rPr>
        <w:t>“grid[ROWS][COLUMNS]” which ROWS &amp; COLUMNS are defined using #define, you can change the value easily. I use 100 for rows and 100 for columns to make 100*100 grid as assignment required.</w:t>
      </w:r>
    </w:p>
    <w:p w14:paraId="5548B45A" w14:textId="4B4D6CFE" w:rsidR="00DC2973" w:rsidRDefault="00DC2973" w:rsidP="00502567">
      <w:pPr>
        <w:autoSpaceDE w:val="0"/>
        <w:autoSpaceDN w:val="0"/>
        <w:adjustRightInd w:val="0"/>
        <w:rPr>
          <w:color w:val="000000" w:themeColor="text1"/>
          <w:sz w:val="32"/>
          <w:szCs w:val="28"/>
          <w:lang w:eastAsia="ja-JP"/>
        </w:rPr>
      </w:pPr>
      <w:r>
        <w:rPr>
          <w:noProof/>
          <w:color w:val="000000" w:themeColor="text1"/>
          <w:sz w:val="32"/>
          <w:szCs w:val="28"/>
        </w:rPr>
        <w:drawing>
          <wp:inline distT="0" distB="0" distL="0" distR="0" wp14:anchorId="745B30C0" wp14:editId="194F5D98">
            <wp:extent cx="2356485" cy="444500"/>
            <wp:effectExtent l="0" t="0" r="571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9-07 下午2.36.24.png"/>
                    <pic:cNvPicPr/>
                  </pic:nvPicPr>
                  <pic:blipFill>
                    <a:blip r:embed="rId8">
                      <a:extLst>
                        <a:ext uri="{28A0092B-C50C-407E-A947-70E740481C1C}">
                          <a14:useLocalDpi xmlns:a14="http://schemas.microsoft.com/office/drawing/2010/main" val="0"/>
                        </a:ext>
                      </a:extLst>
                    </a:blip>
                    <a:stretch>
                      <a:fillRect/>
                    </a:stretch>
                  </pic:blipFill>
                  <pic:spPr>
                    <a:xfrm>
                      <a:off x="0" y="0"/>
                      <a:ext cx="2356485" cy="444500"/>
                    </a:xfrm>
                    <a:prstGeom prst="rect">
                      <a:avLst/>
                    </a:prstGeom>
                  </pic:spPr>
                </pic:pic>
              </a:graphicData>
            </a:graphic>
          </wp:inline>
        </w:drawing>
      </w:r>
    </w:p>
    <w:p w14:paraId="5F60A543" w14:textId="65A613CA" w:rsidR="00FC3F9E" w:rsidRDefault="00FC3F9E" w:rsidP="00FC3F9E">
      <w:pPr>
        <w:rPr>
          <w:color w:val="000000" w:themeColor="text1"/>
        </w:rPr>
      </w:pPr>
      <w:r>
        <w:rPr>
          <w:color w:val="000000" w:themeColor="text1"/>
          <w:sz w:val="32"/>
          <w:szCs w:val="28"/>
          <w:lang w:eastAsia="ja-JP"/>
        </w:rPr>
        <w:t xml:space="preserve">Then use </w:t>
      </w:r>
      <w:r w:rsidRPr="00FC3F9E">
        <w:rPr>
          <w:color w:val="000000" w:themeColor="text1"/>
        </w:rPr>
        <w:t>srand()</w:t>
      </w:r>
      <w:r>
        <w:rPr>
          <w:color w:val="000000" w:themeColor="text1"/>
        </w:rPr>
        <w:t xml:space="preserve"> function</w:t>
      </w:r>
      <w:r w:rsidRPr="00FC3F9E">
        <w:rPr>
          <w:color w:val="000000" w:themeColor="text1"/>
        </w:rPr>
        <w:t xml:space="preserve"> to set the seed to be used by the random generator algorithm.</w:t>
      </w:r>
      <w:r>
        <w:rPr>
          <w:color w:val="000000" w:themeColor="text1"/>
        </w:rPr>
        <w:t xml:space="preserve"> The initialize() function use to set every cells in grid to be 0. In the outer for loop, the prob is equal to growth probability g </w:t>
      </w:r>
      <w:r w:rsidR="008E4FE7">
        <w:rPr>
          <w:color w:val="000000" w:themeColor="text1"/>
        </w:rPr>
        <w:t>and it</w:t>
      </w:r>
      <w:r>
        <w:rPr>
          <w:color w:val="000000" w:themeColor="text1"/>
        </w:rPr>
        <w:t xml:space="preserve"> </w:t>
      </w:r>
      <w:r w:rsidR="008E4FE7">
        <w:rPr>
          <w:color w:val="000000" w:themeColor="text1"/>
        </w:rPr>
        <w:t>chose</w:t>
      </w:r>
      <w:r>
        <w:rPr>
          <w:color w:val="000000" w:themeColor="text1"/>
        </w:rPr>
        <w:t xml:space="preserve"> from 0.01 to 0.99</w:t>
      </w:r>
      <w:r w:rsidR="008E4FE7">
        <w:rPr>
          <w:color w:val="000000" w:themeColor="text1"/>
        </w:rPr>
        <w:t>.</w:t>
      </w:r>
    </w:p>
    <w:p w14:paraId="2F5224A5" w14:textId="18F3DB6A" w:rsidR="008E4FE7" w:rsidRDefault="008E4FE7" w:rsidP="00FC3F9E">
      <w:pPr>
        <w:rPr>
          <w:color w:val="000000" w:themeColor="text1"/>
        </w:rPr>
      </w:pPr>
      <w:r>
        <w:rPr>
          <w:color w:val="000000" w:themeColor="text1"/>
        </w:rPr>
        <w:lastRenderedPageBreak/>
        <w:t>In the inner for loop, the STEPS means the maximum time step, I set it to 1000.</w:t>
      </w:r>
      <w:r w:rsidR="00622F1C">
        <w:rPr>
          <w:color w:val="000000" w:themeColor="text1"/>
        </w:rPr>
        <w:t xml:space="preserve"> At each time step, run growth_phase function then run fire_phase function</w:t>
      </w:r>
      <w:r w:rsidR="003918A9">
        <w:rPr>
          <w:color w:val="000000" w:themeColor="text1"/>
        </w:rPr>
        <w:t>, then get the occupied cells and calculate the average occupied cells after all the time steps.</w:t>
      </w:r>
    </w:p>
    <w:p w14:paraId="33A696CC" w14:textId="327F4CF1" w:rsidR="003918A9" w:rsidRPr="00FC3F9E" w:rsidRDefault="003918A9" w:rsidP="00FC3F9E">
      <w:r>
        <w:rPr>
          <w:color w:val="000000" w:themeColor="text1"/>
        </w:rPr>
        <w:t>Here is the partial result I obtained</w:t>
      </w:r>
      <w:r>
        <w:rPr>
          <w:noProof/>
        </w:rPr>
        <w:drawing>
          <wp:inline distT="0" distB="0" distL="0" distR="0" wp14:anchorId="58B77977" wp14:editId="3330D666">
            <wp:extent cx="5473700" cy="18542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9-07 下午3.06.54.png"/>
                    <pic:cNvPicPr/>
                  </pic:nvPicPr>
                  <pic:blipFill>
                    <a:blip r:embed="rId9">
                      <a:extLst>
                        <a:ext uri="{28A0092B-C50C-407E-A947-70E740481C1C}">
                          <a14:useLocalDpi xmlns:a14="http://schemas.microsoft.com/office/drawing/2010/main" val="0"/>
                        </a:ext>
                      </a:extLst>
                    </a:blip>
                    <a:stretch>
                      <a:fillRect/>
                    </a:stretch>
                  </pic:blipFill>
                  <pic:spPr>
                    <a:xfrm>
                      <a:off x="0" y="0"/>
                      <a:ext cx="5473700" cy="1854200"/>
                    </a:xfrm>
                    <a:prstGeom prst="rect">
                      <a:avLst/>
                    </a:prstGeom>
                  </pic:spPr>
                </pic:pic>
              </a:graphicData>
            </a:graphic>
          </wp:inline>
        </w:drawing>
      </w:r>
    </w:p>
    <w:p w14:paraId="12B47B35" w14:textId="59F231F6" w:rsidR="00DC2973" w:rsidRDefault="00DC2973" w:rsidP="00502567">
      <w:pPr>
        <w:autoSpaceDE w:val="0"/>
        <w:autoSpaceDN w:val="0"/>
        <w:adjustRightInd w:val="0"/>
        <w:rPr>
          <w:color w:val="000000" w:themeColor="text1"/>
          <w:sz w:val="32"/>
          <w:szCs w:val="28"/>
          <w:lang w:eastAsia="ja-JP"/>
        </w:rPr>
      </w:pPr>
    </w:p>
    <w:p w14:paraId="584A3690" w14:textId="76458371" w:rsidR="00EA7651" w:rsidRDefault="003B73EA" w:rsidP="00502567">
      <w:pPr>
        <w:autoSpaceDE w:val="0"/>
        <w:autoSpaceDN w:val="0"/>
        <w:adjustRightInd w:val="0"/>
        <w:rPr>
          <w:color w:val="000000" w:themeColor="text1"/>
          <w:sz w:val="32"/>
          <w:szCs w:val="28"/>
          <w:lang w:eastAsia="ja-JP"/>
        </w:rPr>
      </w:pPr>
      <w:r>
        <w:rPr>
          <w:color w:val="000000" w:themeColor="text1"/>
          <w:sz w:val="32"/>
          <w:szCs w:val="28"/>
          <w:lang w:eastAsia="ja-JP"/>
        </w:rPr>
        <w:t>After I plug lightning strike probability f = 0.01, 0.02, 0.05, I get the result and create a graph.</w:t>
      </w:r>
    </w:p>
    <w:p w14:paraId="17FFE982" w14:textId="77777777" w:rsidR="00673D44" w:rsidRDefault="00673D44" w:rsidP="00502567">
      <w:pPr>
        <w:autoSpaceDE w:val="0"/>
        <w:autoSpaceDN w:val="0"/>
        <w:adjustRightInd w:val="0"/>
        <w:rPr>
          <w:color w:val="000000" w:themeColor="text1"/>
          <w:sz w:val="32"/>
          <w:szCs w:val="28"/>
          <w:lang w:eastAsia="ja-JP"/>
        </w:rPr>
      </w:pPr>
    </w:p>
    <w:p w14:paraId="25E2F6FD" w14:textId="7D6E4F6F" w:rsidR="003B73EA" w:rsidRDefault="003B73EA" w:rsidP="00502567">
      <w:pPr>
        <w:autoSpaceDE w:val="0"/>
        <w:autoSpaceDN w:val="0"/>
        <w:adjustRightInd w:val="0"/>
        <w:rPr>
          <w:color w:val="000000" w:themeColor="text1"/>
          <w:sz w:val="32"/>
          <w:szCs w:val="28"/>
          <w:lang w:eastAsia="ja-JP"/>
        </w:rPr>
      </w:pPr>
      <w:r>
        <w:rPr>
          <w:noProof/>
        </w:rPr>
        <w:drawing>
          <wp:anchor distT="0" distB="0" distL="114300" distR="114300" simplePos="0" relativeHeight="251658240" behindDoc="0" locked="0" layoutInCell="1" allowOverlap="1" wp14:anchorId="0C900A76" wp14:editId="14F67942">
            <wp:simplePos x="0" y="0"/>
            <wp:positionH relativeFrom="column">
              <wp:posOffset>0</wp:posOffset>
            </wp:positionH>
            <wp:positionV relativeFrom="paragraph">
              <wp:posOffset>4445</wp:posOffset>
            </wp:positionV>
            <wp:extent cx="5880735" cy="4145280"/>
            <wp:effectExtent l="0" t="0" r="12065" b="2032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73D44">
        <w:rPr>
          <w:color w:val="000000" w:themeColor="text1"/>
          <w:sz w:val="32"/>
          <w:szCs w:val="28"/>
          <w:lang w:eastAsia="ja-JP"/>
        </w:rPr>
        <w:t>From this graph we can find out, the average occupied cells in different f has the same trend. It goes up initially, then when growth rate(g) at 0.15 it reaches the apex, after that it goes down.</w:t>
      </w:r>
      <w:r w:rsidR="00737F31">
        <w:rPr>
          <w:color w:val="000000" w:themeColor="text1"/>
          <w:sz w:val="32"/>
          <w:szCs w:val="28"/>
          <w:lang w:eastAsia="ja-JP"/>
        </w:rPr>
        <w:t xml:space="preserve"> </w:t>
      </w:r>
      <w:r w:rsidR="00C82376">
        <w:rPr>
          <w:color w:val="000000" w:themeColor="text1"/>
          <w:sz w:val="32"/>
          <w:szCs w:val="28"/>
          <w:lang w:eastAsia="ja-JP"/>
        </w:rPr>
        <w:t>For the lightning strike probability(f), obviously, with larger f the cell with tree would more likely to be burn. Thus the graph shows in that way.</w:t>
      </w:r>
      <w:r w:rsidR="001F1033">
        <w:rPr>
          <w:color w:val="000000" w:themeColor="text1"/>
          <w:sz w:val="32"/>
          <w:szCs w:val="28"/>
          <w:lang w:eastAsia="ja-JP"/>
        </w:rPr>
        <w:t xml:space="preserve"> For g, my speculation is with larger g, after growth phase it would </w:t>
      </w:r>
      <w:r w:rsidR="001F1033">
        <w:rPr>
          <w:color w:val="000000" w:themeColor="text1"/>
          <w:sz w:val="32"/>
          <w:szCs w:val="28"/>
          <w:lang w:eastAsia="ja-JP"/>
        </w:rPr>
        <w:lastRenderedPageBreak/>
        <w:t xml:space="preserve">definitely have more cells with tree, it means more tree cells would </w:t>
      </w:r>
      <w:r w:rsidR="00443964">
        <w:rPr>
          <w:color w:val="000000" w:themeColor="text1"/>
          <w:sz w:val="32"/>
          <w:szCs w:val="28"/>
          <w:lang w:eastAsia="ja-JP"/>
        </w:rPr>
        <w:t xml:space="preserve">be </w:t>
      </w:r>
      <w:r w:rsidR="001F1033">
        <w:rPr>
          <w:color w:val="000000" w:themeColor="text1"/>
          <w:sz w:val="32"/>
          <w:szCs w:val="28"/>
          <w:lang w:eastAsia="ja-JP"/>
        </w:rPr>
        <w:t>connected.</w:t>
      </w:r>
      <w:r w:rsidR="00443964">
        <w:rPr>
          <w:color w:val="000000" w:themeColor="text1"/>
          <w:sz w:val="32"/>
          <w:szCs w:val="28"/>
          <w:lang w:eastAsia="ja-JP"/>
        </w:rPr>
        <w:t xml:space="preserve"> In fire spread phase, more tree cells connected means if one of the cell fire it could make all connected cells to be 0.</w:t>
      </w:r>
      <w:r w:rsidR="00DF79EF">
        <w:rPr>
          <w:color w:val="000000" w:themeColor="text1"/>
          <w:sz w:val="32"/>
          <w:szCs w:val="28"/>
          <w:lang w:eastAsia="ja-JP"/>
        </w:rPr>
        <w:t>That’s why when</w:t>
      </w:r>
      <w:r w:rsidR="002C112A">
        <w:rPr>
          <w:color w:val="000000" w:themeColor="text1"/>
          <w:sz w:val="32"/>
          <w:szCs w:val="28"/>
          <w:lang w:eastAsia="ja-JP"/>
        </w:rPr>
        <w:t xml:space="preserve"> g become larger then the number of average occupied cell drop.</w:t>
      </w:r>
    </w:p>
    <w:p w14:paraId="1325A365" w14:textId="77777777" w:rsidR="000444AB" w:rsidRDefault="000444AB" w:rsidP="00502567">
      <w:pPr>
        <w:autoSpaceDE w:val="0"/>
        <w:autoSpaceDN w:val="0"/>
        <w:adjustRightInd w:val="0"/>
        <w:rPr>
          <w:color w:val="000000" w:themeColor="text1"/>
          <w:sz w:val="32"/>
          <w:szCs w:val="28"/>
          <w:lang w:eastAsia="ja-JP"/>
        </w:rPr>
      </w:pPr>
    </w:p>
    <w:p w14:paraId="5D783DCC" w14:textId="0B0376A3" w:rsidR="00EC3292" w:rsidRDefault="00EC3292" w:rsidP="00EC3292">
      <w:pPr>
        <w:autoSpaceDE w:val="0"/>
        <w:autoSpaceDN w:val="0"/>
        <w:adjustRightInd w:val="0"/>
        <w:rPr>
          <w:b/>
          <w:color w:val="000000" w:themeColor="text1"/>
          <w:sz w:val="36"/>
          <w:szCs w:val="32"/>
          <w:lang w:eastAsia="ja-JP"/>
        </w:rPr>
      </w:pPr>
      <w:r>
        <w:rPr>
          <w:b/>
          <w:color w:val="000000" w:themeColor="text1"/>
          <w:sz w:val="36"/>
          <w:szCs w:val="32"/>
          <w:lang w:eastAsia="ja-JP"/>
        </w:rPr>
        <w:t>Literature Review</w:t>
      </w:r>
    </w:p>
    <w:p w14:paraId="25FA0FDE" w14:textId="77777777" w:rsidR="000444AB" w:rsidRPr="00CD0B9C" w:rsidRDefault="000444AB" w:rsidP="00502567">
      <w:pPr>
        <w:autoSpaceDE w:val="0"/>
        <w:autoSpaceDN w:val="0"/>
        <w:adjustRightInd w:val="0"/>
        <w:rPr>
          <w:color w:val="000000" w:themeColor="text1"/>
          <w:sz w:val="40"/>
          <w:szCs w:val="28"/>
          <w:lang w:eastAsia="ja-JP"/>
        </w:rPr>
      </w:pPr>
    </w:p>
    <w:p w14:paraId="65645EE6" w14:textId="3986C7CD" w:rsidR="00CD0B9C" w:rsidRPr="00CD0B9C" w:rsidRDefault="00CD0B9C" w:rsidP="00CD0B9C">
      <w:pPr>
        <w:rPr>
          <w:rFonts w:eastAsia="Times New Roman"/>
          <w:sz w:val="32"/>
        </w:rPr>
      </w:pPr>
      <w:r w:rsidRPr="00CD0B9C">
        <w:rPr>
          <w:rFonts w:eastAsia="Times New Roman"/>
          <w:sz w:val="32"/>
        </w:rPr>
        <w:t xml:space="preserve">Analytical solutions using standard mathematical methods are always a preferred approach, but when their application is not possible, as is almost always the case when working with complex systems (White and Ingalls 2009), simulation is arguably the most robust method applied to model </w:t>
      </w:r>
      <w:r w:rsidR="009122A9" w:rsidRPr="00CD0B9C">
        <w:rPr>
          <w:rFonts w:eastAsia="Times New Roman"/>
          <w:sz w:val="32"/>
        </w:rPr>
        <w:t>real life</w:t>
      </w:r>
      <w:r w:rsidR="009122A9">
        <w:rPr>
          <w:rFonts w:eastAsia="Times New Roman"/>
          <w:sz w:val="32"/>
        </w:rPr>
        <w:t xml:space="preserve"> stochastic systems that evolve </w:t>
      </w:r>
      <w:r w:rsidRPr="00CD0B9C">
        <w:rPr>
          <w:rFonts w:eastAsia="Times New Roman"/>
          <w:sz w:val="32"/>
        </w:rPr>
        <w:t>probabilistically over time (Minas, Hearne, and Handmer 2012).</w:t>
      </w:r>
    </w:p>
    <w:p w14:paraId="1919C38F" w14:textId="77777777" w:rsidR="00BB0D1B" w:rsidRDefault="00BB0D1B" w:rsidP="00BB0D1B">
      <w:pPr>
        <w:rPr>
          <w:sz w:val="32"/>
        </w:rPr>
      </w:pPr>
    </w:p>
    <w:p w14:paraId="2F97EBDE" w14:textId="4746CC46" w:rsidR="00BB0D1B" w:rsidRDefault="00BB0D1B" w:rsidP="00BB0D1B">
      <w:pPr>
        <w:rPr>
          <w:rFonts w:eastAsia="Times New Roman"/>
        </w:rPr>
      </w:pPr>
      <w:r w:rsidRPr="00BB0D1B">
        <w:rPr>
          <w:sz w:val="32"/>
        </w:rPr>
        <w:t xml:space="preserve">In the simulation, we suppose 100×100 square lattice and the initial condition where </w:t>
      </w:r>
      <w:r w:rsidR="00C616BE">
        <w:rPr>
          <w:sz w:val="32"/>
        </w:rPr>
        <w:t>all the cell is 0</w:t>
      </w:r>
      <w:r w:rsidRPr="00BB0D1B">
        <w:rPr>
          <w:sz w:val="32"/>
        </w:rPr>
        <w:t xml:space="preserve">. </w:t>
      </w:r>
      <w:r w:rsidRPr="00BB0D1B">
        <w:rPr>
          <w:rFonts w:eastAsia="Times New Roman"/>
          <w:sz w:val="32"/>
        </w:rPr>
        <w:t xml:space="preserve">Comparing </w:t>
      </w:r>
      <w:r w:rsidR="00C616BE">
        <w:rPr>
          <w:rFonts w:eastAsia="Times New Roman"/>
          <w:sz w:val="32"/>
        </w:rPr>
        <w:t>my</w:t>
      </w:r>
      <w:r w:rsidRPr="00BB0D1B">
        <w:rPr>
          <w:rFonts w:eastAsia="Times New Roman"/>
          <w:sz w:val="32"/>
        </w:rPr>
        <w:t xml:space="preserve"> analytical result to </w:t>
      </w:r>
      <w:r w:rsidR="00C616BE" w:rsidRPr="00BB0D1B">
        <w:rPr>
          <w:rFonts w:eastAsia="Times New Roman"/>
          <w:sz w:val="32"/>
        </w:rPr>
        <w:t>their</w:t>
      </w:r>
      <w:r w:rsidRPr="00BB0D1B">
        <w:rPr>
          <w:rFonts w:eastAsia="Times New Roman"/>
          <w:sz w:val="32"/>
        </w:rPr>
        <w:t xml:space="preserve"> result, the value of </w:t>
      </w:r>
      <w:r w:rsidR="00C616BE">
        <w:rPr>
          <w:rFonts w:eastAsia="Times New Roman"/>
          <w:sz w:val="32"/>
        </w:rPr>
        <w:t>average occupied cells</w:t>
      </w:r>
      <w:r w:rsidRPr="00BB0D1B">
        <w:rPr>
          <w:rFonts w:eastAsia="Times New Roman"/>
          <w:sz w:val="32"/>
        </w:rPr>
        <w:t xml:space="preserve"> seems to be similar when </w:t>
      </w:r>
      <w:r w:rsidR="00C616BE">
        <w:rPr>
          <w:rFonts w:eastAsia="Times New Roman"/>
          <w:sz w:val="32"/>
        </w:rPr>
        <w:t>g</w:t>
      </w:r>
      <w:r w:rsidRPr="00BB0D1B">
        <w:rPr>
          <w:rFonts w:eastAsia="Times New Roman"/>
          <w:sz w:val="32"/>
        </w:rPr>
        <w:t xml:space="preserve"> is</w:t>
      </w:r>
      <w:r w:rsidRPr="00BB0D1B">
        <w:rPr>
          <w:rFonts w:eastAsia="Times New Roman"/>
          <w:sz w:val="32"/>
        </w:rPr>
        <w:t xml:space="preserve"> </w:t>
      </w:r>
      <w:r w:rsidRPr="00BB0D1B">
        <w:rPr>
          <w:rFonts w:eastAsia="Times New Roman"/>
          <w:sz w:val="32"/>
        </w:rPr>
        <w:t>below 0.1</w:t>
      </w:r>
      <w:r w:rsidR="00C616BE">
        <w:rPr>
          <w:rFonts w:eastAsia="Times New Roman"/>
          <w:sz w:val="32"/>
        </w:rPr>
        <w:t>5</w:t>
      </w:r>
      <w:r w:rsidRPr="00BB0D1B">
        <w:rPr>
          <w:rFonts w:eastAsia="Times New Roman"/>
          <w:sz w:val="32"/>
        </w:rPr>
        <w:t xml:space="preserve">. In contrast, when </w:t>
      </w:r>
      <w:r w:rsidR="00C616BE">
        <w:rPr>
          <w:rFonts w:eastAsia="Times New Roman"/>
          <w:sz w:val="32"/>
        </w:rPr>
        <w:t>g</w:t>
      </w:r>
      <w:r w:rsidRPr="00BB0D1B">
        <w:rPr>
          <w:rFonts w:eastAsia="Times New Roman"/>
          <w:sz w:val="32"/>
        </w:rPr>
        <w:t xml:space="preserve"> is above 0.1</w:t>
      </w:r>
      <w:r w:rsidR="00C616BE">
        <w:rPr>
          <w:rFonts w:eastAsia="Times New Roman"/>
          <w:sz w:val="32"/>
        </w:rPr>
        <w:t>5</w:t>
      </w:r>
      <w:r w:rsidRPr="00BB0D1B">
        <w:rPr>
          <w:rFonts w:eastAsia="Times New Roman"/>
          <w:sz w:val="32"/>
        </w:rPr>
        <w:t xml:space="preserve">, there is an discrepancy by around </w:t>
      </w:r>
      <w:r w:rsidR="00537315">
        <w:rPr>
          <w:rFonts w:eastAsia="Times New Roman"/>
          <w:sz w:val="32"/>
        </w:rPr>
        <w:t>2</w:t>
      </w:r>
      <w:r w:rsidR="00C616BE">
        <w:rPr>
          <w:rFonts w:eastAsia="Times New Roman"/>
          <w:sz w:val="32"/>
        </w:rPr>
        <w:t>0</w:t>
      </w:r>
      <w:r w:rsidRPr="00BB0D1B">
        <w:rPr>
          <w:rFonts w:eastAsia="Times New Roman"/>
          <w:sz w:val="32"/>
        </w:rPr>
        <w:t xml:space="preserve"> between the values of </w:t>
      </w:r>
      <w:r w:rsidR="00C616BE">
        <w:rPr>
          <w:rFonts w:eastAsia="Times New Roman"/>
          <w:sz w:val="32"/>
        </w:rPr>
        <w:t xml:space="preserve">average occupied </w:t>
      </w:r>
      <w:r w:rsidR="00537315">
        <w:rPr>
          <w:rFonts w:eastAsia="Times New Roman"/>
          <w:sz w:val="32"/>
        </w:rPr>
        <w:t>cells</w:t>
      </w:r>
      <w:r w:rsidR="00537315" w:rsidRPr="00537315">
        <w:rPr>
          <w:rFonts w:eastAsia="Times New Roman"/>
          <w:sz w:val="32"/>
        </w:rPr>
        <w:t>(</w:t>
      </w:r>
      <w:r w:rsidR="00537315" w:rsidRPr="00537315">
        <w:rPr>
          <w:rFonts w:eastAsia="Times New Roman"/>
          <w:sz w:val="32"/>
        </w:rPr>
        <w:t>Sang Il Pak and Tomohisa Hayakawa.2011</w:t>
      </w:r>
      <w:r w:rsidRPr="00537315">
        <w:rPr>
          <w:rFonts w:eastAsia="Times New Roman"/>
          <w:sz w:val="32"/>
        </w:rPr>
        <w:t>)</w:t>
      </w:r>
      <w:r w:rsidR="00537315">
        <w:rPr>
          <w:rFonts w:eastAsia="Times New Roman"/>
          <w:sz w:val="32"/>
        </w:rPr>
        <w:t xml:space="preserve">. This maybe when g is small, the probability of a cell with tree is also small, then </w:t>
      </w:r>
      <w:r w:rsidR="00F70C3E">
        <w:rPr>
          <w:rFonts w:eastAsia="Times New Roman"/>
          <w:sz w:val="32"/>
        </w:rPr>
        <w:t xml:space="preserve">the number with cell </w:t>
      </w:r>
      <w:r w:rsidR="006D31B8">
        <w:rPr>
          <w:rFonts w:eastAsia="Times New Roman"/>
          <w:sz w:val="32"/>
        </w:rPr>
        <w:t>occupied would be small. When the cell number small, most of cells would not connected, thus my result is very identical to their result, vice versa.</w:t>
      </w:r>
    </w:p>
    <w:p w14:paraId="595E6396" w14:textId="77777777" w:rsidR="00BB0D1B" w:rsidRDefault="00BB0D1B" w:rsidP="00502567">
      <w:pPr>
        <w:autoSpaceDE w:val="0"/>
        <w:autoSpaceDN w:val="0"/>
        <w:adjustRightInd w:val="0"/>
        <w:rPr>
          <w:color w:val="000000" w:themeColor="text1"/>
          <w:sz w:val="32"/>
          <w:szCs w:val="28"/>
          <w:lang w:eastAsia="ja-JP"/>
        </w:rPr>
      </w:pPr>
      <w:bookmarkStart w:id="0" w:name="_GoBack"/>
      <w:bookmarkEnd w:id="0"/>
    </w:p>
    <w:p w14:paraId="6FD5A84D" w14:textId="7B8D56BB" w:rsidR="00BB0D1B" w:rsidRDefault="00BB0D1B" w:rsidP="00BB0D1B">
      <w:pPr>
        <w:autoSpaceDE w:val="0"/>
        <w:autoSpaceDN w:val="0"/>
        <w:adjustRightInd w:val="0"/>
        <w:rPr>
          <w:b/>
          <w:color w:val="000000" w:themeColor="text1"/>
          <w:sz w:val="36"/>
          <w:szCs w:val="32"/>
          <w:lang w:eastAsia="ja-JP"/>
        </w:rPr>
      </w:pPr>
      <w:r>
        <w:rPr>
          <w:b/>
          <w:color w:val="000000" w:themeColor="text1"/>
          <w:sz w:val="36"/>
          <w:szCs w:val="32"/>
          <w:lang w:eastAsia="ja-JP"/>
        </w:rPr>
        <w:t>Reference</w:t>
      </w:r>
    </w:p>
    <w:p w14:paraId="4ADB7700" w14:textId="77777777" w:rsidR="00BB0D1B" w:rsidRDefault="00BB0D1B" w:rsidP="00BB0D1B">
      <w:pPr>
        <w:autoSpaceDE w:val="0"/>
        <w:autoSpaceDN w:val="0"/>
        <w:adjustRightInd w:val="0"/>
        <w:rPr>
          <w:b/>
          <w:color w:val="000000" w:themeColor="text1"/>
          <w:sz w:val="36"/>
          <w:szCs w:val="32"/>
          <w:lang w:eastAsia="ja-JP"/>
        </w:rPr>
      </w:pPr>
    </w:p>
    <w:p w14:paraId="6135C8CE" w14:textId="77777777" w:rsidR="00BB0D1B" w:rsidRDefault="00BB0D1B" w:rsidP="00BB0D1B">
      <w:pPr>
        <w:rPr>
          <w:rFonts w:eastAsia="Times New Roman"/>
        </w:rPr>
      </w:pPr>
      <w:r>
        <w:rPr>
          <w:rFonts w:eastAsia="Times New Roman"/>
        </w:rPr>
        <w:t>White, K. P., and R. G. Ingalls. 2009. Introduction to simulation. Paper read at Simulation Conference (WSC), Proceedings of the 2009 Winter, 13-16 Dec. 2009.</w:t>
      </w:r>
    </w:p>
    <w:p w14:paraId="60710B3F" w14:textId="77777777" w:rsidR="00BB0D1B" w:rsidRDefault="00BB0D1B" w:rsidP="00BB0D1B">
      <w:pPr>
        <w:rPr>
          <w:rFonts w:eastAsia="Times New Roman"/>
        </w:rPr>
      </w:pPr>
    </w:p>
    <w:p w14:paraId="6E54EB80" w14:textId="77777777" w:rsidR="00BB0D1B" w:rsidRDefault="00BB0D1B" w:rsidP="00BB0D1B">
      <w:pPr>
        <w:rPr>
          <w:rFonts w:eastAsia="Times New Roman"/>
        </w:rPr>
      </w:pPr>
      <w:r>
        <w:rPr>
          <w:rFonts w:eastAsia="Times New Roman"/>
        </w:rPr>
        <w:t>Minas, James P., John W. Hearne, and John W. Handmer. 2012. "A review of operations research methods applicable to wildfire management." International Journal of Wildland Fire no. 21 (3):189-196. doi: http://dx.doi.org/10.1071/WF10129.</w:t>
      </w:r>
    </w:p>
    <w:p w14:paraId="151F60EA" w14:textId="77777777" w:rsidR="00BB0D1B" w:rsidRDefault="00BB0D1B" w:rsidP="00502567">
      <w:pPr>
        <w:autoSpaceDE w:val="0"/>
        <w:autoSpaceDN w:val="0"/>
        <w:adjustRightInd w:val="0"/>
        <w:rPr>
          <w:color w:val="000000" w:themeColor="text1"/>
          <w:sz w:val="32"/>
          <w:szCs w:val="28"/>
          <w:lang w:eastAsia="ja-JP"/>
        </w:rPr>
      </w:pPr>
    </w:p>
    <w:p w14:paraId="174A0895" w14:textId="23C0B806" w:rsidR="00C616BE" w:rsidRDefault="00C616BE" w:rsidP="00C616BE">
      <w:pPr>
        <w:rPr>
          <w:rFonts w:eastAsia="Times New Roman"/>
        </w:rPr>
      </w:pPr>
      <w:r>
        <w:rPr>
          <w:rFonts w:eastAsia="Times New Roman"/>
        </w:rPr>
        <w:t>Sang Il Pak and Tomohisa Hayakawa</w:t>
      </w:r>
      <w:r>
        <w:rPr>
          <w:rFonts w:eastAsia="Times New Roman"/>
        </w:rPr>
        <w:t>.</w:t>
      </w:r>
      <w:r>
        <w:rPr>
          <w:rFonts w:eastAsia="Times New Roman"/>
        </w:rPr>
        <w:t>2011</w:t>
      </w:r>
      <w:r>
        <w:rPr>
          <w:rFonts w:eastAsia="Times New Roman"/>
        </w:rPr>
        <w:t xml:space="preserve">. </w:t>
      </w:r>
      <w:r>
        <w:rPr>
          <w:rFonts w:eastAsia="Times New Roman"/>
        </w:rPr>
        <w:t>Forest Fire Modeling Using Cellular Automata and Percolation Threshold Analysis</w:t>
      </w:r>
      <w:r>
        <w:rPr>
          <w:rFonts w:eastAsia="Times New Roman"/>
        </w:rPr>
        <w:t xml:space="preserve">. </w:t>
      </w:r>
      <w:r>
        <w:rPr>
          <w:rFonts w:eastAsia="Times New Roman"/>
        </w:rPr>
        <w:t>2011 American Control Conference</w:t>
      </w:r>
    </w:p>
    <w:p w14:paraId="0D5151A3" w14:textId="77777777" w:rsidR="00537315" w:rsidRDefault="00537315" w:rsidP="00537315">
      <w:pPr>
        <w:rPr>
          <w:rFonts w:eastAsia="Times New Roman"/>
        </w:rPr>
      </w:pPr>
    </w:p>
    <w:p w14:paraId="16B087AA" w14:textId="77777777" w:rsidR="00537315" w:rsidRDefault="00537315" w:rsidP="00537315">
      <w:pPr>
        <w:rPr>
          <w:rFonts w:eastAsia="Times New Roman"/>
        </w:rPr>
      </w:pPr>
      <w:r>
        <w:rPr>
          <w:rFonts w:eastAsia="Times New Roman"/>
        </w:rPr>
        <w:t>A. L. Sullivan, “A review of wildland fire spread modeling, 1990–present 3: Mathematical analogues and simulation models,” Int. J. Wildland Fire, vol. 18, pp. 387– 403, 2008.</w:t>
      </w:r>
    </w:p>
    <w:p w14:paraId="6BC95E54" w14:textId="77777777" w:rsidR="00BB0D1B" w:rsidRPr="00502567" w:rsidRDefault="00BB0D1B" w:rsidP="00502567">
      <w:pPr>
        <w:autoSpaceDE w:val="0"/>
        <w:autoSpaceDN w:val="0"/>
        <w:adjustRightInd w:val="0"/>
        <w:rPr>
          <w:color w:val="000000" w:themeColor="text1"/>
          <w:sz w:val="32"/>
          <w:szCs w:val="28"/>
          <w:lang w:eastAsia="ja-JP"/>
        </w:rPr>
      </w:pPr>
    </w:p>
    <w:sectPr w:rsidR="00BB0D1B" w:rsidRPr="00502567" w:rsidSect="00502567">
      <w:footerReference w:type="default" r:id="rId11"/>
      <w:pgSz w:w="11907" w:h="16839" w:code="9"/>
      <w:pgMar w:top="720" w:right="1440" w:bottom="1800" w:left="1440" w:header="720" w:footer="720" w:gutter="0"/>
      <w:cols w:space="720"/>
      <w:docGrid w:linePitch="4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76442" w14:textId="77777777" w:rsidR="002A0D53" w:rsidRDefault="002A0D53">
      <w:r>
        <w:separator/>
      </w:r>
    </w:p>
    <w:p w14:paraId="17EE0CA6" w14:textId="77777777" w:rsidR="002A0D53" w:rsidRDefault="002A0D53"/>
  </w:endnote>
  <w:endnote w:type="continuationSeparator" w:id="0">
    <w:p w14:paraId="09DC4C85" w14:textId="77777777" w:rsidR="002A0D53" w:rsidRDefault="002A0D53">
      <w:r>
        <w:continuationSeparator/>
      </w:r>
    </w:p>
    <w:p w14:paraId="63703EB0" w14:textId="77777777" w:rsidR="002A0D53" w:rsidRDefault="002A0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altName w:val="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EF8BE4E" w14:textId="77777777" w:rsidR="00293BF6" w:rsidRDefault="00A06DEB">
        <w:pPr>
          <w:pStyle w:val="a7"/>
        </w:pPr>
        <w:r>
          <w:fldChar w:fldCharType="begin"/>
        </w:r>
        <w:r>
          <w:instrText xml:space="preserve"> PAGE   \* MERGEFORMAT </w:instrText>
        </w:r>
        <w:r>
          <w:fldChar w:fldCharType="separate"/>
        </w:r>
        <w:r w:rsidR="000B0E2D">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B7006" w14:textId="77777777" w:rsidR="002A0D53" w:rsidRDefault="002A0D53">
      <w:r>
        <w:separator/>
      </w:r>
    </w:p>
    <w:p w14:paraId="64C5720A" w14:textId="77777777" w:rsidR="002A0D53" w:rsidRDefault="002A0D53"/>
  </w:footnote>
  <w:footnote w:type="continuationSeparator" w:id="0">
    <w:p w14:paraId="06B55CDA" w14:textId="77777777" w:rsidR="002A0D53" w:rsidRDefault="002A0D53">
      <w:r>
        <w:continuationSeparator/>
      </w:r>
    </w:p>
    <w:p w14:paraId="76B7C92B" w14:textId="77777777" w:rsidR="002A0D53" w:rsidRDefault="002A0D5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CC31BCB"/>
    <w:multiLevelType w:val="hybridMultilevel"/>
    <w:tmpl w:val="DE865E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C314B"/>
    <w:multiLevelType w:val="hybridMultilevel"/>
    <w:tmpl w:val="8EACFCD8"/>
    <w:lvl w:ilvl="0" w:tplc="0409000F">
      <w:start w:val="1"/>
      <w:numFmt w:val="decimal"/>
      <w:lvlText w:val="%1."/>
      <w:lvlJc w:val="left"/>
      <w:pPr>
        <w:ind w:left="48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A3E2C"/>
    <w:multiLevelType w:val="hybridMultilevel"/>
    <w:tmpl w:val="A9F498F4"/>
    <w:lvl w:ilvl="0" w:tplc="0409000F">
      <w:start w:val="1"/>
      <w:numFmt w:val="decimal"/>
      <w:lvlText w:val="%1."/>
      <w:lvlJc w:val="left"/>
      <w:pPr>
        <w:ind w:left="48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14DE1"/>
    <w:multiLevelType w:val="hybridMultilevel"/>
    <w:tmpl w:val="E3A4A09A"/>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832705C"/>
    <w:multiLevelType w:val="hybridMultilevel"/>
    <w:tmpl w:val="96B055C2"/>
    <w:lvl w:ilvl="0" w:tplc="0409000F">
      <w:start w:val="1"/>
      <w:numFmt w:val="decimal"/>
      <w:lvlText w:val="%1."/>
      <w:lvlJc w:val="left"/>
      <w:pPr>
        <w:ind w:left="48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575A16"/>
    <w:multiLevelType w:val="hybridMultilevel"/>
    <w:tmpl w:val="69A2F7C2"/>
    <w:lvl w:ilvl="0" w:tplc="0409000F">
      <w:start w:val="1"/>
      <w:numFmt w:val="decimal"/>
      <w:lvlText w:val="%1."/>
      <w:lvlJc w:val="left"/>
      <w:pPr>
        <w:ind w:left="48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C01A5"/>
    <w:multiLevelType w:val="hybridMultilevel"/>
    <w:tmpl w:val="75EE8C32"/>
    <w:lvl w:ilvl="0" w:tplc="0409000F">
      <w:start w:val="1"/>
      <w:numFmt w:val="decimal"/>
      <w:lvlText w:val="%1."/>
      <w:lvlJc w:val="left"/>
      <w:pPr>
        <w:ind w:left="48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BC3DDB"/>
    <w:multiLevelType w:val="hybridMultilevel"/>
    <w:tmpl w:val="7FC42A10"/>
    <w:lvl w:ilvl="0" w:tplc="0409000F">
      <w:start w:val="1"/>
      <w:numFmt w:val="decimal"/>
      <w:lvlText w:val="%1."/>
      <w:lvlJc w:val="left"/>
      <w:pPr>
        <w:ind w:left="48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DD6735E"/>
    <w:multiLevelType w:val="hybridMultilevel"/>
    <w:tmpl w:val="675A874A"/>
    <w:lvl w:ilvl="0" w:tplc="0409000F">
      <w:start w:val="1"/>
      <w:numFmt w:val="decimal"/>
      <w:lvlText w:val="%1."/>
      <w:lvlJc w:val="left"/>
      <w:pPr>
        <w:ind w:left="48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A0D4E"/>
    <w:multiLevelType w:val="hybridMultilevel"/>
    <w:tmpl w:val="248A4E66"/>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9022447"/>
    <w:multiLevelType w:val="hybridMultilevel"/>
    <w:tmpl w:val="BCB2835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BB52148"/>
    <w:multiLevelType w:val="hybridMultilevel"/>
    <w:tmpl w:val="21DE8EC4"/>
    <w:lvl w:ilvl="0" w:tplc="0409000F">
      <w:start w:val="1"/>
      <w:numFmt w:val="decimal"/>
      <w:lvlText w:val="%1."/>
      <w:lvlJc w:val="left"/>
      <w:pPr>
        <w:ind w:left="480" w:hanging="48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1"/>
  </w:num>
  <w:num w:numId="5">
    <w:abstractNumId w:val="9"/>
  </w:num>
  <w:num w:numId="6">
    <w:abstractNumId w:val="10"/>
  </w:num>
  <w:num w:numId="7">
    <w:abstractNumId w:val="15"/>
  </w:num>
  <w:num w:numId="8">
    <w:abstractNumId w:val="12"/>
  </w:num>
  <w:num w:numId="9">
    <w:abstractNumId w:val="7"/>
  </w:num>
  <w:num w:numId="10">
    <w:abstractNumId w:val="4"/>
  </w:num>
  <w:num w:numId="11">
    <w:abstractNumId w:val="8"/>
  </w:num>
  <w:num w:numId="12">
    <w:abstractNumId w:val="5"/>
  </w:num>
  <w:num w:numId="13">
    <w:abstractNumId w:val="2"/>
  </w:num>
  <w:num w:numId="14">
    <w:abstractNumId w:val="1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3B"/>
    <w:rsid w:val="000051E7"/>
    <w:rsid w:val="000444AB"/>
    <w:rsid w:val="000B0E2D"/>
    <w:rsid w:val="001F1033"/>
    <w:rsid w:val="00213B12"/>
    <w:rsid w:val="00255DD8"/>
    <w:rsid w:val="00293BF6"/>
    <w:rsid w:val="002A0D53"/>
    <w:rsid w:val="002C112A"/>
    <w:rsid w:val="00305D55"/>
    <w:rsid w:val="003918A9"/>
    <w:rsid w:val="003B73EA"/>
    <w:rsid w:val="003F45E0"/>
    <w:rsid w:val="00443964"/>
    <w:rsid w:val="00502567"/>
    <w:rsid w:val="00537315"/>
    <w:rsid w:val="00542A74"/>
    <w:rsid w:val="005B6C08"/>
    <w:rsid w:val="00622F1C"/>
    <w:rsid w:val="00673D44"/>
    <w:rsid w:val="006D31B8"/>
    <w:rsid w:val="0072777F"/>
    <w:rsid w:val="00737F31"/>
    <w:rsid w:val="00794B8E"/>
    <w:rsid w:val="007C5566"/>
    <w:rsid w:val="00825C3B"/>
    <w:rsid w:val="008C012D"/>
    <w:rsid w:val="008E4FE7"/>
    <w:rsid w:val="008F7B3A"/>
    <w:rsid w:val="009122A9"/>
    <w:rsid w:val="009671BF"/>
    <w:rsid w:val="009D309C"/>
    <w:rsid w:val="00A06DEB"/>
    <w:rsid w:val="00A94B1B"/>
    <w:rsid w:val="00B67A0C"/>
    <w:rsid w:val="00B93F81"/>
    <w:rsid w:val="00BB0D1B"/>
    <w:rsid w:val="00BC7025"/>
    <w:rsid w:val="00C616BE"/>
    <w:rsid w:val="00C82376"/>
    <w:rsid w:val="00CD0B9C"/>
    <w:rsid w:val="00D10795"/>
    <w:rsid w:val="00D17318"/>
    <w:rsid w:val="00DC2973"/>
    <w:rsid w:val="00DF79EF"/>
    <w:rsid w:val="00EA7651"/>
    <w:rsid w:val="00EC3292"/>
    <w:rsid w:val="00F70C3E"/>
    <w:rsid w:val="00FC3F9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90A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37315"/>
    <w:pPr>
      <w:spacing w:after="0" w:line="240" w:lineRule="auto"/>
    </w:pPr>
    <w:rPr>
      <w:rFonts w:ascii="Times New Roman" w:hAnsi="Times New Roman" w:cs="Times New Roman"/>
      <w:color w:val="auto"/>
      <w:sz w:val="24"/>
      <w:szCs w:val="24"/>
      <w:lang w:eastAsia="zh-CN"/>
    </w:rPr>
  </w:style>
  <w:style w:type="paragraph" w:styleId="1">
    <w:name w:val="heading 1"/>
    <w:basedOn w:val="a1"/>
    <w:next w:val="a1"/>
    <w:link w:val="10"/>
    <w:uiPriority w:val="9"/>
    <w:qFormat/>
    <w:pPr>
      <w:keepNext/>
      <w:keepLines/>
      <w:pBdr>
        <w:bottom w:val="single" w:sz="12" w:space="12" w:color="731C3F" w:themeColor="accent4"/>
      </w:pBdr>
      <w:spacing w:before="460" w:after="480" w:line="259" w:lineRule="auto"/>
      <w:outlineLvl w:val="0"/>
    </w:pPr>
    <w:rPr>
      <w:rFonts w:asciiTheme="majorHAnsi" w:eastAsiaTheme="majorEastAsia" w:hAnsiTheme="majorHAnsi" w:cstheme="majorBidi"/>
      <w:color w:val="731C3F" w:themeColor="accent4"/>
      <w:sz w:val="40"/>
      <w:szCs w:val="32"/>
    </w:rPr>
  </w:style>
  <w:style w:type="paragraph" w:styleId="2">
    <w:name w:val="heading 2"/>
    <w:basedOn w:val="a1"/>
    <w:next w:val="a1"/>
    <w:link w:val="20"/>
    <w:uiPriority w:val="9"/>
    <w:semiHidden/>
    <w:unhideWhenUsed/>
    <w:qFormat/>
    <w:pPr>
      <w:keepNext/>
      <w:keepLines/>
      <w:spacing w:before="460" w:after="120" w:line="259" w:lineRule="auto"/>
      <w:outlineLvl w:val="1"/>
    </w:pPr>
    <w:rPr>
      <w:rFonts w:asciiTheme="majorHAnsi" w:eastAsiaTheme="majorEastAsia" w:hAnsiTheme="majorHAnsi" w:cstheme="majorBidi"/>
      <w:i/>
      <w:color w:val="262626" w:themeColor="text1" w:themeTint="D9"/>
      <w:sz w:val="4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spacing w:after="120" w:line="259" w:lineRule="auto"/>
    </w:pPr>
    <w:rPr>
      <w:rFonts w:asciiTheme="minorHAnsi" w:hAnsiTheme="minorHAnsi" w:cstheme="minorBidi"/>
      <w:color w:val="595959" w:themeColor="text1" w:themeTint="A6"/>
      <w:sz w:val="30"/>
      <w:szCs w:val="30"/>
    </w:rPr>
  </w:style>
  <w:style w:type="character" w:customStyle="1" w:styleId="10">
    <w:name w:val="标题 1字符"/>
    <w:basedOn w:val="a2"/>
    <w:link w:val="1"/>
    <w:uiPriority w:val="9"/>
    <w:rPr>
      <w:rFonts w:asciiTheme="majorHAnsi" w:eastAsiaTheme="majorEastAsia" w:hAnsiTheme="majorHAnsi" w:cstheme="majorBidi"/>
      <w:color w:val="731C3F" w:themeColor="accent4"/>
      <w:sz w:val="40"/>
      <w:szCs w:val="32"/>
    </w:rPr>
  </w:style>
  <w:style w:type="paragraph" w:styleId="a0">
    <w:name w:val="List Number"/>
    <w:basedOn w:val="a1"/>
    <w:uiPriority w:val="9"/>
    <w:qFormat/>
    <w:pPr>
      <w:numPr>
        <w:numId w:val="4"/>
      </w:numPr>
      <w:spacing w:after="120" w:line="259" w:lineRule="auto"/>
    </w:pPr>
    <w:rPr>
      <w:rFonts w:asciiTheme="minorHAnsi" w:hAnsiTheme="minorHAnsi" w:cstheme="minorBidi"/>
      <w:color w:val="595959" w:themeColor="text1" w:themeTint="A6"/>
      <w:sz w:val="30"/>
      <w:szCs w:val="30"/>
    </w:rPr>
  </w:style>
  <w:style w:type="paragraph" w:styleId="a5">
    <w:name w:val="header"/>
    <w:basedOn w:val="a1"/>
    <w:link w:val="a6"/>
    <w:uiPriority w:val="99"/>
    <w:unhideWhenUsed/>
    <w:qFormat/>
    <w:rPr>
      <w:rFonts w:asciiTheme="minorHAnsi" w:hAnsiTheme="minorHAnsi" w:cstheme="minorBidi"/>
      <w:color w:val="595959" w:themeColor="text1" w:themeTint="A6"/>
      <w:sz w:val="30"/>
      <w:szCs w:val="30"/>
    </w:rPr>
  </w:style>
  <w:style w:type="character" w:customStyle="1" w:styleId="a6">
    <w:name w:val="页眉字符"/>
    <w:basedOn w:val="a2"/>
    <w:link w:val="a5"/>
    <w:uiPriority w:val="99"/>
  </w:style>
  <w:style w:type="paragraph" w:styleId="a7">
    <w:name w:val="footer"/>
    <w:basedOn w:val="a1"/>
    <w:link w:val="a8"/>
    <w:uiPriority w:val="99"/>
    <w:unhideWhenUsed/>
    <w:qFormat/>
    <w:rPr>
      <w:rFonts w:asciiTheme="minorHAnsi" w:hAnsiTheme="minorHAnsi" w:cstheme="minorBidi"/>
      <w:color w:val="595959" w:themeColor="text1" w:themeTint="A6"/>
      <w:sz w:val="30"/>
      <w:szCs w:val="30"/>
    </w:r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semiHidden/>
    <w:rPr>
      <w:rFonts w:asciiTheme="majorHAnsi" w:eastAsiaTheme="majorEastAsia" w:hAnsiTheme="majorHAnsi" w:cstheme="majorBidi"/>
      <w:i/>
      <w:color w:val="262626" w:themeColor="text1" w:themeTint="D9"/>
      <w:sz w:val="4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rFonts w:asciiTheme="minorHAnsi" w:hAnsiTheme="minorHAnsi" w:cstheme="minorBidi"/>
      <w:i/>
      <w:iCs/>
      <w:color w:val="595959" w:themeColor="text1" w:themeTint="A6"/>
      <w:szCs w:val="18"/>
    </w:rPr>
  </w:style>
  <w:style w:type="paragraph" w:styleId="afa">
    <w:name w:val="TOC Heading"/>
    <w:basedOn w:val="1"/>
    <w:next w:val="a1"/>
    <w:uiPriority w:val="39"/>
    <w:semiHidden/>
    <w:unhideWhenUsed/>
    <w:qFormat/>
    <w:pPr>
      <w:outlineLvl w:val="9"/>
    </w:pPr>
  </w:style>
  <w:style w:type="paragraph" w:styleId="afb">
    <w:name w:val="List Paragraph"/>
    <w:basedOn w:val="a1"/>
    <w:uiPriority w:val="34"/>
    <w:unhideWhenUsed/>
    <w:qFormat/>
    <w:rsid w:val="00825C3B"/>
    <w:pPr>
      <w:spacing w:after="120" w:line="259" w:lineRule="auto"/>
      <w:ind w:firstLineChars="200" w:firstLine="420"/>
    </w:pPr>
    <w:rPr>
      <w:rFonts w:asciiTheme="minorHAnsi" w:hAnsiTheme="minorHAnsi" w:cstheme="minorBidi"/>
      <w:color w:val="595959" w:themeColor="text1" w:themeTint="A6"/>
      <w:sz w:val="30"/>
      <w:szCs w:val="30"/>
    </w:rPr>
  </w:style>
  <w:style w:type="character" w:styleId="HTML">
    <w:name w:val="HTML Code"/>
    <w:basedOn w:val="a2"/>
    <w:uiPriority w:val="99"/>
    <w:semiHidden/>
    <w:unhideWhenUsed/>
    <w:rsid w:val="00FC3F9E"/>
    <w:rPr>
      <w:rFonts w:ascii="Courier New" w:eastAsiaTheme="minorEastAsia" w:hAnsi="Courier New" w:cs="Courier New"/>
      <w:sz w:val="20"/>
      <w:szCs w:val="20"/>
    </w:rPr>
  </w:style>
  <w:style w:type="character" w:customStyle="1" w:styleId="apple-converted-space">
    <w:name w:val="apple-converted-space"/>
    <w:basedOn w:val="a2"/>
    <w:rsid w:val="00FC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73572">
      <w:bodyDiv w:val="1"/>
      <w:marLeft w:val="0"/>
      <w:marRight w:val="0"/>
      <w:marTop w:val="0"/>
      <w:marBottom w:val="0"/>
      <w:divBdr>
        <w:top w:val="none" w:sz="0" w:space="0" w:color="auto"/>
        <w:left w:val="none" w:sz="0" w:space="0" w:color="auto"/>
        <w:bottom w:val="none" w:sz="0" w:space="0" w:color="auto"/>
        <w:right w:val="none" w:sz="0" w:space="0" w:color="auto"/>
      </w:divBdr>
    </w:div>
    <w:div w:id="275450281">
      <w:bodyDiv w:val="1"/>
      <w:marLeft w:val="0"/>
      <w:marRight w:val="0"/>
      <w:marTop w:val="0"/>
      <w:marBottom w:val="0"/>
      <w:divBdr>
        <w:top w:val="none" w:sz="0" w:space="0" w:color="auto"/>
        <w:left w:val="none" w:sz="0" w:space="0" w:color="auto"/>
        <w:bottom w:val="none" w:sz="0" w:space="0" w:color="auto"/>
        <w:right w:val="none" w:sz="0" w:space="0" w:color="auto"/>
      </w:divBdr>
    </w:div>
    <w:div w:id="481308863">
      <w:bodyDiv w:val="1"/>
      <w:marLeft w:val="0"/>
      <w:marRight w:val="0"/>
      <w:marTop w:val="0"/>
      <w:marBottom w:val="0"/>
      <w:divBdr>
        <w:top w:val="none" w:sz="0" w:space="0" w:color="auto"/>
        <w:left w:val="none" w:sz="0" w:space="0" w:color="auto"/>
        <w:bottom w:val="none" w:sz="0" w:space="0" w:color="auto"/>
        <w:right w:val="none" w:sz="0" w:space="0" w:color="auto"/>
      </w:divBdr>
    </w:div>
    <w:div w:id="499154194">
      <w:bodyDiv w:val="1"/>
      <w:marLeft w:val="0"/>
      <w:marRight w:val="0"/>
      <w:marTop w:val="0"/>
      <w:marBottom w:val="0"/>
      <w:divBdr>
        <w:top w:val="none" w:sz="0" w:space="0" w:color="auto"/>
        <w:left w:val="none" w:sz="0" w:space="0" w:color="auto"/>
        <w:bottom w:val="none" w:sz="0" w:space="0" w:color="auto"/>
        <w:right w:val="none" w:sz="0" w:space="0" w:color="auto"/>
      </w:divBdr>
    </w:div>
    <w:div w:id="552156423">
      <w:bodyDiv w:val="1"/>
      <w:marLeft w:val="0"/>
      <w:marRight w:val="0"/>
      <w:marTop w:val="0"/>
      <w:marBottom w:val="0"/>
      <w:divBdr>
        <w:top w:val="none" w:sz="0" w:space="0" w:color="auto"/>
        <w:left w:val="none" w:sz="0" w:space="0" w:color="auto"/>
        <w:bottom w:val="none" w:sz="0" w:space="0" w:color="auto"/>
        <w:right w:val="none" w:sz="0" w:space="0" w:color="auto"/>
      </w:divBdr>
    </w:div>
    <w:div w:id="812255529">
      <w:bodyDiv w:val="1"/>
      <w:marLeft w:val="0"/>
      <w:marRight w:val="0"/>
      <w:marTop w:val="0"/>
      <w:marBottom w:val="0"/>
      <w:divBdr>
        <w:top w:val="none" w:sz="0" w:space="0" w:color="auto"/>
        <w:left w:val="none" w:sz="0" w:space="0" w:color="auto"/>
        <w:bottom w:val="none" w:sz="0" w:space="0" w:color="auto"/>
        <w:right w:val="none" w:sz="0" w:space="0" w:color="auto"/>
      </w:divBdr>
    </w:div>
    <w:div w:id="973024673">
      <w:bodyDiv w:val="1"/>
      <w:marLeft w:val="0"/>
      <w:marRight w:val="0"/>
      <w:marTop w:val="0"/>
      <w:marBottom w:val="0"/>
      <w:divBdr>
        <w:top w:val="none" w:sz="0" w:space="0" w:color="auto"/>
        <w:left w:val="none" w:sz="0" w:space="0" w:color="auto"/>
        <w:bottom w:val="none" w:sz="0" w:space="0" w:color="auto"/>
        <w:right w:val="none" w:sz="0" w:space="0" w:color="auto"/>
      </w:divBdr>
    </w:div>
    <w:div w:id="1035891339">
      <w:bodyDiv w:val="1"/>
      <w:marLeft w:val="0"/>
      <w:marRight w:val="0"/>
      <w:marTop w:val="0"/>
      <w:marBottom w:val="0"/>
      <w:divBdr>
        <w:top w:val="none" w:sz="0" w:space="0" w:color="auto"/>
        <w:left w:val="none" w:sz="0" w:space="0" w:color="auto"/>
        <w:bottom w:val="none" w:sz="0" w:space="0" w:color="auto"/>
        <w:right w:val="none" w:sz="0" w:space="0" w:color="auto"/>
      </w:divBdr>
    </w:div>
    <w:div w:id="1068383752">
      <w:bodyDiv w:val="1"/>
      <w:marLeft w:val="0"/>
      <w:marRight w:val="0"/>
      <w:marTop w:val="0"/>
      <w:marBottom w:val="0"/>
      <w:divBdr>
        <w:top w:val="none" w:sz="0" w:space="0" w:color="auto"/>
        <w:left w:val="none" w:sz="0" w:space="0" w:color="auto"/>
        <w:bottom w:val="none" w:sz="0" w:space="0" w:color="auto"/>
        <w:right w:val="none" w:sz="0" w:space="0" w:color="auto"/>
      </w:divBdr>
    </w:div>
    <w:div w:id="1176379665">
      <w:bodyDiv w:val="1"/>
      <w:marLeft w:val="0"/>
      <w:marRight w:val="0"/>
      <w:marTop w:val="0"/>
      <w:marBottom w:val="0"/>
      <w:divBdr>
        <w:top w:val="none" w:sz="0" w:space="0" w:color="auto"/>
        <w:left w:val="none" w:sz="0" w:space="0" w:color="auto"/>
        <w:bottom w:val="none" w:sz="0" w:space="0" w:color="auto"/>
        <w:right w:val="none" w:sz="0" w:space="0" w:color="auto"/>
      </w:divBdr>
    </w:div>
    <w:div w:id="1263224714">
      <w:bodyDiv w:val="1"/>
      <w:marLeft w:val="0"/>
      <w:marRight w:val="0"/>
      <w:marTop w:val="0"/>
      <w:marBottom w:val="0"/>
      <w:divBdr>
        <w:top w:val="none" w:sz="0" w:space="0" w:color="auto"/>
        <w:left w:val="none" w:sz="0" w:space="0" w:color="auto"/>
        <w:bottom w:val="none" w:sz="0" w:space="0" w:color="auto"/>
        <w:right w:val="none" w:sz="0" w:space="0" w:color="auto"/>
      </w:divBdr>
    </w:div>
    <w:div w:id="1631084415">
      <w:bodyDiv w:val="1"/>
      <w:marLeft w:val="0"/>
      <w:marRight w:val="0"/>
      <w:marTop w:val="0"/>
      <w:marBottom w:val="0"/>
      <w:divBdr>
        <w:top w:val="none" w:sz="0" w:space="0" w:color="auto"/>
        <w:left w:val="none" w:sz="0" w:space="0" w:color="auto"/>
        <w:bottom w:val="none" w:sz="0" w:space="0" w:color="auto"/>
        <w:right w:val="none" w:sz="0" w:space="0" w:color="auto"/>
      </w:divBdr>
    </w:div>
    <w:div w:id="1898737433">
      <w:bodyDiv w:val="1"/>
      <w:marLeft w:val="0"/>
      <w:marRight w:val="0"/>
      <w:marTop w:val="0"/>
      <w:marBottom w:val="0"/>
      <w:divBdr>
        <w:top w:val="none" w:sz="0" w:space="0" w:color="auto"/>
        <w:left w:val="none" w:sz="0" w:space="0" w:color="auto"/>
        <w:bottom w:val="none" w:sz="0" w:space="0" w:color="auto"/>
        <w:right w:val="none" w:sz="0" w:space="0" w:color="auto"/>
      </w:divBdr>
    </w:div>
    <w:div w:id="1926767766">
      <w:bodyDiv w:val="1"/>
      <w:marLeft w:val="0"/>
      <w:marRight w:val="0"/>
      <w:marTop w:val="0"/>
      <w:marBottom w:val="0"/>
      <w:divBdr>
        <w:top w:val="none" w:sz="0" w:space="0" w:color="auto"/>
        <w:left w:val="none" w:sz="0" w:space="0" w:color="auto"/>
        <w:bottom w:val="none" w:sz="0" w:space="0" w:color="auto"/>
        <w:right w:val="none" w:sz="0" w:space="0" w:color="auto"/>
      </w:divBdr>
    </w:div>
    <w:div w:id="1930579966">
      <w:bodyDiv w:val="1"/>
      <w:marLeft w:val="0"/>
      <w:marRight w:val="0"/>
      <w:marTop w:val="0"/>
      <w:marBottom w:val="0"/>
      <w:divBdr>
        <w:top w:val="none" w:sz="0" w:space="0" w:color="auto"/>
        <w:left w:val="none" w:sz="0" w:space="0" w:color="auto"/>
        <w:bottom w:val="none" w:sz="0" w:space="0" w:color="auto"/>
        <w:right w:val="none" w:sz="0" w:space="0" w:color="auto"/>
      </w:divBdr>
    </w:div>
    <w:div w:id="19847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zh_CN.lproj/Take%20Notes.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ing/Desktop/2016%20Fall/CSE6010/Assignment%201/assignmen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1"/>
              <a:t>Forest Fire Simulation</a:t>
            </a:r>
          </a:p>
        </c:rich>
      </c:tx>
      <c:layout>
        <c:manualLayout>
          <c:xMode val="edge"/>
          <c:yMode val="edge"/>
          <c:x val="0.335163546733529"/>
          <c:y val="0.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07823518012321"/>
          <c:y val="0.0813938389280287"/>
          <c:w val="0.813503835012851"/>
          <c:h val="0.858986201286243"/>
        </c:manualLayout>
      </c:layout>
      <c:scatterChart>
        <c:scatterStyle val="smoothMarker"/>
        <c:varyColors val="0"/>
        <c:ser>
          <c:idx val="0"/>
          <c:order val="0"/>
          <c:tx>
            <c:strRef>
              <c:f>工作表1!$E$1</c:f>
              <c:strCache>
                <c:ptCount val="1"/>
                <c:pt idx="0">
                  <c:v>f=0.01</c:v>
                </c:pt>
              </c:strCache>
            </c:strRef>
          </c:tx>
          <c:spPr>
            <a:ln w="19050" cap="rnd">
              <a:solidFill>
                <a:schemeClr val="accent1"/>
              </a:solidFill>
              <a:round/>
            </a:ln>
            <a:effectLst/>
          </c:spPr>
          <c:marker>
            <c:symbol val="none"/>
          </c:marker>
          <c:xVal>
            <c:numRef>
              <c:f>工作表1!$D$2:$D$100</c:f>
              <c:numCache>
                <c:formatCode>General</c:formatCode>
                <c:ptCount val="99"/>
                <c:pt idx="0">
                  <c:v>0.0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numCache>
            </c:numRef>
          </c:xVal>
          <c:yVal>
            <c:numRef>
              <c:f>工作表1!$E$3:$E$101</c:f>
              <c:numCache>
                <c:formatCode>General</c:formatCode>
                <c:ptCount val="99"/>
                <c:pt idx="0">
                  <c:v>2041.0</c:v>
                </c:pt>
                <c:pt idx="1">
                  <c:v>2445.0</c:v>
                </c:pt>
                <c:pt idx="2">
                  <c:v>2632.0</c:v>
                </c:pt>
                <c:pt idx="3">
                  <c:v>2747.0</c:v>
                </c:pt>
                <c:pt idx="4">
                  <c:v>2827.0</c:v>
                </c:pt>
                <c:pt idx="5">
                  <c:v>2873.0</c:v>
                </c:pt>
                <c:pt idx="6">
                  <c:v>2901.0</c:v>
                </c:pt>
                <c:pt idx="7">
                  <c:v>2921.0</c:v>
                </c:pt>
                <c:pt idx="8">
                  <c:v>2936.0</c:v>
                </c:pt>
                <c:pt idx="9">
                  <c:v>2941.0</c:v>
                </c:pt>
                <c:pt idx="10">
                  <c:v>2942.0</c:v>
                </c:pt>
                <c:pt idx="11">
                  <c:v>2939.0</c:v>
                </c:pt>
                <c:pt idx="12">
                  <c:v>2933.0</c:v>
                </c:pt>
                <c:pt idx="13">
                  <c:v>2931.0</c:v>
                </c:pt>
                <c:pt idx="14">
                  <c:v>2917.0</c:v>
                </c:pt>
                <c:pt idx="15">
                  <c:v>2895.0</c:v>
                </c:pt>
                <c:pt idx="16">
                  <c:v>2882.0</c:v>
                </c:pt>
                <c:pt idx="17">
                  <c:v>2864.0</c:v>
                </c:pt>
                <c:pt idx="18">
                  <c:v>2842.0</c:v>
                </c:pt>
                <c:pt idx="19">
                  <c:v>2826.0</c:v>
                </c:pt>
                <c:pt idx="20">
                  <c:v>2792.0</c:v>
                </c:pt>
                <c:pt idx="21">
                  <c:v>2769.0</c:v>
                </c:pt>
                <c:pt idx="22">
                  <c:v>2743.0</c:v>
                </c:pt>
                <c:pt idx="23">
                  <c:v>2712.0</c:v>
                </c:pt>
                <c:pt idx="24">
                  <c:v>2689.0</c:v>
                </c:pt>
                <c:pt idx="25">
                  <c:v>2655.0</c:v>
                </c:pt>
                <c:pt idx="26">
                  <c:v>2627.0</c:v>
                </c:pt>
                <c:pt idx="27">
                  <c:v>2595.0</c:v>
                </c:pt>
                <c:pt idx="28">
                  <c:v>2556.0</c:v>
                </c:pt>
                <c:pt idx="29">
                  <c:v>2525.0</c:v>
                </c:pt>
                <c:pt idx="30">
                  <c:v>2496.0</c:v>
                </c:pt>
                <c:pt idx="31">
                  <c:v>2456.0</c:v>
                </c:pt>
                <c:pt idx="32">
                  <c:v>2417.0</c:v>
                </c:pt>
                <c:pt idx="33">
                  <c:v>2376.0</c:v>
                </c:pt>
                <c:pt idx="34">
                  <c:v>2338.0</c:v>
                </c:pt>
                <c:pt idx="35">
                  <c:v>2289.0</c:v>
                </c:pt>
                <c:pt idx="36">
                  <c:v>2246.0</c:v>
                </c:pt>
                <c:pt idx="37">
                  <c:v>2204.0</c:v>
                </c:pt>
                <c:pt idx="38">
                  <c:v>2168.0</c:v>
                </c:pt>
                <c:pt idx="39">
                  <c:v>2129.0</c:v>
                </c:pt>
                <c:pt idx="40">
                  <c:v>2099.0</c:v>
                </c:pt>
                <c:pt idx="41">
                  <c:v>2070.0</c:v>
                </c:pt>
                <c:pt idx="42">
                  <c:v>2038.0</c:v>
                </c:pt>
                <c:pt idx="43">
                  <c:v>1998.0</c:v>
                </c:pt>
                <c:pt idx="44">
                  <c:v>1956.0</c:v>
                </c:pt>
                <c:pt idx="45">
                  <c:v>1925.0</c:v>
                </c:pt>
                <c:pt idx="46">
                  <c:v>1869.0</c:v>
                </c:pt>
                <c:pt idx="47">
                  <c:v>1819.0</c:v>
                </c:pt>
                <c:pt idx="48">
                  <c:v>1758.0</c:v>
                </c:pt>
                <c:pt idx="49">
                  <c:v>1696.0</c:v>
                </c:pt>
                <c:pt idx="50">
                  <c:v>1611.0</c:v>
                </c:pt>
                <c:pt idx="51">
                  <c:v>1530.0</c:v>
                </c:pt>
                <c:pt idx="52">
                  <c:v>1432.0</c:v>
                </c:pt>
                <c:pt idx="53">
                  <c:v>1342.0</c:v>
                </c:pt>
                <c:pt idx="54">
                  <c:v>1228.0</c:v>
                </c:pt>
                <c:pt idx="55">
                  <c:v>1125.0</c:v>
                </c:pt>
                <c:pt idx="56">
                  <c:v>1016.0</c:v>
                </c:pt>
                <c:pt idx="57">
                  <c:v>910.0</c:v>
                </c:pt>
                <c:pt idx="58">
                  <c:v>809.0</c:v>
                </c:pt>
                <c:pt idx="59">
                  <c:v>709.0</c:v>
                </c:pt>
                <c:pt idx="60">
                  <c:v>615.0</c:v>
                </c:pt>
                <c:pt idx="61">
                  <c:v>531.0</c:v>
                </c:pt>
                <c:pt idx="62">
                  <c:v>459.0</c:v>
                </c:pt>
                <c:pt idx="63">
                  <c:v>391.0</c:v>
                </c:pt>
                <c:pt idx="64">
                  <c:v>334.0</c:v>
                </c:pt>
                <c:pt idx="65">
                  <c:v>283.0</c:v>
                </c:pt>
                <c:pt idx="66">
                  <c:v>238.0</c:v>
                </c:pt>
                <c:pt idx="67">
                  <c:v>201.0</c:v>
                </c:pt>
                <c:pt idx="68">
                  <c:v>172.0</c:v>
                </c:pt>
                <c:pt idx="69">
                  <c:v>143.0</c:v>
                </c:pt>
                <c:pt idx="70">
                  <c:v>120.0</c:v>
                </c:pt>
                <c:pt idx="71">
                  <c:v>101.0</c:v>
                </c:pt>
                <c:pt idx="72">
                  <c:v>85.0</c:v>
                </c:pt>
                <c:pt idx="73">
                  <c:v>70.0</c:v>
                </c:pt>
                <c:pt idx="74">
                  <c:v>58.0</c:v>
                </c:pt>
                <c:pt idx="75">
                  <c:v>48.0</c:v>
                </c:pt>
                <c:pt idx="76">
                  <c:v>40.0</c:v>
                </c:pt>
                <c:pt idx="77">
                  <c:v>32.0</c:v>
                </c:pt>
                <c:pt idx="78">
                  <c:v>26.0</c:v>
                </c:pt>
                <c:pt idx="79">
                  <c:v>21.0</c:v>
                </c:pt>
                <c:pt idx="80">
                  <c:v>17.0</c:v>
                </c:pt>
                <c:pt idx="81">
                  <c:v>14.0</c:v>
                </c:pt>
                <c:pt idx="82">
                  <c:v>10.0</c:v>
                </c:pt>
                <c:pt idx="83">
                  <c:v>8.0</c:v>
                </c:pt>
                <c:pt idx="84">
                  <c:v>6.0</c:v>
                </c:pt>
                <c:pt idx="85">
                  <c:v>5.0</c:v>
                </c:pt>
                <c:pt idx="86">
                  <c:v>3.0</c:v>
                </c:pt>
                <c:pt idx="87">
                  <c:v>2.0</c:v>
                </c:pt>
                <c:pt idx="88">
                  <c:v>2.0</c:v>
                </c:pt>
                <c:pt idx="89">
                  <c:v>1.0</c:v>
                </c:pt>
                <c:pt idx="90">
                  <c:v>0.0</c:v>
                </c:pt>
                <c:pt idx="91">
                  <c:v>0.0</c:v>
                </c:pt>
                <c:pt idx="92">
                  <c:v>0.0</c:v>
                </c:pt>
                <c:pt idx="93">
                  <c:v>0.0</c:v>
                </c:pt>
                <c:pt idx="94">
                  <c:v>0.0</c:v>
                </c:pt>
                <c:pt idx="95">
                  <c:v>0.0</c:v>
                </c:pt>
                <c:pt idx="96">
                  <c:v>0.0</c:v>
                </c:pt>
                <c:pt idx="97">
                  <c:v>0.0</c:v>
                </c:pt>
                <c:pt idx="98">
                  <c:v>0.0</c:v>
                </c:pt>
              </c:numCache>
            </c:numRef>
          </c:yVal>
          <c:smooth val="1"/>
        </c:ser>
        <c:ser>
          <c:idx val="1"/>
          <c:order val="1"/>
          <c:tx>
            <c:strRef>
              <c:f>工作表1!$F$1</c:f>
              <c:strCache>
                <c:ptCount val="1"/>
                <c:pt idx="0">
                  <c:v>f=0.02</c:v>
                </c:pt>
              </c:strCache>
            </c:strRef>
          </c:tx>
          <c:spPr>
            <a:ln w="19050" cap="rnd">
              <a:solidFill>
                <a:schemeClr val="accent2"/>
              </a:solidFill>
              <a:round/>
            </a:ln>
            <a:effectLst/>
          </c:spPr>
          <c:marker>
            <c:symbol val="none"/>
          </c:marker>
          <c:xVal>
            <c:numRef>
              <c:f>工作表1!$D$2:$D$100</c:f>
              <c:numCache>
                <c:formatCode>General</c:formatCode>
                <c:ptCount val="99"/>
                <c:pt idx="0">
                  <c:v>0.0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numCache>
            </c:numRef>
          </c:xVal>
          <c:yVal>
            <c:numRef>
              <c:f>工作表1!$F$3:$F$101</c:f>
              <c:numCache>
                <c:formatCode>General</c:formatCode>
                <c:ptCount val="99"/>
                <c:pt idx="0">
                  <c:v>1581.0</c:v>
                </c:pt>
                <c:pt idx="1">
                  <c:v>2020.0</c:v>
                </c:pt>
                <c:pt idx="2">
                  <c:v>2228.0</c:v>
                </c:pt>
                <c:pt idx="3">
                  <c:v>2373.0</c:v>
                </c:pt>
                <c:pt idx="4">
                  <c:v>2464.0</c:v>
                </c:pt>
                <c:pt idx="5">
                  <c:v>2526.0</c:v>
                </c:pt>
                <c:pt idx="6">
                  <c:v>2576.0</c:v>
                </c:pt>
                <c:pt idx="7">
                  <c:v>2612.0</c:v>
                </c:pt>
                <c:pt idx="8">
                  <c:v>2630.0</c:v>
                </c:pt>
                <c:pt idx="9">
                  <c:v>2644.0</c:v>
                </c:pt>
                <c:pt idx="10">
                  <c:v>2650.0</c:v>
                </c:pt>
                <c:pt idx="11">
                  <c:v>2655.0</c:v>
                </c:pt>
                <c:pt idx="12">
                  <c:v>2658.0</c:v>
                </c:pt>
                <c:pt idx="13">
                  <c:v>2658.0</c:v>
                </c:pt>
                <c:pt idx="14">
                  <c:v>2647.0</c:v>
                </c:pt>
                <c:pt idx="15">
                  <c:v>2638.0</c:v>
                </c:pt>
                <c:pt idx="16">
                  <c:v>2622.0</c:v>
                </c:pt>
                <c:pt idx="17">
                  <c:v>2603.0</c:v>
                </c:pt>
                <c:pt idx="18">
                  <c:v>2591.0</c:v>
                </c:pt>
                <c:pt idx="19">
                  <c:v>2569.0</c:v>
                </c:pt>
                <c:pt idx="20">
                  <c:v>2553.0</c:v>
                </c:pt>
                <c:pt idx="21">
                  <c:v>2528.0</c:v>
                </c:pt>
                <c:pt idx="22">
                  <c:v>2501.0</c:v>
                </c:pt>
                <c:pt idx="23">
                  <c:v>2477.0</c:v>
                </c:pt>
                <c:pt idx="24">
                  <c:v>2454.0</c:v>
                </c:pt>
                <c:pt idx="25">
                  <c:v>2427.0</c:v>
                </c:pt>
                <c:pt idx="26">
                  <c:v>2392.0</c:v>
                </c:pt>
                <c:pt idx="27">
                  <c:v>2368.0</c:v>
                </c:pt>
                <c:pt idx="28">
                  <c:v>2340.0</c:v>
                </c:pt>
                <c:pt idx="29">
                  <c:v>2305.0</c:v>
                </c:pt>
                <c:pt idx="30">
                  <c:v>2275.0</c:v>
                </c:pt>
                <c:pt idx="31">
                  <c:v>2238.0</c:v>
                </c:pt>
                <c:pt idx="32">
                  <c:v>2200.0</c:v>
                </c:pt>
                <c:pt idx="33">
                  <c:v>2166.0</c:v>
                </c:pt>
                <c:pt idx="34">
                  <c:v>2132.0</c:v>
                </c:pt>
                <c:pt idx="35">
                  <c:v>2087.0</c:v>
                </c:pt>
                <c:pt idx="36">
                  <c:v>2054.0</c:v>
                </c:pt>
                <c:pt idx="37">
                  <c:v>2015.0</c:v>
                </c:pt>
                <c:pt idx="38">
                  <c:v>1973.0</c:v>
                </c:pt>
                <c:pt idx="39">
                  <c:v>1938.0</c:v>
                </c:pt>
                <c:pt idx="40">
                  <c:v>1902.0</c:v>
                </c:pt>
                <c:pt idx="41">
                  <c:v>1861.0</c:v>
                </c:pt>
                <c:pt idx="42">
                  <c:v>1817.0</c:v>
                </c:pt>
                <c:pt idx="43">
                  <c:v>1776.0</c:v>
                </c:pt>
                <c:pt idx="44">
                  <c:v>1730.0</c:v>
                </c:pt>
                <c:pt idx="45">
                  <c:v>1680.0</c:v>
                </c:pt>
                <c:pt idx="46">
                  <c:v>1619.0</c:v>
                </c:pt>
                <c:pt idx="47">
                  <c:v>1565.0</c:v>
                </c:pt>
                <c:pt idx="48">
                  <c:v>1503.0</c:v>
                </c:pt>
                <c:pt idx="49">
                  <c:v>1430.0</c:v>
                </c:pt>
                <c:pt idx="50">
                  <c:v>1357.0</c:v>
                </c:pt>
                <c:pt idx="51">
                  <c:v>1281.0</c:v>
                </c:pt>
                <c:pt idx="52">
                  <c:v>1192.0</c:v>
                </c:pt>
                <c:pt idx="53">
                  <c:v>1117.0</c:v>
                </c:pt>
                <c:pt idx="54">
                  <c:v>1028.0</c:v>
                </c:pt>
                <c:pt idx="55">
                  <c:v>940.0</c:v>
                </c:pt>
                <c:pt idx="56">
                  <c:v>855.0</c:v>
                </c:pt>
                <c:pt idx="57">
                  <c:v>768.0</c:v>
                </c:pt>
                <c:pt idx="58">
                  <c:v>686.0</c:v>
                </c:pt>
                <c:pt idx="59">
                  <c:v>605.0</c:v>
                </c:pt>
                <c:pt idx="60">
                  <c:v>534.0</c:v>
                </c:pt>
                <c:pt idx="61">
                  <c:v>465.0</c:v>
                </c:pt>
                <c:pt idx="62">
                  <c:v>404.0</c:v>
                </c:pt>
                <c:pt idx="63">
                  <c:v>353.0</c:v>
                </c:pt>
                <c:pt idx="64">
                  <c:v>301.0</c:v>
                </c:pt>
                <c:pt idx="65">
                  <c:v>259.0</c:v>
                </c:pt>
                <c:pt idx="66">
                  <c:v>225.0</c:v>
                </c:pt>
                <c:pt idx="67">
                  <c:v>188.0</c:v>
                </c:pt>
                <c:pt idx="68">
                  <c:v>160.0</c:v>
                </c:pt>
                <c:pt idx="69">
                  <c:v>135.0</c:v>
                </c:pt>
                <c:pt idx="70">
                  <c:v>114.0</c:v>
                </c:pt>
                <c:pt idx="71">
                  <c:v>96.0</c:v>
                </c:pt>
                <c:pt idx="72">
                  <c:v>82.0</c:v>
                </c:pt>
                <c:pt idx="73">
                  <c:v>68.0</c:v>
                </c:pt>
                <c:pt idx="74">
                  <c:v>56.0</c:v>
                </c:pt>
                <c:pt idx="75">
                  <c:v>46.0</c:v>
                </c:pt>
                <c:pt idx="76">
                  <c:v>39.0</c:v>
                </c:pt>
                <c:pt idx="77">
                  <c:v>31.0</c:v>
                </c:pt>
                <c:pt idx="78">
                  <c:v>26.0</c:v>
                </c:pt>
                <c:pt idx="79">
                  <c:v>21.0</c:v>
                </c:pt>
                <c:pt idx="80">
                  <c:v>17.0</c:v>
                </c:pt>
                <c:pt idx="81">
                  <c:v>13.0</c:v>
                </c:pt>
                <c:pt idx="82">
                  <c:v>10.0</c:v>
                </c:pt>
                <c:pt idx="83">
                  <c:v>8.0</c:v>
                </c:pt>
                <c:pt idx="84">
                  <c:v>6.0</c:v>
                </c:pt>
                <c:pt idx="85">
                  <c:v>5.0</c:v>
                </c:pt>
                <c:pt idx="86">
                  <c:v>3.0</c:v>
                </c:pt>
                <c:pt idx="87">
                  <c:v>2.0</c:v>
                </c:pt>
                <c:pt idx="88">
                  <c:v>2.0</c:v>
                </c:pt>
                <c:pt idx="89">
                  <c:v>1.0</c:v>
                </c:pt>
                <c:pt idx="90">
                  <c:v>1.0</c:v>
                </c:pt>
                <c:pt idx="91">
                  <c:v>0.0</c:v>
                </c:pt>
                <c:pt idx="92">
                  <c:v>0.0</c:v>
                </c:pt>
                <c:pt idx="93">
                  <c:v>0.0</c:v>
                </c:pt>
                <c:pt idx="94">
                  <c:v>0.0</c:v>
                </c:pt>
                <c:pt idx="95">
                  <c:v>0.0</c:v>
                </c:pt>
                <c:pt idx="96">
                  <c:v>0.0</c:v>
                </c:pt>
                <c:pt idx="97">
                  <c:v>0.0</c:v>
                </c:pt>
                <c:pt idx="98">
                  <c:v>0.0</c:v>
                </c:pt>
              </c:numCache>
            </c:numRef>
          </c:yVal>
          <c:smooth val="1"/>
        </c:ser>
        <c:ser>
          <c:idx val="2"/>
          <c:order val="2"/>
          <c:tx>
            <c:strRef>
              <c:f>工作表1!$G$1</c:f>
              <c:strCache>
                <c:ptCount val="1"/>
                <c:pt idx="0">
                  <c:v>f=0.05</c:v>
                </c:pt>
              </c:strCache>
            </c:strRef>
          </c:tx>
          <c:spPr>
            <a:ln w="19050" cap="rnd">
              <a:solidFill>
                <a:schemeClr val="accent3"/>
              </a:solidFill>
              <a:round/>
            </a:ln>
            <a:effectLst/>
          </c:spPr>
          <c:marker>
            <c:symbol val="none"/>
          </c:marker>
          <c:xVal>
            <c:numRef>
              <c:f>工作表1!$D$2:$D$100</c:f>
              <c:numCache>
                <c:formatCode>General</c:formatCode>
                <c:ptCount val="99"/>
                <c:pt idx="0">
                  <c:v>0.0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numCache>
            </c:numRef>
          </c:xVal>
          <c:yVal>
            <c:numRef>
              <c:f>工作表1!$G$3:$G$101</c:f>
              <c:numCache>
                <c:formatCode>General</c:formatCode>
                <c:ptCount val="99"/>
                <c:pt idx="0">
                  <c:v>999.0</c:v>
                </c:pt>
                <c:pt idx="1">
                  <c:v>1403.0</c:v>
                </c:pt>
                <c:pt idx="2">
                  <c:v>1634.0</c:v>
                </c:pt>
                <c:pt idx="3">
                  <c:v>1788.0</c:v>
                </c:pt>
                <c:pt idx="4">
                  <c:v>1899.0</c:v>
                </c:pt>
                <c:pt idx="5">
                  <c:v>1977.0</c:v>
                </c:pt>
                <c:pt idx="6">
                  <c:v>2042.0</c:v>
                </c:pt>
                <c:pt idx="7">
                  <c:v>2083.0</c:v>
                </c:pt>
                <c:pt idx="8">
                  <c:v>2119.0</c:v>
                </c:pt>
                <c:pt idx="9">
                  <c:v>2141.0</c:v>
                </c:pt>
                <c:pt idx="10">
                  <c:v>2162.0</c:v>
                </c:pt>
                <c:pt idx="11">
                  <c:v>2177.0</c:v>
                </c:pt>
                <c:pt idx="12">
                  <c:v>2191.0</c:v>
                </c:pt>
                <c:pt idx="13">
                  <c:v>2190.0</c:v>
                </c:pt>
                <c:pt idx="14">
                  <c:v>2187.0</c:v>
                </c:pt>
                <c:pt idx="15">
                  <c:v>2191.0</c:v>
                </c:pt>
                <c:pt idx="16">
                  <c:v>2178.0</c:v>
                </c:pt>
                <c:pt idx="17">
                  <c:v>2174.0</c:v>
                </c:pt>
                <c:pt idx="18">
                  <c:v>2159.0</c:v>
                </c:pt>
                <c:pt idx="19">
                  <c:v>2148.0</c:v>
                </c:pt>
                <c:pt idx="20">
                  <c:v>2130.0</c:v>
                </c:pt>
                <c:pt idx="21">
                  <c:v>2116.0</c:v>
                </c:pt>
                <c:pt idx="22">
                  <c:v>2097.0</c:v>
                </c:pt>
                <c:pt idx="23">
                  <c:v>2075.0</c:v>
                </c:pt>
                <c:pt idx="24">
                  <c:v>2053.0</c:v>
                </c:pt>
                <c:pt idx="25">
                  <c:v>2033.0</c:v>
                </c:pt>
                <c:pt idx="26">
                  <c:v>2007.0</c:v>
                </c:pt>
                <c:pt idx="27">
                  <c:v>1982.0</c:v>
                </c:pt>
                <c:pt idx="28">
                  <c:v>1956.0</c:v>
                </c:pt>
                <c:pt idx="29">
                  <c:v>1926.0</c:v>
                </c:pt>
                <c:pt idx="30">
                  <c:v>1896.0</c:v>
                </c:pt>
                <c:pt idx="31">
                  <c:v>1864.0</c:v>
                </c:pt>
                <c:pt idx="32">
                  <c:v>1831.0</c:v>
                </c:pt>
                <c:pt idx="33">
                  <c:v>1805.0</c:v>
                </c:pt>
                <c:pt idx="34">
                  <c:v>1770.0</c:v>
                </c:pt>
                <c:pt idx="35">
                  <c:v>1735.0</c:v>
                </c:pt>
                <c:pt idx="36">
                  <c:v>1703.0</c:v>
                </c:pt>
                <c:pt idx="37">
                  <c:v>1664.0</c:v>
                </c:pt>
                <c:pt idx="38">
                  <c:v>1624.0</c:v>
                </c:pt>
                <c:pt idx="39">
                  <c:v>1587.0</c:v>
                </c:pt>
                <c:pt idx="40">
                  <c:v>1545.0</c:v>
                </c:pt>
                <c:pt idx="41">
                  <c:v>1504.0</c:v>
                </c:pt>
                <c:pt idx="42">
                  <c:v>1456.0</c:v>
                </c:pt>
                <c:pt idx="43">
                  <c:v>1407.0</c:v>
                </c:pt>
                <c:pt idx="44">
                  <c:v>1358.0</c:v>
                </c:pt>
                <c:pt idx="45">
                  <c:v>1308.0</c:v>
                </c:pt>
                <c:pt idx="46">
                  <c:v>1256.0</c:v>
                </c:pt>
                <c:pt idx="47">
                  <c:v>1201.0</c:v>
                </c:pt>
                <c:pt idx="48">
                  <c:v>1144.0</c:v>
                </c:pt>
                <c:pt idx="49">
                  <c:v>1083.0</c:v>
                </c:pt>
                <c:pt idx="50">
                  <c:v>1020.0</c:v>
                </c:pt>
                <c:pt idx="51">
                  <c:v>955.0</c:v>
                </c:pt>
                <c:pt idx="52">
                  <c:v>894.0</c:v>
                </c:pt>
                <c:pt idx="53">
                  <c:v>830.0</c:v>
                </c:pt>
                <c:pt idx="54">
                  <c:v>764.0</c:v>
                </c:pt>
                <c:pt idx="55">
                  <c:v>704.0</c:v>
                </c:pt>
                <c:pt idx="56">
                  <c:v>636.0</c:v>
                </c:pt>
                <c:pt idx="57">
                  <c:v>579.0</c:v>
                </c:pt>
                <c:pt idx="58">
                  <c:v>521.0</c:v>
                </c:pt>
                <c:pt idx="59">
                  <c:v>470.0</c:v>
                </c:pt>
                <c:pt idx="60">
                  <c:v>417.0</c:v>
                </c:pt>
                <c:pt idx="61">
                  <c:v>366.0</c:v>
                </c:pt>
                <c:pt idx="62">
                  <c:v>325.0</c:v>
                </c:pt>
                <c:pt idx="63">
                  <c:v>283.0</c:v>
                </c:pt>
                <c:pt idx="64">
                  <c:v>247.0</c:v>
                </c:pt>
                <c:pt idx="65">
                  <c:v>215.0</c:v>
                </c:pt>
                <c:pt idx="66">
                  <c:v>187.0</c:v>
                </c:pt>
                <c:pt idx="67">
                  <c:v>162.0</c:v>
                </c:pt>
                <c:pt idx="68">
                  <c:v>139.0</c:v>
                </c:pt>
                <c:pt idx="69">
                  <c:v>118.0</c:v>
                </c:pt>
                <c:pt idx="70">
                  <c:v>101.0</c:v>
                </c:pt>
                <c:pt idx="71">
                  <c:v>86.0</c:v>
                </c:pt>
                <c:pt idx="72">
                  <c:v>72.0</c:v>
                </c:pt>
                <c:pt idx="73">
                  <c:v>62.0</c:v>
                </c:pt>
                <c:pt idx="74">
                  <c:v>52.0</c:v>
                </c:pt>
                <c:pt idx="75">
                  <c:v>43.0</c:v>
                </c:pt>
                <c:pt idx="76">
                  <c:v>35.0</c:v>
                </c:pt>
                <c:pt idx="77">
                  <c:v>30.0</c:v>
                </c:pt>
                <c:pt idx="78">
                  <c:v>24.0</c:v>
                </c:pt>
                <c:pt idx="79">
                  <c:v>20.0</c:v>
                </c:pt>
                <c:pt idx="80">
                  <c:v>16.0</c:v>
                </c:pt>
                <c:pt idx="81">
                  <c:v>13.0</c:v>
                </c:pt>
                <c:pt idx="82">
                  <c:v>10.0</c:v>
                </c:pt>
                <c:pt idx="83">
                  <c:v>8.0</c:v>
                </c:pt>
                <c:pt idx="84">
                  <c:v>6.0</c:v>
                </c:pt>
                <c:pt idx="85">
                  <c:v>4.0</c:v>
                </c:pt>
                <c:pt idx="86">
                  <c:v>3.0</c:v>
                </c:pt>
                <c:pt idx="87">
                  <c:v>2.0</c:v>
                </c:pt>
                <c:pt idx="88">
                  <c:v>1.0</c:v>
                </c:pt>
                <c:pt idx="89">
                  <c:v>1.0</c:v>
                </c:pt>
                <c:pt idx="90">
                  <c:v>0.0</c:v>
                </c:pt>
                <c:pt idx="91">
                  <c:v>0.0</c:v>
                </c:pt>
                <c:pt idx="92">
                  <c:v>0.0</c:v>
                </c:pt>
                <c:pt idx="93">
                  <c:v>0.0</c:v>
                </c:pt>
                <c:pt idx="94">
                  <c:v>0.0</c:v>
                </c:pt>
                <c:pt idx="95">
                  <c:v>0.0</c:v>
                </c:pt>
                <c:pt idx="96">
                  <c:v>0.0</c:v>
                </c:pt>
                <c:pt idx="97">
                  <c:v>0.0</c:v>
                </c:pt>
                <c:pt idx="98">
                  <c:v>0.0</c:v>
                </c:pt>
              </c:numCache>
            </c:numRef>
          </c:yVal>
          <c:smooth val="1"/>
        </c:ser>
        <c:dLbls>
          <c:showLegendKey val="0"/>
          <c:showVal val="0"/>
          <c:showCatName val="0"/>
          <c:showSerName val="0"/>
          <c:showPercent val="0"/>
          <c:showBubbleSize val="0"/>
        </c:dLbls>
        <c:axId val="2087278720"/>
        <c:axId val="1214008544"/>
      </c:scatterChart>
      <c:valAx>
        <c:axId val="2087278720"/>
        <c:scaling>
          <c:orientation val="minMax"/>
          <c:max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400"/>
                  <a:t>Growth rate </a:t>
                </a:r>
                <a:r>
                  <a:rPr lang="en-US" altLang="zh-CN" sz="1400" baseline="0"/>
                  <a:t>(g)</a:t>
                </a:r>
                <a:endParaRPr lang="zh-CN" altLang="en-US" sz="1400"/>
              </a:p>
            </c:rich>
          </c:tx>
          <c:layout>
            <c:manualLayout>
              <c:xMode val="edge"/>
              <c:yMode val="edge"/>
              <c:x val="0.384501087023986"/>
              <c:y val="0.90781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4008544"/>
        <c:crosses val="autoZero"/>
        <c:crossBetween val="midCat"/>
      </c:valAx>
      <c:valAx>
        <c:axId val="1214008544"/>
        <c:scaling>
          <c:orientation val="minMax"/>
          <c:max val="300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400"/>
                  <a:t>Average   occupied</a:t>
                </a:r>
                <a:endParaRPr lang="zh-CN" altLang="en-US"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72787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125</TotalTime>
  <Pages>3</Pages>
  <Words>522</Words>
  <Characters>2981</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Wenxiang</dc:creator>
  <cp:keywords/>
  <dc:description/>
  <cp:lastModifiedBy>Lei, Wenxiang</cp:lastModifiedBy>
  <cp:revision>23</cp:revision>
  <cp:lastPrinted>2016-09-07T19:20:00Z</cp:lastPrinted>
  <dcterms:created xsi:type="dcterms:W3CDTF">2016-08-29T19:06:00Z</dcterms:created>
  <dcterms:modified xsi:type="dcterms:W3CDTF">2016-09-08T00:57:00Z</dcterms:modified>
</cp:coreProperties>
</file>