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spacing w:after="20"/>
        <w:jc w:val="center"/>
      </w:pPr>
      <w:r>
        <w:t>AHMAD FADLIH WAHYU SARDANA</w:t>
      </w:r>
    </w:p>
    <w:p>
      <w:pPr>
        <w:pStyle w:val="CVRole"/>
        <w:spacing w:after="60"/>
        <w:jc w:val="center"/>
      </w:pPr>
      <w:r>
        <w:t>FULLSTACK DEVELOPER | WORKFLOW AUTOMATION | OPERATIONAL DASHBOARDS</w:t>
      </w:r>
    </w:p>
    <w:p>
      <w:pPr>
        <w:pStyle w:val="CVMeta"/>
        <w:spacing w:after="100"/>
        <w:jc w:val="center"/>
      </w:pPr>
      <w:r>
        <w:t>Indonesia  |  ahmadfadlihwahyusardana@gmail.com  |  github.com/afadlih  |  linkedin.com/in/ahmad-fadlih-wahyu-sardana-706933283</w:t>
      </w:r>
    </w:p>
    <w:p>
      <w:pPr>
        <w:pStyle w:val="CVSection"/>
        <w:spacing w:before="100" w:after="60"/>
        <w:pBdr>
          <w:bottom w:val="single" w:sz="6" w:space="5" w:color="D9E0E8"/>
        </w:pBdr>
      </w:pPr>
      <w:r>
        <w:t>RINGKASAN PROFIL</w:t>
      </w:r>
    </w:p>
    <w:p>
      <w:pPr>
        <w:spacing w:after="60"/>
      </w:pPr>
      <w:r>
        <w:t>Fullstack developer dan mahasiswa D4 Teknik Informatika yang berfokus pada workflow automation, dashboard operasional, decision system, dan integrasi AI yang tetap memiliki aturan serta validasi. Terbiasa menghubungkan kebutuhan pengguna dengan frontend, backend, kontrak data, testing, dan dokumentasi agar sistem dapat dijalankan dan ditelusuri.</w:t>
      </w:r>
    </w:p>
    <w:p>
      <w:pPr>
        <w:pStyle w:val="CVSection"/>
        <w:spacing w:before="100" w:after="60"/>
        <w:pBdr>
          <w:bottom w:val="single" w:sz="6" w:space="5" w:color="D9E0E8"/>
        </w:pBdr>
      </w:pPr>
      <w:r>
        <w:t>KEAHLIAN TEKNIS</w:t>
      </w:r>
    </w:p>
    <w:tbl>
      <w:tblPr>
        <w:tblW w:type="auto" w:w="0"/>
        <w:jc w:val="center"/>
        <w:tblLayout w:type="fixed"/>
        <w:tblLook w:firstColumn="1" w:firstRow="1" w:lastColumn="0" w:lastRow="0" w:noHBand="0" w:noVBand="1" w:val="04A0"/>
      </w:tblPr>
      <w:tblGrid>
        <w:gridCol w:w="1800"/>
        <w:gridCol w:w="9504"/>
      </w:tblGrid>
      <w:tr>
        <w:tc>
          <w:tcPr>
            <w:tcW w:type="dxa" w:w="1800"/>
            <w:tcMar>
              <w:top w:w="25" w:type="dxa"/>
              <w:start w:w="40" w:type="dxa"/>
              <w:bottom w:w="25" w:type="dxa"/>
              <w:end w:w="60" w:type="dxa"/>
            </w:tcMar>
            <w:vAlign w:val="top"/>
          </w:tcPr>
          <w:p>
            <w:pPr>
              <w:spacing w:after="0"/>
            </w:pPr>
            <w:r>
              <w:rPr>
                <w:b/>
                <w:color w:val="17304E"/>
                <w:sz w:val="16"/>
              </w:rPr>
              <w:t>Frontend</w:t>
            </w:r>
          </w:p>
        </w:tc>
        <w:tc>
          <w:tcPr>
            <w:tcW w:type="dxa" w:w="9504"/>
            <w:tcMar>
              <w:top w:w="25" w:type="dxa"/>
              <w:start w:w="40" w:type="dxa"/>
              <w:bottom w:w="25" w:type="dxa"/>
              <w:end w:w="60" w:type="dxa"/>
            </w:tcMar>
            <w:vAlign w:val="top"/>
          </w:tcPr>
          <w:p>
            <w:pPr>
              <w:spacing w:after="0"/>
            </w:pPr>
            <w:r>
              <w:rPr>
                <w:color w:val="181F2A"/>
                <w:sz w:val="16"/>
              </w:rPr>
              <w:t>Next.js, React, TypeScript, Tailwind CSS, HTML, CSS</w:t>
            </w:r>
          </w:p>
        </w:tc>
      </w:tr>
      <w:tr>
        <w:tc>
          <w:tcPr>
            <w:tcW w:type="dxa" w:w="1800"/>
            <w:tcMar>
              <w:top w:w="25" w:type="dxa"/>
              <w:start w:w="40" w:type="dxa"/>
              <w:bottom w:w="25" w:type="dxa"/>
              <w:end w:w="60" w:type="dxa"/>
            </w:tcMar>
            <w:vAlign w:val="top"/>
          </w:tcPr>
          <w:p>
            <w:pPr>
              <w:spacing w:after="0"/>
            </w:pPr>
            <w:r>
              <w:rPr>
                <w:b/>
                <w:color w:val="17304E"/>
                <w:sz w:val="16"/>
              </w:rPr>
              <w:t>Backend</w:t>
            </w:r>
          </w:p>
        </w:tc>
        <w:tc>
          <w:tcPr>
            <w:tcW w:type="dxa" w:w="9504"/>
            <w:tcMar>
              <w:top w:w="25" w:type="dxa"/>
              <w:start w:w="40" w:type="dxa"/>
              <w:bottom w:w="25" w:type="dxa"/>
              <w:end w:w="60" w:type="dxa"/>
            </w:tcMar>
            <w:vAlign w:val="top"/>
          </w:tcPr>
          <w:p>
            <w:pPr>
              <w:spacing w:after="0"/>
            </w:pPr>
            <w:r>
              <w:rPr>
                <w:color w:val="181F2A"/>
                <w:sz w:val="16"/>
              </w:rPr>
              <w:t>FastAPI, Python, Node.js, REST API, Go, PHP, Laravel</w:t>
            </w:r>
          </w:p>
        </w:tc>
      </w:tr>
      <w:tr>
        <w:tc>
          <w:tcPr>
            <w:tcW w:type="dxa" w:w="1800"/>
            <w:tcMar>
              <w:top w:w="25" w:type="dxa"/>
              <w:start w:w="40" w:type="dxa"/>
              <w:bottom w:w="25" w:type="dxa"/>
              <w:end w:w="60" w:type="dxa"/>
            </w:tcMar>
            <w:vAlign w:val="top"/>
          </w:tcPr>
          <w:p>
            <w:pPr>
              <w:spacing w:after="0"/>
            </w:pPr>
            <w:r>
              <w:rPr>
                <w:b/>
                <w:color w:val="17304E"/>
                <w:sz w:val="16"/>
              </w:rPr>
              <w:t>AI &amp; Automation</w:t>
            </w:r>
          </w:p>
        </w:tc>
        <w:tc>
          <w:tcPr>
            <w:tcW w:type="dxa" w:w="9504"/>
            <w:tcMar>
              <w:top w:w="25" w:type="dxa"/>
              <w:start w:w="40" w:type="dxa"/>
              <w:bottom w:w="25" w:type="dxa"/>
              <w:end w:w="60" w:type="dxa"/>
            </w:tcMar>
            <w:vAlign w:val="top"/>
          </w:tcPr>
          <w:p>
            <w:pPr>
              <w:spacing w:after="0"/>
            </w:pPr>
            <w:r>
              <w:rPr>
                <w:color w:val="181F2A"/>
                <w:sz w:val="16"/>
              </w:rPr>
              <w:t>Gemini API, prompt design, rule engine, browser automation, workflow integration</w:t>
            </w:r>
          </w:p>
        </w:tc>
      </w:tr>
      <w:tr>
        <w:tc>
          <w:tcPr>
            <w:tcW w:type="dxa" w:w="1800"/>
            <w:tcMar>
              <w:top w:w="25" w:type="dxa"/>
              <w:start w:w="40" w:type="dxa"/>
              <w:bottom w:w="25" w:type="dxa"/>
              <w:end w:w="60" w:type="dxa"/>
            </w:tcMar>
            <w:vAlign w:val="top"/>
          </w:tcPr>
          <w:p>
            <w:pPr>
              <w:spacing w:after="0"/>
            </w:pPr>
            <w:r>
              <w:rPr>
                <w:b/>
                <w:color w:val="17304E"/>
                <w:sz w:val="16"/>
              </w:rPr>
              <w:t>Data &amp; Tools</w:t>
            </w:r>
          </w:p>
        </w:tc>
        <w:tc>
          <w:tcPr>
            <w:tcW w:type="dxa" w:w="9504"/>
            <w:tcMar>
              <w:top w:w="25" w:type="dxa"/>
              <w:start w:w="40" w:type="dxa"/>
              <w:bottom w:w="25" w:type="dxa"/>
              <w:end w:w="60" w:type="dxa"/>
            </w:tcMar>
            <w:vAlign w:val="top"/>
          </w:tcPr>
          <w:p>
            <w:pPr>
              <w:spacing w:after="0"/>
            </w:pPr>
            <w:r>
              <w:rPr>
                <w:color w:val="181F2A"/>
                <w:sz w:val="16"/>
              </w:rPr>
              <w:t>MySQL, MongoDB design, Firebase, Supabase, Git, GitHub, Docker, Figma</w:t>
            </w:r>
          </w:p>
        </w:tc>
      </w:tr>
      <w:tr>
        <w:tc>
          <w:tcPr>
            <w:tcW w:type="dxa" w:w="1800"/>
            <w:tcMar>
              <w:top w:w="25" w:type="dxa"/>
              <w:start w:w="40" w:type="dxa"/>
              <w:bottom w:w="25" w:type="dxa"/>
              <w:end w:w="60" w:type="dxa"/>
            </w:tcMar>
            <w:vAlign w:val="top"/>
          </w:tcPr>
          <w:p>
            <w:pPr>
              <w:spacing w:after="0"/>
            </w:pPr>
            <w:r>
              <w:rPr>
                <w:b/>
                <w:color w:val="17304E"/>
                <w:sz w:val="16"/>
              </w:rPr>
              <w:t>Engineering</w:t>
            </w:r>
          </w:p>
        </w:tc>
        <w:tc>
          <w:tcPr>
            <w:tcW w:type="dxa" w:w="9504"/>
            <w:tcMar>
              <w:top w:w="25" w:type="dxa"/>
              <w:start w:w="40" w:type="dxa"/>
              <w:bottom w:w="25" w:type="dxa"/>
              <w:end w:w="60" w:type="dxa"/>
            </w:tcMar>
            <w:vAlign w:val="top"/>
          </w:tcPr>
          <w:p>
            <w:pPr>
              <w:spacing w:after="0"/>
            </w:pPr>
            <w:r>
              <w:rPr>
                <w:color w:val="181F2A"/>
                <w:sz w:val="16"/>
              </w:rPr>
              <w:t>System design, validation, RBAC, audit trail, testing, documentation</w:t>
            </w:r>
          </w:p>
        </w:tc>
      </w:tr>
    </w:tbl>
    <w:p>
      <w:pPr>
        <w:pStyle w:val="CVSection"/>
        <w:spacing w:before="100" w:after="60"/>
        <w:pBdr>
          <w:bottom w:val="single" w:sz="6" w:space="5" w:color="D9E0E8"/>
        </w:pBdr>
      </w:pPr>
      <w:r>
        <w:t>PROJECT PILIHAN</w:t>
      </w:r>
    </w:p>
    <w:p>
      <w:pPr>
        <w:spacing w:before="0" w:after="0"/>
      </w:pPr>
      <w:r>
        <w:rPr>
          <w:b/>
          <w:color w:val="17304E"/>
          <w:sz w:val="19"/>
        </w:rPr>
        <w:t>InternLog AI</w:t>
      </w:r>
      <w:r>
        <w:rPr>
          <w:color w:val="546070"/>
          <w:sz w:val="15"/>
        </w:rPr>
        <w:t xml:space="preserve">  |  Next.js, TypeScript, Firebase, AI-assisted workflow</w:t>
      </w:r>
    </w:p>
    <w:p>
      <w:pPr>
        <w:spacing w:after="22"/>
        <w:ind w:left="202" w:hanging="173"/>
      </w:pPr>
      <w:r>
        <w:rPr>
          <w:b/>
          <w:color w:val="3C73D6"/>
        </w:rPr>
        <w:t xml:space="preserve">• </w:t>
      </w:r>
      <w:r>
        <w:t>Membangun aplikasi personal untuk pencatatan aktivitas magang, quality checking, logbook mingguan, ekspor DOCX, print preview, backup, dan rekap akhir.</w:t>
      </w:r>
    </w:p>
    <w:p>
      <w:pPr>
        <w:spacing w:after="22"/>
        <w:ind w:left="202" w:hanging="173"/>
      </w:pPr>
      <w:r>
        <w:rPr>
          <w:b/>
          <w:color w:val="3C73D6"/>
        </w:rPr>
        <w:t xml:space="preserve">• </w:t>
      </w:r>
      <w:r>
        <w:t>Menyusun aturan periode resmi agar entri harian, minggu magang, dan dokumen akhir tetap konsisten.</w:t>
      </w:r>
    </w:p>
    <w:p>
      <w:pPr>
        <w:spacing w:after="22"/>
        <w:ind w:left="202" w:hanging="173"/>
      </w:pPr>
      <w:r>
        <w:rPr>
          <w:b/>
          <w:color w:val="3C73D6"/>
        </w:rPr>
        <w:t xml:space="preserve">• </w:t>
      </w:r>
      <w:r>
        <w:t>Membatasi peran AI pada perbaikan kualitas tulisan dan rekap, tanpa mengganti fakta utama yang ditulis pengguna.</w:t>
      </w:r>
    </w:p>
    <w:p>
      <w:pPr>
        <w:spacing w:before="40" w:after="0"/>
      </w:pPr>
      <w:r>
        <w:rPr>
          <w:b/>
          <w:color w:val="17304E"/>
          <w:sz w:val="19"/>
        </w:rPr>
        <w:t>AquaSense</w:t>
      </w:r>
      <w:r>
        <w:rPr>
          <w:color w:val="546070"/>
          <w:sz w:val="15"/>
        </w:rPr>
        <w:t xml:space="preserve">  |  Next.js, Go, MongoDB design, Docker, RBAC</w:t>
      </w:r>
    </w:p>
    <w:p>
      <w:pPr>
        <w:spacing w:after="22"/>
        <w:ind w:left="202" w:hanging="173"/>
      </w:pPr>
      <w:r>
        <w:rPr>
          <w:b/>
          <w:color w:val="3C73D6"/>
        </w:rPr>
        <w:t xml:space="preserve">• </w:t>
      </w:r>
      <w:r>
        <w:t>Membangun baseline sistem on-premise untuk monitoring ketinggian air kolam, alarm, kontrol manual, audit, dan kesehatan perangkat edge.</w:t>
      </w:r>
    </w:p>
    <w:p>
      <w:pPr>
        <w:spacing w:after="22"/>
        <w:ind w:left="202" w:hanging="173"/>
      </w:pPr>
      <w:r>
        <w:rPr>
          <w:b/>
          <w:color w:val="3C73D6"/>
        </w:rPr>
        <w:t xml:space="preserve">• </w:t>
      </w:r>
      <w:r>
        <w:t>Menyusun kontrak API, desain database, backend Go, role-based access control, seed data, dan dokumentasi handoff frontend-backend.</w:t>
      </w:r>
    </w:p>
    <w:p>
      <w:pPr>
        <w:spacing w:after="22"/>
        <w:ind w:left="202" w:hanging="173"/>
      </w:pPr>
      <w:r>
        <w:rPr>
          <w:b/>
          <w:color w:val="3C73D6"/>
        </w:rPr>
        <w:t xml:space="preserve">• </w:t>
      </w:r>
      <w:r>
        <w:t>Menyiapkan Docker dan laporan QA backend sebagai dasar integrasi perangkat nyata.</w:t>
      </w:r>
    </w:p>
    <w:p>
      <w:pPr>
        <w:spacing w:before="40" w:after="0"/>
      </w:pPr>
      <w:r>
        <w:rPr>
          <w:b/>
          <w:color w:val="17304E"/>
          <w:sz w:val="19"/>
        </w:rPr>
        <w:t>FormAI</w:t>
      </w:r>
      <w:r>
        <w:rPr>
          <w:color w:val="546070"/>
          <w:sz w:val="15"/>
        </w:rPr>
        <w:t xml:space="preserve">  |  Python, FastAPI, Next.js, TypeScript, Gemini API, Selenium</w:t>
      </w:r>
    </w:p>
    <w:p>
      <w:pPr>
        <w:spacing w:after="22"/>
        <w:ind w:left="202" w:hanging="173"/>
      </w:pPr>
      <w:r>
        <w:rPr>
          <w:b/>
          <w:color w:val="3C73D6"/>
        </w:rPr>
        <w:t xml:space="preserve">• </w:t>
      </w:r>
      <w:r>
        <w:t>Membangun analyzer Google Form, pemetaan CSV, validation gate, dua mode eksekusi, dan diagnostik per baris.</w:t>
      </w:r>
    </w:p>
    <w:p>
      <w:pPr>
        <w:spacing w:after="22"/>
        <w:ind w:left="202" w:hanging="173"/>
      </w:pPr>
      <w:r>
        <w:rPr>
          <w:b/>
          <w:color w:val="3C73D6"/>
        </w:rPr>
        <w:t xml:space="preserve">• </w:t>
      </w:r>
      <w:r>
        <w:t>Mengimplementasikan rule engine bertingkat sebelum fallback AI dipakai pada field ambigu.</w:t>
      </w:r>
    </w:p>
    <w:p>
      <w:pPr>
        <w:spacing w:after="22"/>
        <w:ind w:left="202" w:hanging="173"/>
      </w:pPr>
      <w:r>
        <w:rPr>
          <w:b/>
          <w:color w:val="3C73D6"/>
        </w:rPr>
        <w:t xml:space="preserve">• </w:t>
      </w:r>
      <w:r>
        <w:t>Menyediakan preview mapping dan readiness check agar blocker dapat diketahui sebelum submission.</w:t>
      </w:r>
    </w:p>
    <w:p>
      <w:pPr>
        <w:spacing w:before="40" w:after="0"/>
      </w:pPr>
      <w:r>
        <w:rPr>
          <w:b/>
          <w:color w:val="17304E"/>
          <w:sz w:val="19"/>
        </w:rPr>
        <w:t>AI Content Strategy &amp; Decision System</w:t>
      </w:r>
      <w:r>
        <w:rPr>
          <w:color w:val="546070"/>
          <w:sz w:val="15"/>
        </w:rPr>
        <w:t xml:space="preserve">  |  Next.js, TypeScript, Gemini API</w:t>
      </w:r>
    </w:p>
    <w:p>
      <w:pPr>
        <w:spacing w:after="22"/>
        <w:ind w:left="202" w:hanging="173"/>
      </w:pPr>
      <w:r>
        <w:rPr>
          <w:b/>
          <w:color w:val="3C73D6"/>
        </w:rPr>
        <w:t xml:space="preserve">• </w:t>
      </w:r>
      <w:r>
        <w:t>Membangun pipeline yang menghasilkan tiga strategi konten, memberi skor, membandingkan trade-off, dan merekomendasikan pilihan terbaik.</w:t>
      </w:r>
    </w:p>
    <w:p>
      <w:pPr>
        <w:spacing w:after="22"/>
        <w:ind w:left="202" w:hanging="173"/>
      </w:pPr>
      <w:r>
        <w:rPr>
          <w:b/>
          <w:color w:val="3C73D6"/>
        </w:rPr>
        <w:t xml:space="preserve">• </w:t>
      </w:r>
      <w:r>
        <w:t>Menormalisasi structured output agar hasil model dapat ditampilkan secara konsisten di frontend.</w:t>
      </w:r>
    </w:p>
    <w:p>
      <w:pPr>
        <w:pStyle w:val="CVSection"/>
        <w:spacing w:before="100" w:after="60"/>
        <w:pBdr>
          <w:bottom w:val="single" w:sz="6" w:space="5" w:color="D9E0E8"/>
        </w:pBdr>
      </w:pPr>
      <w:r>
        <w:t>PENGALAMAN ORGANISASI</w:t>
      </w:r>
    </w:p>
    <w:p>
      <w:pPr>
        <w:spacing w:after="0" w:before="40"/>
      </w:pPr>
      <w:r>
        <w:rPr>
          <w:b/>
          <w:color w:val="17304E"/>
          <w:sz w:val="18"/>
        </w:rPr>
        <w:t>Head of Human Resource Development</w:t>
      </w:r>
      <w:r>
        <w:rPr>
          <w:color w:val="546070"/>
          <w:sz w:val="15"/>
        </w:rPr>
        <w:t xml:space="preserve">  |  HMTI - Himpunan Mahasiswa Teknik Informatika  |  2024 - 2025</w:t>
      </w:r>
    </w:p>
    <w:p>
      <w:pPr>
        <w:spacing w:after="22"/>
        <w:ind w:left="202" w:hanging="173"/>
      </w:pPr>
      <w:r>
        <w:rPr>
          <w:b/>
          <w:color w:val="3C73D6"/>
        </w:rPr>
        <w:t xml:space="preserve">• </w:t>
      </w:r>
      <w:r>
        <w:t>Merancang program peningkatan hardskill mahasiswa yang lebih dekat dengan kebutuhan industri teknologi.</w:t>
      </w:r>
    </w:p>
    <w:p>
      <w:pPr>
        <w:spacing w:after="22"/>
        <w:ind w:left="202" w:hanging="173"/>
      </w:pPr>
      <w:r>
        <w:rPr>
          <w:b/>
          <w:color w:val="3C73D6"/>
        </w:rPr>
        <w:t xml:space="preserve">• </w:t>
      </w:r>
      <w:r>
        <w:t>Memimpin koordinasi tim dalam perencanaan, pelaksanaan, dan evaluasi program pengembangan anggota.</w:t>
      </w:r>
    </w:p>
    <w:p>
      <w:pPr>
        <w:spacing w:after="0" w:before="40"/>
      </w:pPr>
      <w:r>
        <w:rPr>
          <w:b/>
          <w:color w:val="17304E"/>
          <w:sz w:val="18"/>
        </w:rPr>
        <w:t>Ketua Pelaksana</w:t>
      </w:r>
      <w:r>
        <w:rPr>
          <w:color w:val="546070"/>
          <w:sz w:val="15"/>
        </w:rPr>
        <w:t xml:space="preserve">  |  Prastudi TI 2024  |  2024</w:t>
      </w:r>
    </w:p>
    <w:p>
      <w:pPr>
        <w:spacing w:after="22"/>
        <w:ind w:left="202" w:hanging="173"/>
      </w:pPr>
      <w:r>
        <w:rPr>
          <w:b/>
          <w:color w:val="3C73D6"/>
        </w:rPr>
        <w:t xml:space="preserve">• </w:t>
      </w:r>
      <w:r>
        <w:t>Memimpin orientasi mahasiswa baru dari perencanaan, pembagian tugas, sampai pengawasan eksekusi lapangan.</w:t>
      </w:r>
    </w:p>
    <w:p>
      <w:pPr>
        <w:spacing w:after="0" w:before="40"/>
      </w:pPr>
      <w:r>
        <w:rPr>
          <w:b/>
          <w:color w:val="17304E"/>
          <w:sz w:val="18"/>
        </w:rPr>
        <w:t>Staff External Public Relation</w:t>
      </w:r>
      <w:r>
        <w:rPr>
          <w:color w:val="546070"/>
          <w:sz w:val="15"/>
        </w:rPr>
        <w:t xml:space="preserve">  |  Polinema Mengajar  |  2024</w:t>
      </w:r>
    </w:p>
    <w:p>
      <w:pPr>
        <w:spacing w:after="22"/>
        <w:ind w:left="202" w:hanging="173"/>
      </w:pPr>
      <w:r>
        <w:rPr>
          <w:b/>
          <w:color w:val="3C73D6"/>
        </w:rPr>
        <w:t xml:space="preserve">• </w:t>
      </w:r>
      <w:r>
        <w:t>Mengelola alur komunikasi eksternal untuk mendukung program edukasi masyarakat.</w:t>
      </w:r>
    </w:p>
    <w:p>
      <w:pPr>
        <w:spacing w:after="0" w:before="40"/>
      </w:pPr>
      <w:r>
        <w:rPr>
          <w:b/>
          <w:color w:val="17304E"/>
          <w:sz w:val="18"/>
        </w:rPr>
        <w:t>Co-Founder &amp; Pemateri</w:t>
      </w:r>
      <w:r>
        <w:rPr>
          <w:color w:val="546070"/>
          <w:sz w:val="15"/>
        </w:rPr>
        <w:t xml:space="preserve">  |  Talk2Trainz  |  2024 - sekarang</w:t>
      </w:r>
    </w:p>
    <w:p>
      <w:pPr>
        <w:spacing w:after="22"/>
        <w:ind w:left="202" w:hanging="173"/>
      </w:pPr>
      <w:r>
        <w:rPr>
          <w:b/>
          <w:color w:val="3C73D6"/>
        </w:rPr>
        <w:t xml:space="preserve">• </w:t>
      </w:r>
      <w:r>
        <w:t>Turut membangun platform edukasi teknologi dan AI untuk pemula.</w:t>
      </w:r>
    </w:p>
    <w:p>
      <w:pPr>
        <w:spacing w:after="22"/>
        <w:ind w:left="202" w:hanging="173"/>
      </w:pPr>
      <w:r>
        <w:rPr>
          <w:b/>
          <w:color w:val="3C73D6"/>
        </w:rPr>
        <w:t xml:space="preserve">• </w:t>
      </w:r>
      <w:r>
        <w:t>Membawakan materi digital marketing dan pengenalan AI serta membantu strategi konten edukatif.</w:t>
      </w:r>
    </w:p>
    <w:p>
      <w:pPr>
        <w:pStyle w:val="CVSection"/>
        <w:spacing w:before="100" w:after="60"/>
        <w:pBdr>
          <w:bottom w:val="single" w:sz="6" w:space="5" w:color="D9E0E8"/>
        </w:pBdr>
      </w:pPr>
      <w:r>
        <w:t>PENDIDIKAN &amp; SERTIFIKASI</w:t>
      </w:r>
    </w:p>
    <w:p>
      <w:pPr>
        <w:spacing w:after="0"/>
      </w:pPr>
      <w:r>
        <w:rPr>
          <w:b/>
          <w:color w:val="17304E"/>
          <w:sz w:val="18"/>
        </w:rPr>
        <w:t>Politeknik Negeri Malang</w:t>
      </w:r>
      <w:r>
        <w:t xml:space="preserve">  |  D4 Teknik Informatika</w:t>
      </w:r>
    </w:p>
    <w:p>
      <w:pPr>
        <w:spacing w:after="0"/>
      </w:pPr>
      <w:r>
        <w:rPr>
          <w:b/>
          <w:color w:val="17304E"/>
          <w:sz w:val="18"/>
        </w:rPr>
        <w:t>Digital Marketing Professional</w:t>
      </w:r>
      <w:r>
        <w:t xml:space="preserve">  |  BNSP</w:t>
      </w:r>
    </w:p>
    <w:sectPr w:rsidR="00FC693F" w:rsidRPr="0006063C" w:rsidSect="00034616">
      <w:footerReference w:type="default" r:id="rId9"/>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46070"/>
        <w:sz w:val="14"/>
      </w:rPr>
      <w:t>CV portfolio - diperbarui dari paket website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color w:val="181F2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after="40"/>
    </w:pPr>
    <w:rPr>
      <w:rFonts w:ascii="Arial" w:hAnsi="Arial"/>
      <w:b/>
      <w:color w:val="17304E"/>
      <w:sz w:val="46"/>
    </w:rPr>
  </w:style>
  <w:style w:type="paragraph" w:customStyle="1" w:styleId="CVRole">
    <w:name w:val="CV Role"/>
    <w:pPr>
      <w:spacing w:after="40"/>
    </w:pPr>
    <w:rPr>
      <w:rFonts w:ascii="Arial" w:hAnsi="Arial"/>
      <w:b/>
      <w:color w:val="3C73D6"/>
      <w:sz w:val="21"/>
    </w:rPr>
  </w:style>
  <w:style w:type="paragraph" w:customStyle="1" w:styleId="CVSection">
    <w:name w:val="CV Section"/>
    <w:pPr>
      <w:spacing w:after="40"/>
    </w:pPr>
    <w:rPr>
      <w:rFonts w:ascii="Arial" w:hAnsi="Arial"/>
      <w:b/>
      <w:color w:val="17304E"/>
      <w:sz w:val="21"/>
    </w:rPr>
  </w:style>
  <w:style w:type="paragraph" w:customStyle="1" w:styleId="CVItem">
    <w:name w:val="CV Item"/>
    <w:pPr>
      <w:spacing w:after="40"/>
    </w:pPr>
    <w:rPr>
      <w:rFonts w:ascii="Arial" w:hAnsi="Arial"/>
      <w:b/>
      <w:color w:val="17304E"/>
      <w:sz w:val="18"/>
    </w:rPr>
  </w:style>
  <w:style w:type="paragraph" w:customStyle="1" w:styleId="CVMeta">
    <w:name w:val="CV Meta"/>
    <w:pPr>
      <w:spacing w:after="40"/>
    </w:pPr>
    <w:rPr>
      <w:rFonts w:ascii="Arial" w:hAnsi="Arial"/>
      <w:b w:val="0"/>
      <w:color w:val="5460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