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VName"/>
        <w:spacing w:after="20"/>
        <w:jc w:val="center"/>
      </w:pPr>
      <w:r>
        <w:t>AHMAD FADLIH WAHYU SARDANA</w:t>
      </w:r>
    </w:p>
    <w:p>
      <w:pPr>
        <w:pStyle w:val="CVRole"/>
        <w:spacing w:after="60"/>
        <w:jc w:val="center"/>
      </w:pPr>
      <w:r>
        <w:t>FULLSTACK DEVELOPER | WORKFLOW AUTOMATION | OPERATIONAL DASHBOARDS</w:t>
      </w:r>
    </w:p>
    <w:p>
      <w:pPr>
        <w:pStyle w:val="CVMeta"/>
        <w:spacing w:after="100"/>
        <w:jc w:val="center"/>
      </w:pPr>
      <w:r>
        <w:t>Indonesia  |  ahmadfadlihwahyusardana@gmail.com  |  github.com/afadlih  |  linkedin.com/in/ahmad-fadlih-wahyu-sardana-706933283</w:t>
      </w:r>
    </w:p>
    <w:p>
      <w:pPr>
        <w:pStyle w:val="CVSection"/>
        <w:spacing w:before="100" w:after="60"/>
        <w:pBdr>
          <w:bottom w:val="single" w:sz="6" w:space="5" w:color="D9E0E8"/>
        </w:pBdr>
      </w:pPr>
      <w:r>
        <w:t>PROFESSIONAL SUMMARY</w:t>
      </w:r>
    </w:p>
    <w:p>
      <w:pPr>
        <w:spacing w:after="60"/>
      </w:pPr>
      <w:r>
        <w:t>Fullstack developer and Applied Informatics student focused on workflow automation, operational dashboards, decision systems, and AI integrations with explicit rules and validation. Experienced in connecting user needs with frontend, backend, data contracts, testing, and documentation so systems remain usable and traceable.</w:t>
      </w:r>
    </w:p>
    <w:p>
      <w:pPr>
        <w:pStyle w:val="CVSection"/>
        <w:spacing w:before="100" w:after="60"/>
        <w:pBdr>
          <w:bottom w:val="single" w:sz="6" w:space="5" w:color="D9E0E8"/>
        </w:pBdr>
      </w:pPr>
      <w:r>
        <w:t>TECHNICAL SKILLS</w:t>
      </w:r>
    </w:p>
    <w:tbl>
      <w:tblPr>
        <w:tblW w:type="auto" w:w="0"/>
        <w:jc w:val="center"/>
        <w:tblLayout w:type="fixed"/>
        <w:tblLook w:firstColumn="1" w:firstRow="1" w:lastColumn="0" w:lastRow="0" w:noHBand="0" w:noVBand="1" w:val="04A0"/>
      </w:tblPr>
      <w:tblGrid>
        <w:gridCol w:w="1800"/>
        <w:gridCol w:w="9504"/>
      </w:tblGrid>
      <w:tr>
        <w:tc>
          <w:tcPr>
            <w:tcW w:type="dxa" w:w="1800"/>
            <w:tcMar>
              <w:top w:w="25" w:type="dxa"/>
              <w:start w:w="40" w:type="dxa"/>
              <w:bottom w:w="25" w:type="dxa"/>
              <w:end w:w="60" w:type="dxa"/>
            </w:tcMar>
            <w:vAlign w:val="top"/>
          </w:tcPr>
          <w:p>
            <w:pPr>
              <w:spacing w:after="0"/>
            </w:pPr>
            <w:r>
              <w:rPr>
                <w:b/>
                <w:color w:val="17304E"/>
                <w:sz w:val="16"/>
              </w:rPr>
              <w:t>Frontend</w:t>
            </w:r>
          </w:p>
        </w:tc>
        <w:tc>
          <w:tcPr>
            <w:tcW w:type="dxa" w:w="9504"/>
            <w:tcMar>
              <w:top w:w="25" w:type="dxa"/>
              <w:start w:w="40" w:type="dxa"/>
              <w:bottom w:w="25" w:type="dxa"/>
              <w:end w:w="60" w:type="dxa"/>
            </w:tcMar>
            <w:vAlign w:val="top"/>
          </w:tcPr>
          <w:p>
            <w:pPr>
              <w:spacing w:after="0"/>
            </w:pPr>
            <w:r>
              <w:rPr>
                <w:color w:val="181F2A"/>
                <w:sz w:val="16"/>
              </w:rPr>
              <w:t>Next.js, React, TypeScript, Tailwind CSS, HTML, CSS</w:t>
            </w:r>
          </w:p>
        </w:tc>
      </w:tr>
      <w:tr>
        <w:tc>
          <w:tcPr>
            <w:tcW w:type="dxa" w:w="1800"/>
            <w:tcMar>
              <w:top w:w="25" w:type="dxa"/>
              <w:start w:w="40" w:type="dxa"/>
              <w:bottom w:w="25" w:type="dxa"/>
              <w:end w:w="60" w:type="dxa"/>
            </w:tcMar>
            <w:vAlign w:val="top"/>
          </w:tcPr>
          <w:p>
            <w:pPr>
              <w:spacing w:after="0"/>
            </w:pPr>
            <w:r>
              <w:rPr>
                <w:b/>
                <w:color w:val="17304E"/>
                <w:sz w:val="16"/>
              </w:rPr>
              <w:t>Backend</w:t>
            </w:r>
          </w:p>
        </w:tc>
        <w:tc>
          <w:tcPr>
            <w:tcW w:type="dxa" w:w="9504"/>
            <w:tcMar>
              <w:top w:w="25" w:type="dxa"/>
              <w:start w:w="40" w:type="dxa"/>
              <w:bottom w:w="25" w:type="dxa"/>
              <w:end w:w="60" w:type="dxa"/>
            </w:tcMar>
            <w:vAlign w:val="top"/>
          </w:tcPr>
          <w:p>
            <w:pPr>
              <w:spacing w:after="0"/>
            </w:pPr>
            <w:r>
              <w:rPr>
                <w:color w:val="181F2A"/>
                <w:sz w:val="16"/>
              </w:rPr>
              <w:t>FastAPI, Python, Node.js, REST APIs, Go, PHP, Laravel</w:t>
            </w:r>
          </w:p>
        </w:tc>
      </w:tr>
      <w:tr>
        <w:tc>
          <w:tcPr>
            <w:tcW w:type="dxa" w:w="1800"/>
            <w:tcMar>
              <w:top w:w="25" w:type="dxa"/>
              <w:start w:w="40" w:type="dxa"/>
              <w:bottom w:w="25" w:type="dxa"/>
              <w:end w:w="60" w:type="dxa"/>
            </w:tcMar>
            <w:vAlign w:val="top"/>
          </w:tcPr>
          <w:p>
            <w:pPr>
              <w:spacing w:after="0"/>
            </w:pPr>
            <w:r>
              <w:rPr>
                <w:b/>
                <w:color w:val="17304E"/>
                <w:sz w:val="16"/>
              </w:rPr>
              <w:t>AI &amp; Automation</w:t>
            </w:r>
          </w:p>
        </w:tc>
        <w:tc>
          <w:tcPr>
            <w:tcW w:type="dxa" w:w="9504"/>
            <w:tcMar>
              <w:top w:w="25" w:type="dxa"/>
              <w:start w:w="40" w:type="dxa"/>
              <w:bottom w:w="25" w:type="dxa"/>
              <w:end w:w="60" w:type="dxa"/>
            </w:tcMar>
            <w:vAlign w:val="top"/>
          </w:tcPr>
          <w:p>
            <w:pPr>
              <w:spacing w:after="0"/>
            </w:pPr>
            <w:r>
              <w:rPr>
                <w:color w:val="181F2A"/>
                <w:sz w:val="16"/>
              </w:rPr>
              <w:t>Gemini API, prompt design, rule engines, browser automation, workflow integration</w:t>
            </w:r>
          </w:p>
        </w:tc>
      </w:tr>
      <w:tr>
        <w:tc>
          <w:tcPr>
            <w:tcW w:type="dxa" w:w="1800"/>
            <w:tcMar>
              <w:top w:w="25" w:type="dxa"/>
              <w:start w:w="40" w:type="dxa"/>
              <w:bottom w:w="25" w:type="dxa"/>
              <w:end w:w="60" w:type="dxa"/>
            </w:tcMar>
            <w:vAlign w:val="top"/>
          </w:tcPr>
          <w:p>
            <w:pPr>
              <w:spacing w:after="0"/>
            </w:pPr>
            <w:r>
              <w:rPr>
                <w:b/>
                <w:color w:val="17304E"/>
                <w:sz w:val="16"/>
              </w:rPr>
              <w:t>Data &amp; Tools</w:t>
            </w:r>
          </w:p>
        </w:tc>
        <w:tc>
          <w:tcPr>
            <w:tcW w:type="dxa" w:w="9504"/>
            <w:tcMar>
              <w:top w:w="25" w:type="dxa"/>
              <w:start w:w="40" w:type="dxa"/>
              <w:bottom w:w="25" w:type="dxa"/>
              <w:end w:w="60" w:type="dxa"/>
            </w:tcMar>
            <w:vAlign w:val="top"/>
          </w:tcPr>
          <w:p>
            <w:pPr>
              <w:spacing w:after="0"/>
            </w:pPr>
            <w:r>
              <w:rPr>
                <w:color w:val="181F2A"/>
                <w:sz w:val="16"/>
              </w:rPr>
              <w:t>MySQL, MongoDB design, Firebase, Supabase, Git, GitHub, Docker, Figma</w:t>
            </w:r>
          </w:p>
        </w:tc>
      </w:tr>
      <w:tr>
        <w:tc>
          <w:tcPr>
            <w:tcW w:type="dxa" w:w="1800"/>
            <w:tcMar>
              <w:top w:w="25" w:type="dxa"/>
              <w:start w:w="40" w:type="dxa"/>
              <w:bottom w:w="25" w:type="dxa"/>
              <w:end w:w="60" w:type="dxa"/>
            </w:tcMar>
            <w:vAlign w:val="top"/>
          </w:tcPr>
          <w:p>
            <w:pPr>
              <w:spacing w:after="0"/>
            </w:pPr>
            <w:r>
              <w:rPr>
                <w:b/>
                <w:color w:val="17304E"/>
                <w:sz w:val="16"/>
              </w:rPr>
              <w:t>Engineering</w:t>
            </w:r>
          </w:p>
        </w:tc>
        <w:tc>
          <w:tcPr>
            <w:tcW w:type="dxa" w:w="9504"/>
            <w:tcMar>
              <w:top w:w="25" w:type="dxa"/>
              <w:start w:w="40" w:type="dxa"/>
              <w:bottom w:w="25" w:type="dxa"/>
              <w:end w:w="60" w:type="dxa"/>
            </w:tcMar>
            <w:vAlign w:val="top"/>
          </w:tcPr>
          <w:p>
            <w:pPr>
              <w:spacing w:after="0"/>
            </w:pPr>
            <w:r>
              <w:rPr>
                <w:color w:val="181F2A"/>
                <w:sz w:val="16"/>
              </w:rPr>
              <w:t>System design, validation, RBAC, audit trails, testing, documentation</w:t>
            </w:r>
          </w:p>
        </w:tc>
      </w:tr>
    </w:tbl>
    <w:p>
      <w:pPr>
        <w:pStyle w:val="CVSection"/>
        <w:spacing w:before="100" w:after="60"/>
        <w:pBdr>
          <w:bottom w:val="single" w:sz="6" w:space="5" w:color="D9E0E8"/>
        </w:pBdr>
      </w:pPr>
      <w:r>
        <w:t>SELECTED PROJECTS</w:t>
      </w:r>
    </w:p>
    <w:p>
      <w:pPr>
        <w:spacing w:before="0" w:after="0"/>
      </w:pPr>
      <w:r>
        <w:rPr>
          <w:b/>
          <w:color w:val="17304E"/>
          <w:sz w:val="19"/>
        </w:rPr>
        <w:t>InternLog AI</w:t>
      </w:r>
      <w:r>
        <w:rPr>
          <w:color w:val="546070"/>
          <w:sz w:val="15"/>
        </w:rPr>
        <w:t xml:space="preserve">  |  Next.js, TypeScript, Firebase, AI-assisted workflow</w:t>
      </w:r>
    </w:p>
    <w:p>
      <w:pPr>
        <w:spacing w:after="22"/>
        <w:ind w:left="202" w:hanging="173"/>
      </w:pPr>
      <w:r>
        <w:rPr>
          <w:b/>
          <w:color w:val="3C73D6"/>
        </w:rPr>
        <w:t xml:space="preserve">• </w:t>
      </w:r>
      <w:r>
        <w:t>Built a personal application for internship activity records, writing checks, weekly logbooks, DOCX export, print preview, backup, and final recap.</w:t>
      </w:r>
    </w:p>
    <w:p>
      <w:pPr>
        <w:spacing w:after="22"/>
        <w:ind w:left="202" w:hanging="173"/>
      </w:pPr>
      <w:r>
        <w:rPr>
          <w:b/>
          <w:color w:val="3C73D6"/>
        </w:rPr>
        <w:t xml:space="preserve">• </w:t>
      </w:r>
      <w:r>
        <w:t>Designed official-period rules so daily entries, internship weeks, and final documents remain consistent.</w:t>
      </w:r>
    </w:p>
    <w:p>
      <w:pPr>
        <w:spacing w:after="22"/>
        <w:ind w:left="202" w:hanging="173"/>
      </w:pPr>
      <w:r>
        <w:rPr>
          <w:b/>
          <w:color w:val="3C73D6"/>
        </w:rPr>
        <w:t xml:space="preserve">• </w:t>
      </w:r>
      <w:r>
        <w:t>Limited AI to writing-quality support and recap generation without replacing the user’s core facts.</w:t>
      </w:r>
    </w:p>
    <w:p>
      <w:pPr>
        <w:spacing w:before="40" w:after="0"/>
      </w:pPr>
      <w:r>
        <w:rPr>
          <w:b/>
          <w:color w:val="17304E"/>
          <w:sz w:val="19"/>
        </w:rPr>
        <w:t>AquaSense</w:t>
      </w:r>
      <w:r>
        <w:rPr>
          <w:color w:val="546070"/>
          <w:sz w:val="15"/>
        </w:rPr>
        <w:t xml:space="preserve">  |  Next.js, Go, MongoDB design, Docker, RBAC</w:t>
      </w:r>
    </w:p>
    <w:p>
      <w:pPr>
        <w:spacing w:after="22"/>
        <w:ind w:left="202" w:hanging="173"/>
      </w:pPr>
      <w:r>
        <w:rPr>
          <w:b/>
          <w:color w:val="3C73D6"/>
        </w:rPr>
        <w:t xml:space="preserve">• </w:t>
      </w:r>
      <w:r>
        <w:t>Built an on-premise baseline for pond water-level monitoring, alarms, manual controls, audit logs, and edge-device health.</w:t>
      </w:r>
    </w:p>
    <w:p>
      <w:pPr>
        <w:spacing w:after="22"/>
        <w:ind w:left="202" w:hanging="173"/>
      </w:pPr>
      <w:r>
        <w:rPr>
          <w:b/>
          <w:color w:val="3C73D6"/>
        </w:rPr>
        <w:t xml:space="preserve">• </w:t>
      </w:r>
      <w:r>
        <w:t>Defined API contracts, database design, Go backend structure, role-based access control, seed data, and frontend-backend handoff documentation.</w:t>
      </w:r>
    </w:p>
    <w:p>
      <w:pPr>
        <w:spacing w:after="22"/>
        <w:ind w:left="202" w:hanging="173"/>
      </w:pPr>
      <w:r>
        <w:rPr>
          <w:b/>
          <w:color w:val="3C73D6"/>
        </w:rPr>
        <w:t xml:space="preserve">• </w:t>
      </w:r>
      <w:r>
        <w:t>Prepared Docker and backend QA reports as the foundation for real-device integration.</w:t>
      </w:r>
    </w:p>
    <w:p>
      <w:pPr>
        <w:spacing w:before="40" w:after="0"/>
      </w:pPr>
      <w:r>
        <w:rPr>
          <w:b/>
          <w:color w:val="17304E"/>
          <w:sz w:val="19"/>
        </w:rPr>
        <w:t>FormAI</w:t>
      </w:r>
      <w:r>
        <w:rPr>
          <w:color w:val="546070"/>
          <w:sz w:val="15"/>
        </w:rPr>
        <w:t xml:space="preserve">  |  Python, FastAPI, Next.js, TypeScript, Gemini API, Selenium</w:t>
      </w:r>
    </w:p>
    <w:p>
      <w:pPr>
        <w:spacing w:after="22"/>
        <w:ind w:left="202" w:hanging="173"/>
      </w:pPr>
      <w:r>
        <w:rPr>
          <w:b/>
          <w:color w:val="3C73D6"/>
        </w:rPr>
        <w:t xml:space="preserve">• </w:t>
      </w:r>
      <w:r>
        <w:t>Built Google Form analysis, CSV mapping, validation gates, dual execution modes, and row-level diagnostics.</w:t>
      </w:r>
    </w:p>
    <w:p>
      <w:pPr>
        <w:spacing w:after="22"/>
        <w:ind w:left="202" w:hanging="173"/>
      </w:pPr>
      <w:r>
        <w:rPr>
          <w:b/>
          <w:color w:val="3C73D6"/>
        </w:rPr>
        <w:t xml:space="preserve">• </w:t>
      </w:r>
      <w:r>
        <w:t>Implemented a layered rule engine before using AI fallback for ambiguous fields.</w:t>
      </w:r>
    </w:p>
    <w:p>
      <w:pPr>
        <w:spacing w:after="22"/>
        <w:ind w:left="202" w:hanging="173"/>
      </w:pPr>
      <w:r>
        <w:rPr>
          <w:b/>
          <w:color w:val="3C73D6"/>
        </w:rPr>
        <w:t xml:space="preserve">• </w:t>
      </w:r>
      <w:r>
        <w:t>Added mapping previews and readiness checks so blockers are visible before submission.</w:t>
      </w:r>
    </w:p>
    <w:p>
      <w:pPr>
        <w:spacing w:before="40" w:after="0"/>
      </w:pPr>
      <w:r>
        <w:rPr>
          <w:b/>
          <w:color w:val="17304E"/>
          <w:sz w:val="19"/>
        </w:rPr>
        <w:t>AI Content Strategy &amp; Decision System</w:t>
      </w:r>
      <w:r>
        <w:rPr>
          <w:color w:val="546070"/>
          <w:sz w:val="15"/>
        </w:rPr>
        <w:t xml:space="preserve">  |  Next.js, TypeScript, Gemini API</w:t>
      </w:r>
    </w:p>
    <w:p>
      <w:pPr>
        <w:spacing w:after="22"/>
        <w:ind w:left="202" w:hanging="173"/>
      </w:pPr>
      <w:r>
        <w:rPr>
          <w:b/>
          <w:color w:val="3C73D6"/>
        </w:rPr>
        <w:t xml:space="preserve">• </w:t>
      </w:r>
      <w:r>
        <w:t>Built a pipeline that generates three content strategies, scores them, compares trade-offs, and recommends the strongest option.</w:t>
      </w:r>
    </w:p>
    <w:p>
      <w:pPr>
        <w:spacing w:after="22"/>
        <w:ind w:left="202" w:hanging="173"/>
      </w:pPr>
      <w:r>
        <w:rPr>
          <w:b/>
          <w:color w:val="3C73D6"/>
        </w:rPr>
        <w:t xml:space="preserve">• </w:t>
      </w:r>
      <w:r>
        <w:t>Normalized structured model output so results remain stable in the frontend.</w:t>
      </w:r>
    </w:p>
    <w:p>
      <w:pPr>
        <w:pStyle w:val="CVSection"/>
        <w:spacing w:before="100" w:after="60"/>
        <w:pBdr>
          <w:bottom w:val="single" w:sz="6" w:space="5" w:color="D9E0E8"/>
        </w:pBdr>
      </w:pPr>
      <w:r>
        <w:t>LEADERSHIP &amp; ORGANIZATIONS</w:t>
      </w:r>
    </w:p>
    <w:p>
      <w:pPr>
        <w:spacing w:after="0" w:before="40"/>
      </w:pPr>
      <w:r>
        <w:rPr>
          <w:b/>
          <w:color w:val="17304E"/>
          <w:sz w:val="18"/>
        </w:rPr>
        <w:t>Head of Human Resource Development</w:t>
      </w:r>
      <w:r>
        <w:rPr>
          <w:color w:val="546070"/>
          <w:sz w:val="15"/>
        </w:rPr>
        <w:t xml:space="preserve">  |  HMTI - Informatics Student Association  |  2024 - 2025</w:t>
      </w:r>
    </w:p>
    <w:p>
      <w:pPr>
        <w:spacing w:after="22"/>
        <w:ind w:left="202" w:hanging="173"/>
      </w:pPr>
      <w:r>
        <w:rPr>
          <w:b/>
          <w:color w:val="3C73D6"/>
        </w:rPr>
        <w:t xml:space="preserve">• </w:t>
      </w:r>
      <w:r>
        <w:t>Planned hard-skill development programs aligned with technology industry needs.</w:t>
      </w:r>
    </w:p>
    <w:p>
      <w:pPr>
        <w:spacing w:after="22"/>
        <w:ind w:left="202" w:hanging="173"/>
      </w:pPr>
      <w:r>
        <w:rPr>
          <w:b/>
          <w:color w:val="3C73D6"/>
        </w:rPr>
        <w:t xml:space="preserve">• </w:t>
      </w:r>
      <w:r>
        <w:t>Led team coordination across planning, delivery, and evaluation of member-development programs.</w:t>
      </w:r>
    </w:p>
    <w:p>
      <w:pPr>
        <w:spacing w:after="0" w:before="40"/>
      </w:pPr>
      <w:r>
        <w:rPr>
          <w:b/>
          <w:color w:val="17304E"/>
          <w:sz w:val="18"/>
        </w:rPr>
        <w:t>Event Lead</w:t>
      </w:r>
      <w:r>
        <w:rPr>
          <w:color w:val="546070"/>
          <w:sz w:val="15"/>
        </w:rPr>
        <w:t xml:space="preserve">  |  Prastudi TI 2024  |  2024</w:t>
      </w:r>
    </w:p>
    <w:p>
      <w:pPr>
        <w:spacing w:after="22"/>
        <w:ind w:left="202" w:hanging="173"/>
      </w:pPr>
      <w:r>
        <w:rPr>
          <w:b/>
          <w:color w:val="3C73D6"/>
        </w:rPr>
        <w:t xml:space="preserve">• </w:t>
      </w:r>
      <w:r>
        <w:t>Led the incoming-student orientation from planning and task allocation through on-site execution.</w:t>
      </w:r>
    </w:p>
    <w:p>
      <w:pPr>
        <w:spacing w:after="0" w:before="40"/>
      </w:pPr>
      <w:r>
        <w:rPr>
          <w:b/>
          <w:color w:val="17304E"/>
          <w:sz w:val="18"/>
        </w:rPr>
        <w:t>External Public Relation Staff</w:t>
      </w:r>
      <w:r>
        <w:rPr>
          <w:color w:val="546070"/>
          <w:sz w:val="15"/>
        </w:rPr>
        <w:t xml:space="preserve">  |  Polinema Mengajar  |  2024</w:t>
      </w:r>
    </w:p>
    <w:p>
      <w:pPr>
        <w:spacing w:after="22"/>
        <w:ind w:left="202" w:hanging="173"/>
      </w:pPr>
      <w:r>
        <w:rPr>
          <w:b/>
          <w:color w:val="3C73D6"/>
        </w:rPr>
        <w:t xml:space="preserve">• </w:t>
      </w:r>
      <w:r>
        <w:t>Managed external communication flow to support a community education program.</w:t>
      </w:r>
    </w:p>
    <w:p>
      <w:pPr>
        <w:spacing w:after="0" w:before="40"/>
      </w:pPr>
      <w:r>
        <w:rPr>
          <w:b/>
          <w:color w:val="17304E"/>
          <w:sz w:val="18"/>
        </w:rPr>
        <w:t>Co-Founder &amp; Instructor</w:t>
      </w:r>
      <w:r>
        <w:rPr>
          <w:color w:val="546070"/>
          <w:sz w:val="15"/>
        </w:rPr>
        <w:t xml:space="preserve">  |  Talk2Trainz  |  2024 - present</w:t>
      </w:r>
    </w:p>
    <w:p>
      <w:pPr>
        <w:spacing w:after="22"/>
        <w:ind w:left="202" w:hanging="173"/>
      </w:pPr>
      <w:r>
        <w:rPr>
          <w:b/>
          <w:color w:val="3C73D6"/>
        </w:rPr>
        <w:t xml:space="preserve">• </w:t>
      </w:r>
      <w:r>
        <w:t>Co-built a beginner-focused technology and AI education platform.</w:t>
      </w:r>
    </w:p>
    <w:p>
      <w:pPr>
        <w:spacing w:after="22"/>
        <w:ind w:left="202" w:hanging="173"/>
      </w:pPr>
      <w:r>
        <w:rPr>
          <w:b/>
          <w:color w:val="3C73D6"/>
        </w:rPr>
        <w:t xml:space="preserve">• </w:t>
      </w:r>
      <w:r>
        <w:t>Delivered digital marketing and AI introduction sessions and supported educational content strategy.</w:t>
      </w:r>
    </w:p>
    <w:p>
      <w:pPr>
        <w:pStyle w:val="CVSection"/>
        <w:spacing w:before="100" w:after="60"/>
        <w:pBdr>
          <w:bottom w:val="single" w:sz="6" w:space="5" w:color="D9E0E8"/>
        </w:pBdr>
      </w:pPr>
      <w:r>
        <w:t>EDUCATION &amp; CREDENTIAL</w:t>
      </w:r>
    </w:p>
    <w:p>
      <w:pPr>
        <w:spacing w:after="0"/>
      </w:pPr>
      <w:r>
        <w:rPr>
          <w:b/>
          <w:color w:val="17304E"/>
          <w:sz w:val="18"/>
        </w:rPr>
        <w:t>Politeknik Negeri Malang</w:t>
      </w:r>
      <w:r>
        <w:t xml:space="preserve">  |  Applied Bachelor in Informatics Engineering</w:t>
      </w:r>
    </w:p>
    <w:p>
      <w:pPr>
        <w:spacing w:after="0"/>
      </w:pPr>
      <w:r>
        <w:rPr>
          <w:b/>
          <w:color w:val="17304E"/>
          <w:sz w:val="18"/>
        </w:rPr>
        <w:t>Digital Marketing Professional</w:t>
      </w:r>
      <w:r>
        <w:t xml:space="preserve">  |  BNSP</w:t>
      </w:r>
    </w:p>
    <w:sectPr w:rsidR="00FC693F" w:rsidRPr="0006063C" w:rsidSect="00034616">
      <w:footerReference w:type="default" r:id="rId9"/>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46070"/>
        <w:sz w:val="14"/>
      </w:rPr>
      <w:t>Portfolio resume - updated from the website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rial" w:hAnsi="Arial"/>
      <w:color w:val="181F2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
    <w:name w:val="CV Name"/>
    <w:pPr>
      <w:spacing w:after="40"/>
    </w:pPr>
    <w:rPr>
      <w:rFonts w:ascii="Arial" w:hAnsi="Arial"/>
      <w:b/>
      <w:color w:val="17304E"/>
      <w:sz w:val="46"/>
    </w:rPr>
  </w:style>
  <w:style w:type="paragraph" w:customStyle="1" w:styleId="CVRole">
    <w:name w:val="CV Role"/>
    <w:pPr>
      <w:spacing w:after="40"/>
    </w:pPr>
    <w:rPr>
      <w:rFonts w:ascii="Arial" w:hAnsi="Arial"/>
      <w:b/>
      <w:color w:val="3C73D6"/>
      <w:sz w:val="21"/>
    </w:rPr>
  </w:style>
  <w:style w:type="paragraph" w:customStyle="1" w:styleId="CVSection">
    <w:name w:val="CV Section"/>
    <w:pPr>
      <w:spacing w:after="40"/>
    </w:pPr>
    <w:rPr>
      <w:rFonts w:ascii="Arial" w:hAnsi="Arial"/>
      <w:b/>
      <w:color w:val="17304E"/>
      <w:sz w:val="21"/>
    </w:rPr>
  </w:style>
  <w:style w:type="paragraph" w:customStyle="1" w:styleId="CVItem">
    <w:name w:val="CV Item"/>
    <w:pPr>
      <w:spacing w:after="40"/>
    </w:pPr>
    <w:rPr>
      <w:rFonts w:ascii="Arial" w:hAnsi="Arial"/>
      <w:b/>
      <w:color w:val="17304E"/>
      <w:sz w:val="18"/>
    </w:rPr>
  </w:style>
  <w:style w:type="paragraph" w:customStyle="1" w:styleId="CVMeta">
    <w:name w:val="CV Meta"/>
    <w:pPr>
      <w:spacing w:after="40"/>
    </w:pPr>
    <w:rPr>
      <w:rFonts w:ascii="Arial" w:hAnsi="Arial"/>
      <w:b w:val="0"/>
      <w:color w:val="54607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