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cora-logo.png"/>
                    <pic:cNvPicPr/>
                  </pic:nvPicPr>
                  <pic:blipFill>
                    <a:blip r:embed="rId11"/>
                    <a:stretch>
                      <a:fillRect/>
                    </a:stretch>
                  </pic:blipFill>
                  <pic:spPr>
                    <a:xfrm>
                      <a:off x="0" y="0"/>
                      <a:ext cx="1463040" cy="1463040"/>
                    </a:xfrm>
                    <a:prstGeom prst="rect"/>
                  </pic:spPr>
                </pic:pic>
              </a:graphicData>
            </a:graphic>
          </wp:inline>
        </w:drawing>
      </w:r>
    </w:p>
    <w:p>
      <w:pPr>
        <w:pStyle w:val="Title"/>
        <w:spacing w:before="200" w:after="160"/>
        <w:jc w:val="center"/>
      </w:pPr>
      <w:r>
        <w:rPr>
          <w:rFonts w:ascii="Aptos Display" w:hAnsi="Aptos Display" w:eastAsia="Aptos Display"/>
          <w:b/>
          <w:color w:val="000000"/>
          <w:sz w:val="54"/>
        </w:rPr>
        <w:t>Guía docente de CORA</w:t>
      </w:r>
    </w:p>
    <w:p>
      <w:pPr>
        <w:spacing w:after="360"/>
        <w:jc w:val="center"/>
      </w:pPr>
      <w:r>
        <w:rPr>
          <w:rFonts w:ascii="Aptos" w:hAnsi="Aptos" w:eastAsia="Aptos"/>
          <w:b w:val="0"/>
          <w:i w:val="0"/>
          <w:color w:val="123B56"/>
          <w:sz w:val="28"/>
        </w:rPr>
        <w:t>Conceptos, carga de información y lógica de medición de los resultados de aprendizaje</w:t>
      </w:r>
    </w:p>
    <w:p>
      <w:pPr>
        <w:spacing w:after="400"/>
        <w:jc w:val="center"/>
      </w:pPr>
      <w:r>
        <w:rPr>
          <w:rFonts w:ascii="Aptos" w:hAnsi="Aptos" w:eastAsia="Aptos"/>
          <w:b/>
          <w:i w:val="0"/>
          <w:color w:val="16817B"/>
          <w:sz w:val="22"/>
        </w:rPr>
        <w:t>Fisioterapia · Universidad del Cauca</w:t>
      </w:r>
    </w:p>
    <w:tbl>
      <w:tblPr>
        <w:tblW w:type="auto" w:w="0"/>
        <w:jc w:val="center"/>
        <w:tblLayout w:type="fixed"/>
        <w:tblLook w:firstColumn="1" w:firstRow="1" w:lastColumn="0" w:lastRow="0" w:noHBand="0" w:noVBand="1" w:val="04A0"/>
      </w:tblPr>
      <w:tblGrid>
        <w:gridCol w:w="9936"/>
      </w:tblGrid>
      <w:tr>
        <w:tc>
          <w:tcPr>
            <w:tcW w:type="dxa" w:w="10166"/>
            <w:shd w:fill="EAF4F3"/>
            <w:tcMar>
              <w:top w:w="130" w:type="dxa"/>
              <w:start w:w="180" w:type="dxa"/>
              <w:bottom w:w="130" w:type="dxa"/>
              <w:end w:w="180" w:type="dxa"/>
            </w:tcMar>
          </w:tcPr>
          <w:p>
            <w:pPr>
              <w:spacing w:after="60"/>
            </w:pPr>
            <w:r>
              <w:rPr>
                <w:rFonts w:ascii="Aptos" w:hAnsi="Aptos" w:eastAsia="Aptos"/>
                <w:b/>
                <w:i w:val="0"/>
                <w:color w:val="16817B"/>
                <w:sz w:val="20"/>
              </w:rPr>
              <w:t>Para qué sirve esta guía</w:t>
            </w:r>
          </w:p>
          <w:p>
            <w:pPr>
              <w:spacing w:after="0" w:line="264" w:lineRule="auto"/>
            </w:pPr>
            <w:r>
              <w:rPr>
                <w:rFonts w:ascii="Aptos" w:hAnsi="Aptos" w:eastAsia="Aptos"/>
                <w:b w:val="0"/>
                <w:i w:val="0"/>
                <w:color w:val="17212B"/>
                <w:sz w:val="20"/>
              </w:rPr>
              <w:t>Explica cómo CORA organiza la evidencia de evaluación, la relaciona con los Resultados de Aprendizaje (RA) y produce resultados legibles y trazables. Distingue el plan vigente de la propuesta de modificación curricular V20; sus datos y mapeos no se mezclan.</w:t>
            </w:r>
          </w:p>
        </w:tc>
      </w:tr>
    </w:tbl>
    <w:p>
      <w:pPr>
        <w:spacing w:after="0"/>
      </w:pPr>
    </w:p>
    <w:p>
      <w:r>
        <w:drawing>
          <wp:inline xmlns:a="http://schemas.openxmlformats.org/drawingml/2006/main" xmlns:pic="http://schemas.openxmlformats.org/drawingml/2006/picture">
            <wp:extent cx="6217920" cy="1282446"/>
            <wp:docPr id="2" name="Picture 2"/>
            <wp:cNvGraphicFramePr>
              <a:graphicFrameLocks noChangeAspect="1"/>
            </wp:cNvGraphicFramePr>
            <a:graphic>
              <a:graphicData uri="http://schemas.openxmlformats.org/drawingml/2006/picture">
                <pic:pic>
                  <pic:nvPicPr>
                    <pic:cNvPr id="0" name="cora-guia-flujo.png"/>
                    <pic:cNvPicPr/>
                  </pic:nvPicPr>
                  <pic:blipFill>
                    <a:blip r:embed="rId12"/>
                    <a:stretch>
                      <a:fillRect/>
                    </a:stretch>
                  </pic:blipFill>
                  <pic:spPr>
                    <a:xfrm>
                      <a:off x="0" y="0"/>
                      <a:ext cx="6217920" cy="1282446"/>
                    </a:xfrm>
                    <a:prstGeom prst="rect"/>
                  </pic:spPr>
                </pic:pic>
              </a:graphicData>
            </a:graphic>
          </wp:inline>
        </w:drawing>
      </w:r>
    </w:p>
    <w:p>
      <w:pPr>
        <w:spacing w:after="240"/>
        <w:jc w:val="center"/>
      </w:pPr>
      <w:r>
        <w:rPr>
          <w:rFonts w:ascii="Aptos" w:hAnsi="Aptos" w:eastAsia="Aptos"/>
          <w:b w:val="0"/>
          <w:i/>
          <w:color w:val="52636F"/>
          <w:sz w:val="18"/>
        </w:rPr>
        <w:t>Recorrido general: de la nota registrada al análisis del logro.</w:t>
      </w:r>
    </w:p>
    <w:p>
      <w:pPr>
        <w:jc w:val="center"/>
      </w:pPr>
      <w:r>
        <w:rPr>
          <w:rFonts w:ascii="Aptos" w:hAnsi="Aptos" w:eastAsia="Aptos"/>
          <w:b w:val="0"/>
          <w:i w:val="0"/>
          <w:color w:val="52636F"/>
          <w:sz w:val="18"/>
        </w:rPr>
        <w:t>Versión preparada el 15 de octubre de 2026</w:t>
      </w:r>
    </w:p>
    <w:tbl>
      <w:tblPr>
        <w:tblW w:type="auto" w:w="0"/>
        <w:jc w:val="center"/>
        <w:tblLayout w:type="fixed"/>
        <w:tblLook w:firstColumn="1" w:firstRow="1" w:lastColumn="0" w:lastRow="0" w:noHBand="0" w:noVBand="1" w:val="04A0"/>
      </w:tblPr>
      <w:tblGrid>
        <w:gridCol w:w="9936"/>
      </w:tblGrid>
      <w:tr>
        <w:tc>
          <w:tcPr>
            <w:tcW w:type="dxa" w:w="10166"/>
            <w:shd w:fill="EFF5F8"/>
            <w:tcMar>
              <w:top w:w="130" w:type="dxa"/>
              <w:start w:w="180" w:type="dxa"/>
              <w:bottom w:w="130" w:type="dxa"/>
              <w:end w:w="180" w:type="dxa"/>
            </w:tcMar>
          </w:tcPr>
          <w:p>
            <w:pPr>
              <w:spacing w:after="60"/>
            </w:pPr>
            <w:r>
              <w:rPr>
                <w:rFonts w:ascii="Aptos" w:hAnsi="Aptos" w:eastAsia="Aptos"/>
                <w:b/>
                <w:i w:val="0"/>
                <w:color w:val="123B56"/>
                <w:sz w:val="20"/>
              </w:rPr>
              <w:t>Idea clave</w:t>
            </w:r>
          </w:p>
          <w:p>
            <w:pPr>
              <w:spacing w:after="0" w:line="264" w:lineRule="auto"/>
            </w:pPr>
            <w:r>
              <w:rPr>
                <w:rFonts w:ascii="Aptos" w:hAnsi="Aptos" w:eastAsia="Aptos"/>
                <w:b w:val="0"/>
                <w:i w:val="0"/>
                <w:color w:val="17212B"/>
                <w:sz w:val="20"/>
              </w:rPr>
              <w:t>CORA automatiza la aplicación de los mapeos y de las reglas definidas para cada plan. El docente registra evidencia de forma consistente; no redefine los RA ni el nivel curricular de una asignatura.</w:t>
            </w:r>
          </w:p>
        </w:tc>
      </w:tr>
    </w:tbl>
    <w:p>
      <w:pPr>
        <w:spacing w:after="0"/>
      </w:pPr>
    </w:p>
    <w:p>
      <w:r>
        <w:br w:type="page"/>
      </w:r>
    </w:p>
    <w:p>
      <w:pPr>
        <w:pStyle w:val="Heading1"/>
        <w:keepNext/>
        <w:spacing w:before="220" w:after="100"/>
      </w:pPr>
      <w:r>
        <w:rPr>
          <w:rFonts w:ascii="Aptos" w:hAnsi="Aptos" w:eastAsia="Aptos"/>
          <w:b/>
          <w:color w:val="000000"/>
          <w:sz w:val="32"/>
        </w:rPr>
        <w:t>1. Conceptos básicos</w:t>
      </w:r>
    </w:p>
    <w:p>
      <w:pPr>
        <w:spacing w:before="0" w:after="100" w:line="269" w:lineRule="auto"/>
      </w:pPr>
      <w:r>
        <w:rPr>
          <w:rFonts w:ascii="Aptos" w:hAnsi="Aptos" w:eastAsia="Aptos"/>
          <w:b w:val="0"/>
          <w:i w:val="0"/>
          <w:color w:val="17212B"/>
          <w:sz w:val="21"/>
        </w:rPr>
        <w:t>Antes de cargar notas, conviene distinguir qué representa cada elemento. CORA conecta estos conceptos para explicar de dónde sale cada resultado, pero cada uno cumple una función distinta.</w:t>
      </w:r>
    </w:p>
    <w:tbl>
      <w:tblPr>
        <w:tblStyle w:val="TableGrid"/>
        <w:tblW w:type="auto" w:w="0"/>
        <w:jc w:val="center"/>
        <w:tblLayout w:type="fixed"/>
        <w:tblLook w:firstColumn="1" w:firstRow="1" w:lastColumn="0" w:lastRow="0" w:noHBand="0" w:noVBand="1" w:val="04A0"/>
      </w:tblPr>
      <w:tblGrid>
        <w:gridCol w:w="2232"/>
        <w:gridCol w:w="7560"/>
      </w:tblGrid>
      <w:tr>
        <w:trPr>
          <w:tblHeader w:val="true"/>
        </w:trPr>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8"/>
              </w:rPr>
              <w:t>Concepto</w:t>
            </w:r>
          </w:p>
        </w:tc>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8"/>
              </w:rPr>
              <w:t>Qué significa en CORA</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Resultado de Aprendizaje (RA)</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Lo que el programa espera que el estudiante pueda demostrar al avanzar o culminar su formación. El plan vigente trabaja con RA1 y RA2; la propuesta V20 contiene cinco RA.</w:t>
            </w:r>
          </w:p>
        </w:tc>
      </w:tr>
      <w:tr>
        <w:tc>
          <w:tcPr>
            <w:tcW w:type="dxa" w:w="22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Competencia</w:t>
            </w:r>
          </w:p>
        </w:tc>
        <w:tc>
          <w:tcPr>
            <w:tcW w:type="dxa" w:w="75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Capacidad integrada que articula saber, saber hacer y saber ser. En la interconexión curricular se asocia con los RA.</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Indicador</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Señal observable que ayuda a valorar si se alcanza un RA. En V20, cada KPI del perfil se relaciona con un RA.</w:t>
            </w:r>
          </w:p>
        </w:tc>
      </w:tr>
      <w:tr>
        <w:tc>
          <w:tcPr>
            <w:tcW w:type="dxa" w:w="22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Asignatura y semestre</w:t>
            </w:r>
          </w:p>
        </w:tc>
        <w:tc>
          <w:tcPr>
            <w:tcW w:type="dxa" w:w="75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Unidad curricular donde se recoge evidencia. CORA usa la malla para identificar semestre, créditos, naturaleza y aporte a cada RA.</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Actividad evaluativa</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Examen, práctica, caso, producto u otra evidencia con que el docente evalúa. En el plan vigente puede tener un código que fija su alineación; en V20 el nombre queda como trazabilidad.</w:t>
            </w:r>
          </w:p>
        </w:tc>
      </w:tr>
      <w:tr>
        <w:tc>
          <w:tcPr>
            <w:tcW w:type="dxa" w:w="22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Nivel de aporte</w:t>
            </w:r>
          </w:p>
        </w:tc>
        <w:tc>
          <w:tcPr>
            <w:tcW w:type="dxa" w:w="75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Relación curricular entre una asignatura y un RA: Introduce, Refuerza, Domina o Sin aporte. No es una calificación del estudiante.</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Créditos</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Peso curricular que se usa en determinadas medidas para que las asignaturas con más créditos tengan mayor influencia.</w:t>
            </w:r>
          </w:p>
        </w:tc>
      </w:tr>
    </w:tbl>
    <w:p>
      <w:pPr>
        <w:spacing w:after="0"/>
      </w:pPr>
    </w:p>
    <w:p>
      <w:pPr>
        <w:pStyle w:val="Heading2"/>
        <w:keepNext/>
        <w:spacing w:before="140" w:after="100"/>
      </w:pPr>
      <w:r>
        <w:rPr>
          <w:rFonts w:ascii="Aptos" w:hAnsi="Aptos" w:eastAsia="Aptos"/>
          <w:b/>
          <w:color w:val="000000"/>
          <w:sz w:val="25"/>
        </w:rPr>
        <w:t>Dos planes en una misma herramienta</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7"/>
              </w:rPr>
              <w:t>Plan vigente</w:t>
            </w:r>
          </w:p>
        </w:tc>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7"/>
              </w:rPr>
              <w:t>Propuesta de modificación V20</w:t>
            </w:r>
          </w:p>
        </w:tc>
      </w:tr>
      <w:tr>
        <w:tc>
          <w:tcPr>
            <w:tcW w:type="dxa" w:w="4896"/>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2 RA · asignaturas y códigos de actividades precargados. El mapeo actividad–RA depende del plan.</w:t>
            </w:r>
          </w:p>
        </w:tc>
        <w:tc>
          <w:tcPr>
            <w:tcW w:type="dxa" w:w="4896"/>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5 RA · malla V20 con créditos, semestres, niveles de aporte, competencias, indicadores y cadenas cognitivas.</w:t>
            </w:r>
          </w:p>
        </w:tc>
      </w:tr>
      <w:tr>
        <w:tc>
          <w:tcPr>
            <w:tcW w:type="dxa" w:w="489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En modo actividad, CORA reconoce los códigos del archivo. Si la actividad se identifica como examen, la aplica automáticamente a todos los RA con aporte de la asignatura.</w:t>
            </w:r>
          </w:p>
        </w:tc>
        <w:tc>
          <w:tcPr>
            <w:tcW w:type="dxa" w:w="489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Las notas se alinean por la relación fija asignatura–RA; el nombre de la actividad se conserva como información de trazabilidad.</w:t>
            </w:r>
          </w:p>
        </w:tc>
      </w:tr>
      <w:tr>
        <w:tc>
          <w:tcPr>
            <w:tcW w:type="dxa" w:w="4896"/>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Las cargas y resultados se guardan en el navegador bajo el conjunto de datos del plan vigente.</w:t>
            </w:r>
          </w:p>
        </w:tc>
        <w:tc>
          <w:tcPr>
            <w:tcW w:type="dxa" w:w="4896"/>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La propuesta se guarda por separado y tiene análisis adicional de logro criterial, KPI y triangulación.</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EAF4F3"/>
            <w:tcMar>
              <w:top w:w="130" w:type="dxa"/>
              <w:start w:w="180" w:type="dxa"/>
              <w:bottom w:w="130" w:type="dxa"/>
              <w:end w:w="180" w:type="dxa"/>
            </w:tcMar>
          </w:tcPr>
          <w:p>
            <w:pPr>
              <w:spacing w:after="60"/>
            </w:pPr>
            <w:r>
              <w:rPr>
                <w:rFonts w:ascii="Aptos" w:hAnsi="Aptos" w:eastAsia="Aptos"/>
                <w:b/>
                <w:i w:val="0"/>
                <w:color w:val="16817B"/>
                <w:sz w:val="20"/>
              </w:rPr>
              <w:t>Separación de versiones</w:t>
            </w:r>
          </w:p>
          <w:p>
            <w:pPr>
              <w:spacing w:after="0" w:line="264" w:lineRule="auto"/>
            </w:pPr>
            <w:r>
              <w:rPr>
                <w:rFonts w:ascii="Aptos" w:hAnsi="Aptos" w:eastAsia="Aptos"/>
                <w:b w:val="0"/>
                <w:i w:val="0"/>
                <w:color w:val="17212B"/>
                <w:sz w:val="20"/>
              </w:rPr>
              <w:t>Al cambiar el selector Programa, verifique qué plan está activo antes de cargar o interpretar datos. La propuesta V20 no reemplaza el plan vigente.</w:t>
            </w:r>
          </w:p>
        </w:tc>
      </w:tr>
    </w:tbl>
    <w:p>
      <w:pPr>
        <w:spacing w:after="0"/>
      </w:pPr>
    </w:p>
    <w:p>
      <w:r>
        <w:br w:type="page"/>
      </w:r>
    </w:p>
    <w:p>
      <w:pPr>
        <w:pStyle w:val="Heading1"/>
        <w:keepNext/>
        <w:spacing w:before="220" w:after="100"/>
      </w:pPr>
      <w:r>
        <w:rPr>
          <w:rFonts w:ascii="Aptos" w:hAnsi="Aptos" w:eastAsia="Aptos"/>
          <w:b/>
          <w:color w:val="000000"/>
          <w:sz w:val="32"/>
        </w:rPr>
        <w:t>2. Cómo se relacionan las evidencias con los RA</w:t>
      </w:r>
    </w:p>
    <w:p>
      <w:pPr>
        <w:spacing w:before="0" w:after="100" w:line="269" w:lineRule="auto"/>
      </w:pPr>
      <w:r>
        <w:rPr>
          <w:rFonts w:ascii="Aptos" w:hAnsi="Aptos" w:eastAsia="Aptos"/>
          <w:b w:val="0"/>
          <w:i w:val="0"/>
          <w:color w:val="17212B"/>
          <w:sz w:val="21"/>
        </w:rPr>
        <w:t>La lógica completa puede leerse como una ruta de trazabilidad. Un registro solo aporta cuando tiene nota válida, estudiante, asignatura reconocida y una alineación que el plan permita aplicar.</w:t>
      </w:r>
    </w:p>
    <w:p>
      <w:r>
        <w:drawing>
          <wp:inline xmlns:a="http://schemas.openxmlformats.org/drawingml/2006/main" xmlns:pic="http://schemas.openxmlformats.org/drawingml/2006/picture">
            <wp:extent cx="6217920" cy="1943100"/>
            <wp:docPr id="3" name="Picture 3"/>
            <wp:cNvGraphicFramePr>
              <a:graphicFrameLocks noChangeAspect="1"/>
            </wp:cNvGraphicFramePr>
            <a:graphic>
              <a:graphicData uri="http://schemas.openxmlformats.org/drawingml/2006/picture">
                <pic:pic>
                  <pic:nvPicPr>
                    <pic:cNvPr id="0" name="cora-guia-red.png"/>
                    <pic:cNvPicPr/>
                  </pic:nvPicPr>
                  <pic:blipFill>
                    <a:blip r:embed="rId13"/>
                    <a:stretch>
                      <a:fillRect/>
                    </a:stretch>
                  </pic:blipFill>
                  <pic:spPr>
                    <a:xfrm>
                      <a:off x="0" y="0"/>
                      <a:ext cx="6217920" cy="1943100"/>
                    </a:xfrm>
                    <a:prstGeom prst="rect"/>
                  </pic:spPr>
                </pic:pic>
              </a:graphicData>
            </a:graphic>
          </wp:inline>
        </w:drawing>
      </w:r>
    </w:p>
    <w:p>
      <w:pPr>
        <w:jc w:val="center"/>
      </w:pPr>
      <w:r>
        <w:rPr>
          <w:rFonts w:ascii="Aptos" w:hAnsi="Aptos" w:eastAsia="Aptos"/>
          <w:b w:val="0"/>
          <w:i/>
          <w:color w:val="52636F"/>
          <w:sz w:val="18"/>
        </w:rPr>
        <w:t>Esquema conceptual de interconexión curricular. Las líneas representan relaciones del mapeo, no magnitudes de logro.</w:t>
      </w:r>
    </w:p>
    <w:p>
      <w:pPr>
        <w:pStyle w:val="Heading2"/>
        <w:keepNext/>
        <w:spacing w:before="140" w:after="100"/>
      </w:pPr>
      <w:r>
        <w:rPr>
          <w:rFonts w:ascii="Aptos" w:hAnsi="Aptos" w:eastAsia="Aptos"/>
          <w:b/>
          <w:color w:val="000000"/>
          <w:sz w:val="25"/>
        </w:rPr>
        <w:t>Qué muestra la red y qué no</w:t>
      </w:r>
    </w:p>
    <w:p>
      <w:pPr>
        <w:pStyle w:val="ListBullet"/>
        <w:spacing w:after="40" w:line="259" w:lineRule="auto"/>
      </w:pPr>
      <w:r>
        <w:rPr>
          <w:rFonts w:ascii="Aptos" w:hAnsi="Aptos" w:eastAsia="Aptos"/>
          <w:b w:val="0"/>
          <w:i w:val="0"/>
          <w:color w:val="17212B"/>
          <w:sz w:val="20"/>
        </w:rPr>
        <w:t>El mapa mental 2D sitúa las asignaturas previas a la izquierda y las que continúan a la derecha; arriba aparecen los RA y competencias, y abajo, componentes del perfil de egreso. En V20 también aparecen momentos del ciclo vital alrededor de la asignatura seleccionada.</w:t>
      </w:r>
    </w:p>
    <w:p>
      <w:pPr>
        <w:pStyle w:val="ListBullet"/>
        <w:spacing w:after="40" w:line="259" w:lineRule="auto"/>
      </w:pPr>
      <w:r>
        <w:rPr>
          <w:rFonts w:ascii="Aptos" w:hAnsi="Aptos" w:eastAsia="Aptos"/>
          <w:b w:val="0"/>
          <w:i w:val="0"/>
          <w:color w:val="17212B"/>
          <w:sz w:val="20"/>
        </w:rPr>
        <w:t>La red neuronal 3D permite explorar las relaciones de forma espacial. En la propuesta V20, las asignaturas son esferas y su color representa la dimensión curricular; los RA, competencias, perfil y momentos del ciclo usan figuras distintas.</w:t>
      </w:r>
    </w:p>
    <w:p>
      <w:pPr>
        <w:pStyle w:val="ListBullet"/>
        <w:spacing w:after="40" w:line="259" w:lineRule="auto"/>
      </w:pPr>
      <w:r>
        <w:rPr>
          <w:rFonts w:ascii="Aptos" w:hAnsi="Aptos" w:eastAsia="Aptos"/>
          <w:b w:val="0"/>
          <w:i w:val="0"/>
          <w:color w:val="17212B"/>
          <w:sz w:val="20"/>
        </w:rPr>
        <w:t>Las cadenas cognitivas muestran secuencias y trayectos formativos. La lámina curricular de cada asignatura reúne su RA, competencia, indicador, perfil, ciclo vital y cadenas donde participa.</w:t>
      </w:r>
    </w:p>
    <w:p>
      <w:pPr>
        <w:pStyle w:val="ListBullet"/>
        <w:spacing w:after="40" w:line="259" w:lineRule="auto"/>
      </w:pPr>
      <w:r>
        <w:rPr>
          <w:rFonts w:ascii="Aptos" w:hAnsi="Aptos" w:eastAsia="Aptos"/>
          <w:b w:val="0"/>
          <w:i w:val="0"/>
          <w:color w:val="17212B"/>
          <w:sz w:val="20"/>
        </w:rPr>
        <w:t>Estas visualizaciones ayudan a comprender la estructura curricular; por sí solas no calculan notas ni demuestran logro. El cálculo sale de registros válidos y reglas de aporte.</w:t>
      </w:r>
    </w:p>
    <w:p>
      <w:pPr>
        <w:pStyle w:val="Heading2"/>
        <w:keepNext/>
        <w:spacing w:before="140" w:after="100"/>
      </w:pPr>
      <w:r>
        <w:rPr>
          <w:rFonts w:ascii="Aptos" w:hAnsi="Aptos" w:eastAsia="Aptos"/>
          <w:b/>
          <w:color w:val="000000"/>
          <w:sz w:val="25"/>
        </w:rPr>
        <w:t>Aporte asignatura–RA en lenguaje llano</w:t>
      </w:r>
    </w:p>
    <w:p>
      <w:pPr>
        <w:spacing w:before="0" w:after="100" w:line="269" w:lineRule="auto"/>
      </w:pPr>
      <w:r>
        <w:rPr>
          <w:rFonts w:ascii="Aptos" w:hAnsi="Aptos" w:eastAsia="Aptos"/>
          <w:b w:val="0"/>
          <w:i w:val="0"/>
          <w:color w:val="17212B"/>
          <w:sz w:val="21"/>
        </w:rPr>
        <w:t>El nivel define qué parte de la nota se contabiliza como aporte ponderado a ese RA. Una asignatura puede Introducir un RA y Reforzar otro; cada resultado recibe su propio factor. “Sin aporte” significa que esa asignatura no entra en el cálculo de ese RA.</w:t>
      </w:r>
    </w:p>
    <w:tbl>
      <w:tblPr>
        <w:tblStyle w:val="TableGrid"/>
        <w:tblW w:type="auto" w:w="0"/>
        <w:jc w:val="center"/>
        <w:tblLayout w:type="fixed"/>
        <w:tblLook w:firstColumn="1" w:firstRow="1" w:lastColumn="0" w:lastRow="0" w:noHBand="0" w:noVBand="1" w:val="04A0"/>
      </w:tblPr>
      <w:tblGrid>
        <w:gridCol w:w="2088"/>
        <w:gridCol w:w="1728"/>
        <w:gridCol w:w="5976"/>
      </w:tblGrid>
      <w:tr>
        <w:trPr>
          <w:tblHeader w:val="true"/>
        </w:trPr>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8"/>
              </w:rPr>
              <w:t>Nivel</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8"/>
              </w:rPr>
              <w:t>Factor</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8"/>
              </w:rPr>
              <w:t>Ejemplo con nota 4,0</w:t>
            </w:r>
          </w:p>
        </w:tc>
      </w:tr>
      <w:tr>
        <w:tc>
          <w:tcPr>
            <w:tcW w:type="dxa" w:w="2088"/>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Introduce</w:t>
            </w:r>
          </w:p>
        </w:tc>
        <w:tc>
          <w:tcPr>
            <w:tcW w:type="dxa" w:w="1728"/>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0,33</w:t>
            </w:r>
          </w:p>
        </w:tc>
        <w:tc>
          <w:tcPr>
            <w:tcW w:type="dxa" w:w="5976"/>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4,0 × 0,33 = 1,32 / 5</w:t>
            </w:r>
          </w:p>
        </w:tc>
      </w:tr>
      <w:tr>
        <w:tc>
          <w:tcPr>
            <w:tcW w:type="dxa" w:w="208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Refuerza</w:t>
            </w:r>
          </w:p>
        </w:tc>
        <w:tc>
          <w:tcPr>
            <w:tcW w:type="dxa" w:w="172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0,66</w:t>
            </w:r>
          </w:p>
        </w:tc>
        <w:tc>
          <w:tcPr>
            <w:tcW w:type="dxa" w:w="597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4,0 × 0,66 = 2,64 / 5</w:t>
            </w:r>
          </w:p>
        </w:tc>
      </w:tr>
      <w:tr>
        <w:tc>
          <w:tcPr>
            <w:tcW w:type="dxa" w:w="2088"/>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Domina</w:t>
            </w:r>
          </w:p>
        </w:tc>
        <w:tc>
          <w:tcPr>
            <w:tcW w:type="dxa" w:w="1728"/>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1,00</w:t>
            </w:r>
          </w:p>
        </w:tc>
        <w:tc>
          <w:tcPr>
            <w:tcW w:type="dxa" w:w="5976"/>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4,0 × 1,00 = 4,00 / 5</w:t>
            </w:r>
          </w:p>
        </w:tc>
      </w:tr>
      <w:tr>
        <w:tc>
          <w:tcPr>
            <w:tcW w:type="dxa" w:w="208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Sin aporte</w:t>
            </w:r>
          </w:p>
        </w:tc>
        <w:tc>
          <w:tcPr>
            <w:tcW w:type="dxa" w:w="172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No se calcula</w:t>
            </w:r>
          </w:p>
        </w:tc>
        <w:tc>
          <w:tcPr>
            <w:tcW w:type="dxa" w:w="597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El registro no alimenta ese RA</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FFF5E5"/>
            <w:tcMar>
              <w:top w:w="130" w:type="dxa"/>
              <w:start w:w="180" w:type="dxa"/>
              <w:bottom w:w="130" w:type="dxa"/>
              <w:end w:w="180" w:type="dxa"/>
            </w:tcMar>
          </w:tcPr>
          <w:p>
            <w:pPr>
              <w:spacing w:after="60"/>
            </w:pPr>
            <w:r>
              <w:rPr>
                <w:rFonts w:ascii="Aptos" w:hAnsi="Aptos" w:eastAsia="Aptos"/>
                <w:b/>
                <w:i w:val="0"/>
                <w:color w:val="8A5B12"/>
                <w:sz w:val="20"/>
              </w:rPr>
              <w:t>No es un porcentaje de la nota final</w:t>
            </w:r>
          </w:p>
          <w:p>
            <w:pPr>
              <w:spacing w:after="0" w:line="264" w:lineRule="auto"/>
            </w:pPr>
            <w:r>
              <w:rPr>
                <w:rFonts w:ascii="Aptos" w:hAnsi="Aptos" w:eastAsia="Aptos"/>
                <w:b w:val="0"/>
                <w:i w:val="0"/>
                <w:color w:val="17212B"/>
                <w:sz w:val="20"/>
              </w:rPr>
              <w:t>El valor 1,32 en la escala 0–5 representa el aporte ponderado de una nota 4,0 en una asignatura que Introduce. No significa que el estudiante logró 1,32 % del RA. El porcentaje aparece en los KPI, que contestan otra pregunta: qué proporción de estudiantes alcanzó una banda mínima.</w:t>
            </w:r>
          </w:p>
        </w:tc>
      </w:tr>
    </w:tbl>
    <w:p>
      <w:pPr>
        <w:spacing w:after="0"/>
      </w:pPr>
    </w:p>
    <w:p>
      <w:r>
        <w:br w:type="page"/>
      </w:r>
    </w:p>
    <w:p>
      <w:pPr>
        <w:pStyle w:val="Heading1"/>
        <w:keepNext/>
        <w:spacing w:before="220" w:after="100"/>
      </w:pPr>
      <w:r>
        <w:rPr>
          <w:rFonts w:ascii="Aptos" w:hAnsi="Aptos" w:eastAsia="Aptos"/>
          <w:b/>
          <w:color w:val="000000"/>
          <w:sz w:val="32"/>
        </w:rPr>
        <w:t>3. Preparar y cargar los archivos</w:t>
      </w:r>
    </w:p>
    <w:p>
      <w:pPr>
        <w:pStyle w:val="Heading2"/>
        <w:keepNext/>
        <w:spacing w:before="140" w:after="100"/>
      </w:pPr>
      <w:r>
        <w:rPr>
          <w:rFonts w:ascii="Aptos" w:hAnsi="Aptos" w:eastAsia="Aptos"/>
          <w:b/>
          <w:color w:val="000000"/>
          <w:sz w:val="25"/>
        </w:rPr>
        <w:t>Antes de seleccionar el CSV</w:t>
      </w:r>
    </w:p>
    <w:p>
      <w:pPr>
        <w:pStyle w:val="ListNumber"/>
        <w:spacing w:after="60" w:line="259" w:lineRule="auto"/>
      </w:pPr>
      <w:r>
        <w:rPr>
          <w:rFonts w:ascii="Aptos" w:hAnsi="Aptos" w:eastAsia="Aptos"/>
          <w:b w:val="0"/>
          <w:i w:val="0"/>
          <w:color w:val="17212B"/>
          <w:sz w:val="20"/>
        </w:rPr>
        <w:t>Seleccione primero el programa correcto: Plan vigente o Propuesta de modificación curricular.</w:t>
      </w:r>
    </w:p>
    <w:p>
      <w:pPr>
        <w:pStyle w:val="ListNumber"/>
        <w:spacing w:after="60" w:line="259" w:lineRule="auto"/>
      </w:pPr>
      <w:r>
        <w:rPr>
          <w:rFonts w:ascii="Aptos" w:hAnsi="Aptos" w:eastAsia="Aptos"/>
          <w:b w:val="0"/>
          <w:i w:val="0"/>
          <w:color w:val="17212B"/>
          <w:sz w:val="20"/>
        </w:rPr>
        <w:t>Defina el periodo académico al que corresponden las notas, por ejemplo 2026-1.</w:t>
      </w:r>
    </w:p>
    <w:p>
      <w:pPr>
        <w:pStyle w:val="ListNumber"/>
        <w:spacing w:after="60" w:line="259" w:lineRule="auto"/>
      </w:pPr>
      <w:r>
        <w:rPr>
          <w:rFonts w:ascii="Aptos" w:hAnsi="Aptos" w:eastAsia="Aptos"/>
          <w:b w:val="0"/>
          <w:i w:val="0"/>
          <w:color w:val="17212B"/>
          <w:sz w:val="20"/>
        </w:rPr>
        <w:t>Use los nombres de asignatura reconocidos en la malla. CORA deriva el semestre de ese nombre; si no reconoce la asignatura, la fila queda excluida hasta corregirla.</w:t>
      </w:r>
    </w:p>
    <w:p>
      <w:pPr>
        <w:pStyle w:val="ListNumber"/>
        <w:spacing w:after="60" w:line="259" w:lineRule="auto"/>
      </w:pPr>
      <w:r>
        <w:rPr>
          <w:rFonts w:ascii="Aptos" w:hAnsi="Aptos" w:eastAsia="Aptos"/>
          <w:b w:val="0"/>
          <w:i w:val="0"/>
          <w:color w:val="17212B"/>
          <w:sz w:val="20"/>
        </w:rPr>
        <w:t>Compruebe que las notas estén en escala 0–5. El programa admite coma o punto decimal.</w:t>
      </w:r>
    </w:p>
    <w:p>
      <w:pPr>
        <w:pStyle w:val="ListNumber"/>
        <w:spacing w:after="60" w:line="259" w:lineRule="auto"/>
      </w:pPr>
      <w:r>
        <w:rPr>
          <w:rFonts w:ascii="Aptos" w:hAnsi="Aptos" w:eastAsia="Aptos"/>
          <w:b w:val="0"/>
          <w:i w:val="0"/>
          <w:color w:val="17212B"/>
          <w:sz w:val="20"/>
        </w:rPr>
        <w:t>Separe las cohortes o periodos en archivos si le resulta más claro: las nuevas cargas se agregan a los registros ya guardados. No cargue dos veces la misma evidencia.</w:t>
      </w:r>
    </w:p>
    <w:p>
      <w:pPr>
        <w:pStyle w:val="Heading2"/>
        <w:keepNext/>
        <w:spacing w:before="140" w:after="100"/>
      </w:pPr>
      <w:r>
        <w:rPr>
          <w:rFonts w:ascii="Aptos" w:hAnsi="Aptos" w:eastAsia="Aptos"/>
          <w:b/>
          <w:color w:val="000000"/>
          <w:sz w:val="25"/>
        </w:rPr>
        <w:t>Elija el tipo de nota</w:t>
      </w:r>
    </w:p>
    <w:tbl>
      <w:tblPr>
        <w:tblStyle w:val="TableGrid"/>
        <w:tblW w:type="auto" w:w="0"/>
        <w:jc w:val="center"/>
        <w:tblLayout w:type="fixed"/>
        <w:tblLook w:firstColumn="1" w:firstRow="1" w:lastColumn="0" w:lastRow="0" w:noHBand="0" w:noVBand="1" w:val="04A0"/>
      </w:tblPr>
      <w:tblGrid>
        <w:gridCol w:w="2376"/>
        <w:gridCol w:w="3456"/>
        <w:gridCol w:w="3960"/>
      </w:tblGrid>
      <w:tr>
        <w:trPr>
          <w:tblHeader w:val="true"/>
        </w:trPr>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6"/>
              </w:rPr>
              <w:t>Modalidad</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6"/>
              </w:rPr>
              <w:t>Qué contiene cada fila</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6"/>
              </w:rPr>
              <w:t>Regla de alineación</w:t>
            </w:r>
          </w:p>
        </w:tc>
      </w:tr>
      <w:tr>
        <w:tc>
          <w:tcPr>
            <w:tcW w:type="dxa" w:w="237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Notas por actividad · plan vigente</w:t>
            </w:r>
          </w:p>
        </w:tc>
        <w:tc>
          <w:tcPr>
            <w:tcW w:type="dxa" w:w="345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Asignatura, estudiante, actividad, código de actividad, instrumento y nota. El periodo se selecciona en la página.</w:t>
            </w:r>
          </w:p>
        </w:tc>
        <w:tc>
          <w:tcPr>
            <w:tcW w:type="dxa" w:w="3960"/>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Asigna el RA según el mapeo precargado de asignatura + código. Los exámenes se asignan a todos los RA a los que aporta la asignatura. Si el código no se reconoce o no está habilitado, el registro se conserva para revisión pero no entra al resultado.</w:t>
            </w:r>
          </w:p>
        </w:tc>
      </w:tr>
      <w:tr>
        <w:tc>
          <w:tcPr>
            <w:tcW w:type="dxa" w:w="237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Notas por asignatura · plan vigente</w:t>
            </w:r>
          </w:p>
        </w:tc>
        <w:tc>
          <w:tcPr>
            <w:tcW w:type="dxa" w:w="345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Una calificación consolidada por estudiante y asignatura; no necesita actividad, código ni instrumento.</w:t>
            </w:r>
          </w:p>
        </w:tc>
        <w:tc>
          <w:tcPr>
            <w:tcW w:type="dxa" w:w="39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Aplica la nota a cada RA de esa asignatura según Introduce, Refuerza o Domina en la matriz curricular.</w:t>
            </w:r>
          </w:p>
        </w:tc>
      </w:tr>
      <w:tr>
        <w:tc>
          <w:tcPr>
            <w:tcW w:type="dxa" w:w="237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Notas por actividad · propuesta V20</w:t>
            </w:r>
          </w:p>
        </w:tc>
        <w:tc>
          <w:tcPr>
            <w:tcW w:type="dxa" w:w="345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Asignatura, estudiante y nota. Actividad e instrumento pueden registrarse como información complementaria.</w:t>
            </w:r>
          </w:p>
        </w:tc>
        <w:tc>
          <w:tcPr>
            <w:tcW w:type="dxa" w:w="3960"/>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Usa la matriz fija de asignatura–RA de V20; no hay mapeo específico de actividad evaluativa por curso en esta versión.</w:t>
            </w:r>
          </w:p>
        </w:tc>
      </w:tr>
      <w:tr>
        <w:tc>
          <w:tcPr>
            <w:tcW w:type="dxa" w:w="237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Notas por asignatura · propuesta V20</w:t>
            </w:r>
          </w:p>
        </w:tc>
        <w:tc>
          <w:tcPr>
            <w:tcW w:type="dxa" w:w="345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Una calificación consolidada por estudiante y asignatura.</w:t>
            </w:r>
          </w:p>
        </w:tc>
        <w:tc>
          <w:tcPr>
            <w:tcW w:type="dxa" w:w="39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Aplica la misma matriz V20 de asignatura–RA; el modo deja explícito que la nota es global de la asignatura.</w:t>
            </w:r>
          </w:p>
        </w:tc>
      </w:tr>
    </w:tbl>
    <w:p>
      <w:pPr>
        <w:spacing w:after="0"/>
      </w:pPr>
    </w:p>
    <w:p>
      <w:pPr>
        <w:pStyle w:val="Heading2"/>
        <w:keepNext/>
        <w:spacing w:before="140" w:after="100"/>
      </w:pPr>
      <w:r>
        <w:rPr>
          <w:rFonts w:ascii="Aptos" w:hAnsi="Aptos" w:eastAsia="Aptos"/>
          <w:b/>
          <w:color w:val="000000"/>
          <w:sz w:val="25"/>
        </w:rPr>
        <w:t>Validación y registros excluidos</w:t>
      </w:r>
    </w:p>
    <w:p>
      <w:pPr>
        <w:spacing w:before="0" w:after="100" w:line="269" w:lineRule="auto"/>
      </w:pPr>
      <w:r>
        <w:rPr>
          <w:rFonts w:ascii="Aptos" w:hAnsi="Aptos" w:eastAsia="Aptos"/>
          <w:b w:val="0"/>
          <w:i w:val="0"/>
          <w:color w:val="17212B"/>
          <w:sz w:val="21"/>
        </w:rPr>
        <w:t>CORA permite que una fila defectuosa no bloquee todo el archivo. Omite del cálculo los registros con estudiante, asignatura o nota faltante, notas no numéricas o fuera de 0–5, nombres de asignatura no reconocidos, y alineaciones no válidas para el plan. La página informa cuántas filas fueron válidas y cuántas se omitieron; revise la tabla de calidad para corregir la fuente.</w:t>
      </w:r>
    </w:p>
    <w:tbl>
      <w:tblPr>
        <w:tblW w:type="auto" w:w="0"/>
        <w:jc w:val="center"/>
        <w:tblLayout w:type="fixed"/>
        <w:tblLook w:firstColumn="1" w:firstRow="1" w:lastColumn="0" w:lastRow="0" w:noHBand="0" w:noVBand="1" w:val="04A0"/>
      </w:tblPr>
      <w:tblGrid>
        <w:gridCol w:w="9936"/>
      </w:tblGrid>
      <w:tr>
        <w:tc>
          <w:tcPr>
            <w:tcW w:type="dxa" w:w="10166"/>
            <w:shd w:fill="EAF4F3"/>
            <w:tcMar>
              <w:top w:w="130" w:type="dxa"/>
              <w:start w:w="180" w:type="dxa"/>
              <w:bottom w:w="130" w:type="dxa"/>
              <w:end w:w="180" w:type="dxa"/>
            </w:tcMar>
          </w:tcPr>
          <w:p>
            <w:pPr>
              <w:spacing w:after="60"/>
            </w:pPr>
            <w:r>
              <w:rPr>
                <w:rFonts w:ascii="Aptos" w:hAnsi="Aptos" w:eastAsia="Aptos"/>
                <w:b/>
                <w:i w:val="0"/>
                <w:color w:val="16817B"/>
                <w:sz w:val="20"/>
              </w:rPr>
              <w:t>Consejo para evitar doble conteo</w:t>
            </w:r>
          </w:p>
          <w:p>
            <w:pPr>
              <w:spacing w:after="0" w:line="264" w:lineRule="auto"/>
            </w:pPr>
            <w:r>
              <w:rPr>
                <w:rFonts w:ascii="Aptos" w:hAnsi="Aptos" w:eastAsia="Aptos"/>
                <w:b w:val="0"/>
                <w:i w:val="0"/>
                <w:color w:val="17212B"/>
                <w:sz w:val="20"/>
              </w:rPr>
              <w:t>No mezcle una nota consolidada de asignatura con las mismas evaluaciones individuales que la componen en el mismo análisis, salvo que quiera contar deliberadamente ambas fuentes. CORA suma las filas válidas que reciba; el docente debe evitar duplicados.</w:t>
            </w:r>
          </w:p>
        </w:tc>
      </w:tr>
    </w:tbl>
    <w:p>
      <w:pPr>
        <w:spacing w:after="0"/>
      </w:pPr>
    </w:p>
    <w:p>
      <w:r>
        <w:br w:type="page"/>
      </w:r>
    </w:p>
    <w:p>
      <w:pPr>
        <w:pStyle w:val="Heading1"/>
        <w:keepNext/>
        <w:spacing w:before="220" w:after="100"/>
      </w:pPr>
      <w:r>
        <w:rPr>
          <w:rFonts w:ascii="Aptos" w:hAnsi="Aptos" w:eastAsia="Aptos"/>
          <w:b/>
          <w:color w:val="000000"/>
          <w:sz w:val="32"/>
        </w:rPr>
        <w:t>4. Cálculo directo del aporte ponderado</w:t>
      </w:r>
    </w:p>
    <w:p>
      <w:pPr>
        <w:spacing w:before="0" w:after="100" w:line="269" w:lineRule="auto"/>
      </w:pPr>
      <w:r>
        <w:rPr>
          <w:rFonts w:ascii="Aptos" w:hAnsi="Aptos" w:eastAsia="Aptos"/>
          <w:b w:val="0"/>
          <w:i w:val="0"/>
          <w:color w:val="17212B"/>
          <w:sz w:val="21"/>
        </w:rPr>
        <w:t>La medida principal conserva la regla que define el usuario del modelo: multiplicar cada nota por el factor del aporte correspondiente. Después, CORA promedia las contribuciones válidas del mismo periodo, semestre y RA.</w:t>
      </w:r>
    </w:p>
    <w:tbl>
      <w:tblPr>
        <w:tblW w:type="auto" w:w="0"/>
        <w:jc w:val="center"/>
        <w:tblLayout w:type="fixed"/>
        <w:tblLook w:firstColumn="1" w:firstRow="1" w:lastColumn="0" w:lastRow="0" w:noHBand="0" w:noVBand="1" w:val="04A0"/>
      </w:tblPr>
      <w:tblGrid>
        <w:gridCol w:w="9936"/>
      </w:tblGrid>
      <w:tr>
        <w:tc>
          <w:tcPr>
            <w:tcW w:type="dxa" w:w="10166"/>
            <w:shd w:fill="EFF5F8"/>
            <w:tcMar>
              <w:top w:w="130" w:type="dxa"/>
              <w:start w:w="180" w:type="dxa"/>
              <w:bottom w:w="130" w:type="dxa"/>
              <w:end w:w="180" w:type="dxa"/>
            </w:tcMar>
          </w:tcPr>
          <w:p>
            <w:pPr>
              <w:spacing w:after="60"/>
            </w:pPr>
            <w:r>
              <w:rPr>
                <w:rFonts w:ascii="Aptos" w:hAnsi="Aptos" w:eastAsia="Aptos"/>
                <w:b/>
                <w:i w:val="0"/>
                <w:color w:val="123B56"/>
                <w:sz w:val="20"/>
              </w:rPr>
              <w:t>Fórmula por evidencia</w:t>
            </w:r>
          </w:p>
          <w:p>
            <w:pPr>
              <w:spacing w:after="0" w:line="264" w:lineRule="auto"/>
            </w:pPr>
            <w:r>
              <w:rPr>
                <w:rFonts w:ascii="Aptos" w:hAnsi="Aptos" w:eastAsia="Aptos"/>
                <w:b w:val="0"/>
                <w:i w:val="0"/>
                <w:color w:val="17212B"/>
                <w:sz w:val="20"/>
              </w:rPr>
              <w:t>Aporte ponderado = nota × factor del nivel de aporte</w:t>
              <w:br/>
              <w:t>Factor: Introduce 0,33 · Refuerza 0,66 · Domina 1,00</w:t>
            </w:r>
          </w:p>
        </w:tc>
      </w:tr>
    </w:tbl>
    <w:p>
      <w:pPr>
        <w:spacing w:after="0"/>
      </w:pPr>
    </w:p>
    <w:p>
      <w:pPr>
        <w:pStyle w:val="Heading2"/>
        <w:keepNext/>
        <w:spacing w:before="140" w:after="100"/>
      </w:pPr>
      <w:r>
        <w:rPr>
          <w:rFonts w:ascii="Aptos" w:hAnsi="Aptos" w:eastAsia="Aptos"/>
          <w:b/>
          <w:color w:val="000000"/>
          <w:sz w:val="25"/>
        </w:rPr>
        <w:t>Ejemplo: una nota, dos RA</w:t>
      </w:r>
    </w:p>
    <w:p>
      <w:pPr>
        <w:spacing w:before="0" w:after="100" w:line="269" w:lineRule="auto"/>
      </w:pPr>
      <w:r>
        <w:rPr>
          <w:rFonts w:ascii="Aptos" w:hAnsi="Aptos" w:eastAsia="Aptos"/>
          <w:b w:val="0"/>
          <w:i w:val="0"/>
          <w:color w:val="17212B"/>
          <w:sz w:val="21"/>
        </w:rPr>
        <w:t>Supongamos una nota de 4,0 en una asignatura que Introduce RA1 y Refuerza RA2. CORA no pregunta al docente cuál RA escoger: el mapeo fija ambos aportes.</w:t>
      </w:r>
    </w:p>
    <w:tbl>
      <w:tblPr>
        <w:tblStyle w:val="TableGrid"/>
        <w:tblW w:type="auto" w:w="0"/>
        <w:jc w:val="center"/>
        <w:tblLayout w:type="fixed"/>
        <w:tblLook w:firstColumn="1" w:firstRow="1" w:lastColumn="0" w:lastRow="0" w:noHBand="0" w:noVBand="1" w:val="04A0"/>
      </w:tblPr>
      <w:tblGrid>
        <w:gridCol w:w="1152"/>
        <w:gridCol w:w="3168"/>
        <w:gridCol w:w="2592"/>
        <w:gridCol w:w="2880"/>
      </w:tblGrid>
      <w:tr>
        <w:trPr>
          <w:tblHeader w:val="true"/>
        </w:trPr>
        <w:tc>
          <w:tcPr>
            <w:tcW w:type="dxa" w:w="2541"/>
            <w:shd w:fill="123B56"/>
            <w:tcMar>
              <w:top w:w="100" w:type="dxa"/>
              <w:start w:w="90" w:type="dxa"/>
              <w:bottom w:w="100" w:type="dxa"/>
              <w:end w:w="90" w:type="dxa"/>
            </w:tcMar>
            <w:vAlign w:val="center"/>
          </w:tcPr>
          <w:p>
            <w:pPr>
              <w:spacing w:after="0"/>
            </w:pPr>
            <w:r>
              <w:rPr>
                <w:rFonts w:ascii="Aptos" w:hAnsi="Aptos" w:eastAsia="Aptos"/>
                <w:b/>
                <w:i w:val="0"/>
                <w:color w:val="FFFFFF"/>
                <w:sz w:val="18"/>
              </w:rPr>
              <w:t>RA</w:t>
            </w:r>
          </w:p>
        </w:tc>
        <w:tc>
          <w:tcPr>
            <w:tcW w:type="dxa" w:w="2541"/>
            <w:shd w:fill="123B56"/>
            <w:tcMar>
              <w:top w:w="100" w:type="dxa"/>
              <w:start w:w="90" w:type="dxa"/>
              <w:bottom w:w="100" w:type="dxa"/>
              <w:end w:w="90" w:type="dxa"/>
            </w:tcMar>
            <w:vAlign w:val="center"/>
          </w:tcPr>
          <w:p>
            <w:pPr>
              <w:spacing w:after="0"/>
            </w:pPr>
            <w:r>
              <w:rPr>
                <w:rFonts w:ascii="Aptos" w:hAnsi="Aptos" w:eastAsia="Aptos"/>
                <w:b/>
                <w:i w:val="0"/>
                <w:color w:val="FFFFFF"/>
                <w:sz w:val="18"/>
              </w:rPr>
              <w:t>Nivel en la asignatura</w:t>
            </w:r>
          </w:p>
        </w:tc>
        <w:tc>
          <w:tcPr>
            <w:tcW w:type="dxa" w:w="2541"/>
            <w:shd w:fill="123B56"/>
            <w:tcMar>
              <w:top w:w="100" w:type="dxa"/>
              <w:start w:w="90" w:type="dxa"/>
              <w:bottom w:w="100" w:type="dxa"/>
              <w:end w:w="90" w:type="dxa"/>
            </w:tcMar>
            <w:vAlign w:val="center"/>
          </w:tcPr>
          <w:p>
            <w:pPr>
              <w:spacing w:after="0"/>
            </w:pPr>
            <w:r>
              <w:rPr>
                <w:rFonts w:ascii="Aptos" w:hAnsi="Aptos" w:eastAsia="Aptos"/>
                <w:b/>
                <w:i w:val="0"/>
                <w:color w:val="FFFFFF"/>
                <w:sz w:val="18"/>
              </w:rPr>
              <w:t>Operación</w:t>
            </w:r>
          </w:p>
        </w:tc>
        <w:tc>
          <w:tcPr>
            <w:tcW w:type="dxa" w:w="2541"/>
            <w:shd w:fill="123B56"/>
            <w:tcMar>
              <w:top w:w="100" w:type="dxa"/>
              <w:start w:w="90" w:type="dxa"/>
              <w:bottom w:w="100" w:type="dxa"/>
              <w:end w:w="90" w:type="dxa"/>
            </w:tcMar>
            <w:vAlign w:val="center"/>
          </w:tcPr>
          <w:p>
            <w:pPr>
              <w:spacing w:after="0"/>
            </w:pPr>
            <w:r>
              <w:rPr>
                <w:rFonts w:ascii="Aptos" w:hAnsi="Aptos" w:eastAsia="Aptos"/>
                <w:b/>
                <w:i w:val="0"/>
                <w:color w:val="FFFFFF"/>
                <w:sz w:val="18"/>
              </w:rPr>
              <w:t>Aporte que entra</w:t>
            </w:r>
          </w:p>
        </w:tc>
      </w:tr>
      <w:tr>
        <w:tc>
          <w:tcPr>
            <w:tcW w:type="dxa" w:w="1152"/>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RA1</w:t>
            </w:r>
          </w:p>
        </w:tc>
        <w:tc>
          <w:tcPr>
            <w:tcW w:type="dxa" w:w="3168"/>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Introduce</w:t>
            </w:r>
          </w:p>
        </w:tc>
        <w:tc>
          <w:tcPr>
            <w:tcW w:type="dxa" w:w="2592"/>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4,0 × 0,33</w:t>
            </w:r>
          </w:p>
        </w:tc>
        <w:tc>
          <w:tcPr>
            <w:tcW w:type="dxa" w:w="2880"/>
            <w:tcMar>
              <w:top w:w="90" w:type="dxa"/>
              <w:start w:w="90" w:type="dxa"/>
              <w:bottom w:w="90" w:type="dxa"/>
              <w:end w:w="90" w:type="dxa"/>
            </w:tcMar>
            <w:vAlign w:val="center"/>
          </w:tcPr>
          <w:p>
            <w:pPr>
              <w:spacing w:after="0" w:line="252" w:lineRule="auto"/>
            </w:pPr>
            <w:r>
              <w:rPr>
                <w:rFonts w:ascii="Aptos" w:hAnsi="Aptos" w:eastAsia="Aptos"/>
                <w:b w:val="0"/>
                <w:i w:val="0"/>
                <w:color w:val="17212B"/>
                <w:sz w:val="18"/>
              </w:rPr>
              <w:t>1,32 / 5</w:t>
            </w:r>
          </w:p>
        </w:tc>
      </w:tr>
      <w:tr>
        <w:tc>
          <w:tcPr>
            <w:tcW w:type="dxa" w:w="115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RA2</w:t>
            </w:r>
          </w:p>
        </w:tc>
        <w:tc>
          <w:tcPr>
            <w:tcW w:type="dxa" w:w="316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Refuerza</w:t>
            </w:r>
          </w:p>
        </w:tc>
        <w:tc>
          <w:tcPr>
            <w:tcW w:type="dxa" w:w="259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4,0 × 0,66</w:t>
            </w:r>
          </w:p>
        </w:tc>
        <w:tc>
          <w:tcPr>
            <w:tcW w:type="dxa" w:w="288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8"/>
              </w:rPr>
              <w:t>2,64 / 5</w:t>
            </w:r>
          </w:p>
        </w:tc>
      </w:tr>
    </w:tbl>
    <w:p>
      <w:pPr>
        <w:spacing w:after="0"/>
      </w:pPr>
    </w:p>
    <w:p>
      <w:pPr>
        <w:pStyle w:val="Heading2"/>
        <w:keepNext/>
        <w:spacing w:before="140" w:after="100"/>
      </w:pPr>
      <w:r>
        <w:rPr>
          <w:rFonts w:ascii="Aptos" w:hAnsi="Aptos" w:eastAsia="Aptos"/>
          <w:b/>
          <w:color w:val="000000"/>
          <w:sz w:val="25"/>
        </w:rPr>
        <w:t>Ejemplo: varias evidencias del mismo corte</w:t>
      </w:r>
    </w:p>
    <w:p>
      <w:pPr>
        <w:spacing w:before="0" w:after="100" w:line="269" w:lineRule="auto"/>
      </w:pPr>
      <w:r>
        <w:rPr>
          <w:rFonts w:ascii="Aptos" w:hAnsi="Aptos" w:eastAsia="Aptos"/>
          <w:b w:val="0"/>
          <w:i w:val="0"/>
          <w:color w:val="17212B"/>
          <w:sz w:val="21"/>
        </w:rPr>
        <w:t>Si para el mismo estudiante, periodo, semestre y RA se obtienen estos aportes: 1,32, 2,64 y 4,00, el resultado directo de ese corte es su promedio: (1,32 + 2,64 + 4,00) / 3 = 2,65 sobre 5. En los gráficos por grupo, CORA promedia las contribuciones incluidas; no suma las notas como si cada registro aumentara la escala.</w:t>
      </w:r>
    </w:p>
    <w:p>
      <w:pPr>
        <w:pStyle w:val="Heading2"/>
        <w:keepNext/>
        <w:spacing w:before="140" w:after="100"/>
      </w:pPr>
      <w:r>
        <w:rPr>
          <w:rFonts w:ascii="Aptos" w:hAnsi="Aptos" w:eastAsia="Aptos"/>
          <w:b/>
          <w:color w:val="000000"/>
          <w:sz w:val="25"/>
        </w:rPr>
        <w:t>Qué representa el resultado</w:t>
      </w:r>
    </w:p>
    <w:p>
      <w:pPr>
        <w:pStyle w:val="ListBullet"/>
        <w:spacing w:after="40" w:line="259" w:lineRule="auto"/>
      </w:pPr>
      <w:r>
        <w:rPr>
          <w:rFonts w:ascii="Aptos" w:hAnsi="Aptos" w:eastAsia="Aptos"/>
          <w:b w:val="0"/>
          <w:i w:val="0"/>
          <w:color w:val="17212B"/>
          <w:sz w:val="20"/>
        </w:rPr>
        <w:t>Los gráficos de aporte ponderado reportan una puntuación en escala 0–5, no un porcentaje de estudiantes ni un porcentaje acumulado de logro.</w:t>
      </w:r>
    </w:p>
    <w:p>
      <w:pPr>
        <w:pStyle w:val="ListBullet"/>
        <w:spacing w:after="40" w:line="259" w:lineRule="auto"/>
      </w:pPr>
      <w:r>
        <w:rPr>
          <w:rFonts w:ascii="Aptos" w:hAnsi="Aptos" w:eastAsia="Aptos"/>
          <w:b w:val="0"/>
          <w:i w:val="0"/>
          <w:color w:val="17212B"/>
          <w:sz w:val="20"/>
        </w:rPr>
        <w:t>El 33 %, 66 % y 100 % son factores aplicados a cada calificación según la relación curricular. No se suman entre cursos para formar un porcentaje total de RA.</w:t>
      </w:r>
    </w:p>
    <w:p>
      <w:pPr>
        <w:pStyle w:val="ListBullet"/>
        <w:spacing w:after="40" w:line="259" w:lineRule="auto"/>
      </w:pPr>
      <w:r>
        <w:rPr>
          <w:rFonts w:ascii="Aptos" w:hAnsi="Aptos" w:eastAsia="Aptos"/>
          <w:b w:val="0"/>
          <w:i w:val="0"/>
          <w:color w:val="17212B"/>
          <w:sz w:val="20"/>
        </w:rPr>
        <w:t>En los gráficos, seleccione periodo, semestres y RA para describir el corte que necesita. La trayectoria compara los semestres de un periodo; no supone por sí misma una progresión causal de la misma cohorte.</w:t>
      </w:r>
    </w:p>
    <w:p>
      <w:pPr>
        <w:pStyle w:val="ListBullet"/>
        <w:spacing w:after="40" w:line="259" w:lineRule="auto"/>
      </w:pPr>
      <w:r>
        <w:rPr>
          <w:rFonts w:ascii="Aptos" w:hAnsi="Aptos" w:eastAsia="Aptos"/>
          <w:b w:val="0"/>
          <w:i w:val="0"/>
          <w:color w:val="17212B"/>
          <w:sz w:val="20"/>
        </w:rPr>
        <w:t>Al pasar el cursor por una barra se consulta el valor exacto. La tabla permite revisar evidencias, factores y medidas alternativas.</w:t>
      </w:r>
    </w:p>
    <w:p>
      <w:r>
        <w:br w:type="page"/>
      </w:r>
    </w:p>
    <w:p>
      <w:pPr>
        <w:pStyle w:val="Heading1"/>
        <w:keepNext/>
        <w:spacing w:before="220" w:after="100"/>
      </w:pPr>
      <w:r>
        <w:rPr>
          <w:rFonts w:ascii="Aptos" w:hAnsi="Aptos" w:eastAsia="Aptos"/>
          <w:b/>
          <w:color w:val="000000"/>
          <w:sz w:val="32"/>
        </w:rPr>
        <w:t>5. Qué cambia cuando se consideran los créditos</w:t>
      </w:r>
    </w:p>
    <w:p>
      <w:pPr>
        <w:spacing w:before="0" w:after="100" w:line="269" w:lineRule="auto"/>
      </w:pPr>
      <w:r>
        <w:rPr>
          <w:rFonts w:ascii="Aptos" w:hAnsi="Aptos" w:eastAsia="Aptos"/>
          <w:b w:val="0"/>
          <w:i w:val="0"/>
          <w:color w:val="17212B"/>
          <w:sz w:val="21"/>
        </w:rPr>
        <w:t>CORA muestra medidas distintas porque responden preguntas distintas. El aporte directo aplica la regla nota × nivel y promedia evidencias. Las dos medidas por créditos organizan primero la evidencia por estudiante y asignatura; luego cada asignatura pesa según sus créditos.</w:t>
      </w:r>
    </w:p>
    <w:tbl>
      <w:tblPr>
        <w:tblStyle w:val="TableGrid"/>
        <w:tblW w:type="auto" w:w="0"/>
        <w:jc w:val="center"/>
        <w:tblLayout w:type="fixed"/>
        <w:tblLook w:firstColumn="1" w:firstRow="1" w:lastColumn="0" w:lastRow="0" w:noHBand="0" w:noVBand="1" w:val="04A0"/>
      </w:tblPr>
      <w:tblGrid>
        <w:gridCol w:w="2376"/>
        <w:gridCol w:w="4680"/>
        <w:gridCol w:w="2736"/>
      </w:tblGrid>
      <w:tr>
        <w:trPr>
          <w:tblHeader w:val="true"/>
        </w:trPr>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6"/>
              </w:rPr>
              <w:t>Medida</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6"/>
              </w:rPr>
              <w:t>Cálculo resumido</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6"/>
              </w:rPr>
              <w:t>Lectura</w:t>
            </w:r>
          </w:p>
        </w:tc>
      </w:tr>
      <w:tr>
        <w:tc>
          <w:tcPr>
            <w:tcW w:type="dxa" w:w="237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Aporte ponderado</w:t>
            </w:r>
          </w:p>
        </w:tc>
        <w:tc>
          <w:tcPr>
            <w:tcW w:type="dxa" w:w="4680"/>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Promedio de las notas ya multiplicadas por el factor del nivel, agrupadas por periodo, semestre y RA.</w:t>
            </w:r>
          </w:p>
        </w:tc>
        <w:tc>
          <w:tcPr>
            <w:tcW w:type="dxa" w:w="273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Conserva la ponderación Introduce/Refuerza/Domina que se interpreta directamente en escala 0–5.</w:t>
            </w:r>
          </w:p>
        </w:tc>
      </w:tr>
      <w:tr>
        <w:tc>
          <w:tcPr>
            <w:tcW w:type="dxa" w:w="237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Aporte ponderado por créditos</w:t>
            </w:r>
          </w:p>
        </w:tc>
        <w:tc>
          <w:tcPr>
            <w:tcW w:type="dxa" w:w="468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Primero media de evidencias por estudiante dentro de asignatura; después media de estudiantes por asignatura; luego promedio de asignaturas ponderado por créditos.</w:t>
            </w:r>
          </w:p>
        </w:tc>
        <w:tc>
          <w:tcPr>
            <w:tcW w:type="dxa" w:w="273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6"/>
              </w:rPr>
              <w:t>Una asignatura de más créditos tiene mayor peso. Mantiene el factor, por lo que cursos que Introducen pueden contribuir menos.</w:t>
            </w:r>
          </w:p>
        </w:tc>
      </w:tr>
      <w:tr>
        <w:tc>
          <w:tcPr>
            <w:tcW w:type="dxa" w:w="237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Progresión comparable por créditos</w:t>
            </w:r>
          </w:p>
        </w:tc>
        <w:tc>
          <w:tcPr>
            <w:tcW w:type="dxa" w:w="4680"/>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Suma de (aporte por asignatura × créditos) ÷ suma de (créditos × factor del nivel).</w:t>
            </w:r>
          </w:p>
        </w:tc>
        <w:tc>
          <w:tcPr>
            <w:tcW w:type="dxa" w:w="2736"/>
            <w:tcMar>
              <w:top w:w="90" w:type="dxa"/>
              <w:start w:w="90" w:type="dxa"/>
              <w:bottom w:w="90" w:type="dxa"/>
              <w:end w:w="90" w:type="dxa"/>
            </w:tcMar>
            <w:vAlign w:val="center"/>
          </w:tcPr>
          <w:p>
            <w:pPr>
              <w:spacing w:after="0" w:line="252" w:lineRule="auto"/>
            </w:pPr>
            <w:r>
              <w:rPr>
                <w:rFonts w:ascii="Aptos" w:hAnsi="Aptos" w:eastAsia="Aptos"/>
                <w:b w:val="0"/>
                <w:i w:val="0"/>
                <w:color w:val="17212B"/>
                <w:sz w:val="16"/>
              </w:rPr>
              <w:t>Normaliza el factor de aporte y expresa una referencia comparable en escala 0–5. No reemplaza el aporte ponderado definido por la regla base.</w:t>
            </w:r>
          </w:p>
        </w:tc>
      </w:tr>
    </w:tbl>
    <w:p>
      <w:pPr>
        <w:spacing w:after="0"/>
      </w:pPr>
    </w:p>
    <w:p>
      <w:pPr>
        <w:pStyle w:val="Heading2"/>
        <w:keepNext/>
        <w:spacing w:before="140" w:after="100"/>
      </w:pPr>
      <w:r>
        <w:rPr>
          <w:rFonts w:ascii="Aptos" w:hAnsi="Aptos" w:eastAsia="Aptos"/>
          <w:b/>
          <w:color w:val="000000"/>
          <w:sz w:val="25"/>
        </w:rPr>
        <w:t>Ejemplo de las dos medidas por crédito</w:t>
      </w:r>
    </w:p>
    <w:p>
      <w:pPr>
        <w:spacing w:before="0" w:after="100" w:line="269" w:lineRule="auto"/>
      </w:pPr>
      <w:r>
        <w:rPr>
          <w:rFonts w:ascii="Aptos" w:hAnsi="Aptos" w:eastAsia="Aptos"/>
          <w:b w:val="0"/>
          <w:i w:val="0"/>
          <w:color w:val="17212B"/>
          <w:sz w:val="21"/>
        </w:rPr>
        <w:t>Una estudiante obtiene 4,0 en un curso de 3 créditos que Introduce y 3,6 en uno de 2 créditos que Domina para el mismo RA.</w:t>
      </w:r>
    </w:p>
    <w:tbl>
      <w:tblPr>
        <w:tblW w:type="auto" w:w="0"/>
        <w:jc w:val="center"/>
        <w:tblLayout w:type="fixed"/>
        <w:tblLook w:firstColumn="1" w:firstRow="1" w:lastColumn="0" w:lastRow="0" w:noHBand="0" w:noVBand="1" w:val="04A0"/>
      </w:tblPr>
      <w:tblGrid>
        <w:gridCol w:w="9936"/>
      </w:tblGrid>
      <w:tr>
        <w:tc>
          <w:tcPr>
            <w:tcW w:type="dxa" w:w="10166"/>
            <w:shd w:fill="EAF4F3"/>
            <w:tcMar>
              <w:top w:w="130" w:type="dxa"/>
              <w:start w:w="180" w:type="dxa"/>
              <w:bottom w:w="130" w:type="dxa"/>
              <w:end w:w="180" w:type="dxa"/>
            </w:tcMar>
          </w:tcPr>
          <w:p>
            <w:pPr>
              <w:spacing w:after="60"/>
            </w:pPr>
            <w:r>
              <w:rPr>
                <w:rFonts w:ascii="Aptos" w:hAnsi="Aptos" w:eastAsia="Aptos"/>
                <w:b/>
                <w:i w:val="0"/>
                <w:color w:val="16817B"/>
                <w:sz w:val="20"/>
              </w:rPr>
              <w:t>Operaciones</w:t>
            </w:r>
          </w:p>
          <w:p>
            <w:pPr>
              <w:spacing w:after="0" w:line="264" w:lineRule="auto"/>
            </w:pPr>
            <w:r>
              <w:rPr>
                <w:rFonts w:ascii="Aptos" w:hAnsi="Aptos" w:eastAsia="Aptos"/>
                <w:b w:val="0"/>
                <w:i w:val="0"/>
                <w:color w:val="17212B"/>
                <w:sz w:val="20"/>
              </w:rPr>
              <w:t>Aportes: 4,0 × 0,33 = 1,32; 3,6 × 1,00 = 3,60.</w:t>
              <w:br/>
              <w:t>Aporte ponderado por créditos: [(1,32 × 3) + (3,60 × 2)] ÷ (3 + 2) = 2,23 / 5.</w:t>
              <w:br/>
              <w:t>Progresión comparable: [(1,32 × 3) + (3,60 × 2)] ÷ [(0,33 × 3) + (1,00 × 2)] = 3,73 / 5.</w:t>
            </w:r>
          </w:p>
        </w:tc>
      </w:tr>
    </w:tbl>
    <w:p>
      <w:pPr>
        <w:spacing w:after="0"/>
      </w:pPr>
    </w:p>
    <w:p>
      <w:pPr>
        <w:spacing w:before="0" w:after="100" w:line="269" w:lineRule="auto"/>
      </w:pPr>
      <w:r>
        <w:rPr>
          <w:rFonts w:ascii="Aptos" w:hAnsi="Aptos" w:eastAsia="Aptos"/>
          <w:b w:val="0"/>
          <w:i w:val="0"/>
          <w:color w:val="17212B"/>
          <w:sz w:val="21"/>
        </w:rPr>
        <w:t>Compare los resultados solo con su etiqueta visible. El aporte por créditos responde “cuánto aporte ponderado producen los cursos, considerando su carga”; la progresión comparable responde “qué nivel medio de nota aparece una vez normalizado el factor”. Esta segunda medida es una alternativa de análisis, no una corrección oficial por semestre ni una meta aprobada automáticamente.</w:t>
      </w:r>
    </w:p>
    <w:p>
      <w:pPr>
        <w:pStyle w:val="Heading2"/>
        <w:keepNext/>
        <w:spacing w:before="140" w:after="100"/>
      </w:pPr>
      <w:r>
        <w:rPr>
          <w:rFonts w:ascii="Aptos" w:hAnsi="Aptos" w:eastAsia="Aptos"/>
          <w:b/>
          <w:color w:val="000000"/>
          <w:sz w:val="25"/>
        </w:rPr>
        <w:t>Créditos curriculares por nivel</w:t>
      </w:r>
    </w:p>
    <w:p>
      <w:pPr>
        <w:spacing w:before="0" w:after="100" w:line="269" w:lineRule="auto"/>
      </w:pPr>
      <w:r>
        <w:rPr>
          <w:rFonts w:ascii="Aptos" w:hAnsi="Aptos" w:eastAsia="Aptos"/>
          <w:b w:val="0"/>
          <w:i w:val="0"/>
          <w:color w:val="17212B"/>
          <w:sz w:val="21"/>
        </w:rPr>
        <w:t>La matriz de créditos por nivel cuenta cuántos créditos del plan tributan a un RA como Introduce, Refuerza o Domina en cada semestre. Describe la arquitectura curricular; no utiliza las notas de estudiantes.</w:t>
      </w:r>
    </w:p>
    <w:p>
      <w:r>
        <w:br w:type="page"/>
      </w:r>
    </w:p>
    <w:p>
      <w:pPr>
        <w:pStyle w:val="Heading1"/>
        <w:keepNext/>
        <w:spacing w:before="220" w:after="100"/>
      </w:pPr>
      <w:r>
        <w:rPr>
          <w:rFonts w:ascii="Aptos" w:hAnsi="Aptos" w:eastAsia="Aptos"/>
          <w:b/>
          <w:color w:val="000000"/>
          <w:sz w:val="32"/>
        </w:rPr>
        <w:t>6. Logro criterial e indicadores KPI en V20</w:t>
      </w:r>
    </w:p>
    <w:tbl>
      <w:tblPr>
        <w:tblW w:type="auto" w:w="0"/>
        <w:jc w:val="center"/>
        <w:tblLayout w:type="fixed"/>
        <w:tblLook w:firstColumn="1" w:firstRow="1" w:lastColumn="0" w:lastRow="0" w:noHBand="0" w:noVBand="1" w:val="04A0"/>
      </w:tblPr>
      <w:tblGrid>
        <w:gridCol w:w="9936"/>
      </w:tblGrid>
      <w:tr>
        <w:tc>
          <w:tcPr>
            <w:tcW w:type="dxa" w:w="10166"/>
            <w:shd w:fill="FFF5E5"/>
            <w:tcMar>
              <w:top w:w="130" w:type="dxa"/>
              <w:start w:w="180" w:type="dxa"/>
              <w:bottom w:w="130" w:type="dxa"/>
              <w:end w:w="180" w:type="dxa"/>
            </w:tcMar>
          </w:tcPr>
          <w:p>
            <w:pPr>
              <w:spacing w:after="60"/>
            </w:pPr>
            <w:r>
              <w:rPr>
                <w:rFonts w:ascii="Aptos" w:hAnsi="Aptos" w:eastAsia="Aptos"/>
                <w:b/>
                <w:i w:val="0"/>
                <w:color w:val="8A5B12"/>
                <w:sz w:val="20"/>
              </w:rPr>
              <w:t>Es una medición distinta del aporte directo</w:t>
            </w:r>
          </w:p>
          <w:p>
            <w:pPr>
              <w:spacing w:after="0" w:line="264" w:lineRule="auto"/>
            </w:pPr>
            <w:r>
              <w:rPr>
                <w:rFonts w:ascii="Aptos" w:hAnsi="Aptos" w:eastAsia="Aptos"/>
                <w:b w:val="0"/>
                <w:i w:val="0"/>
                <w:color w:val="17212B"/>
                <w:sz w:val="20"/>
              </w:rPr>
              <w:t>El análisis criterial parte de las notas originales 0–5. No multiplica cada nota por 0,33, 0,66 o 1,00. Usa el nivel de aporte para establecer un umbral esperado; luego compara la nota criterial con ese umbral.</w:t>
            </w:r>
          </w:p>
        </w:tc>
      </w:tr>
    </w:tbl>
    <w:p>
      <w:pPr>
        <w:spacing w:after="0"/>
      </w:pPr>
    </w:p>
    <w:p>
      <w:pPr>
        <w:pStyle w:val="Heading2"/>
        <w:keepNext/>
        <w:spacing w:before="140" w:after="100"/>
      </w:pPr>
      <w:r>
        <w:rPr>
          <w:rFonts w:ascii="Aptos" w:hAnsi="Aptos" w:eastAsia="Aptos"/>
          <w:b/>
          <w:color w:val="000000"/>
          <w:sz w:val="25"/>
        </w:rPr>
        <w:t>Cómo calcula el logro criterial</w:t>
      </w:r>
    </w:p>
    <w:p>
      <w:pPr>
        <w:spacing w:after="60"/>
        <w:ind w:left="288" w:hanging="288"/>
      </w:pPr>
      <w:r>
        <w:rPr>
          <w:rFonts w:ascii="Aptos" w:hAnsi="Aptos" w:eastAsia="Aptos"/>
          <w:b w:val="0"/>
          <w:i w:val="0"/>
          <w:color w:val="17212B"/>
          <w:sz w:val="20"/>
        </w:rPr>
        <w:t>1.  Para cada estudiante, asignatura, RA, semestre y periodo, promedia las evidencias válidas de esa asignatura.</w:t>
      </w:r>
    </w:p>
    <w:p>
      <w:pPr>
        <w:spacing w:after="60"/>
        <w:ind w:left="288" w:hanging="288"/>
      </w:pPr>
      <w:r>
        <w:rPr>
          <w:rFonts w:ascii="Aptos" w:hAnsi="Aptos" w:eastAsia="Aptos"/>
          <w:b w:val="0"/>
          <w:i w:val="0"/>
          <w:color w:val="17212B"/>
          <w:sz w:val="20"/>
        </w:rPr>
        <w:t>2.  Combina las asignaturas alineadas al RA con un promedio ponderado por créditos.</w:t>
      </w:r>
    </w:p>
    <w:p>
      <w:pPr>
        <w:spacing w:after="60"/>
        <w:ind w:left="288" w:hanging="288"/>
      </w:pPr>
      <w:r>
        <w:rPr>
          <w:rFonts w:ascii="Aptos" w:hAnsi="Aptos" w:eastAsia="Aptos"/>
          <w:b w:val="0"/>
          <w:i w:val="0"/>
          <w:color w:val="17212B"/>
          <w:sz w:val="20"/>
        </w:rPr>
        <w:t>3.  Calcula también un umbral esperado ponderado por créditos, usando el nivel de aporte. Los valores iniciales son Introduce 3,0; Refuerza 3,5; Domina 4,0.</w:t>
      </w:r>
    </w:p>
    <w:p>
      <w:pPr>
        <w:spacing w:after="60"/>
        <w:ind w:left="288" w:hanging="288"/>
      </w:pPr>
      <w:r>
        <w:rPr>
          <w:rFonts w:ascii="Aptos" w:hAnsi="Aptos" w:eastAsia="Aptos"/>
          <w:b w:val="0"/>
          <w:i w:val="0"/>
          <w:color w:val="17212B"/>
          <w:sz w:val="20"/>
        </w:rPr>
        <w:t>4.  Compara nota criterial y umbral. Si nota criterial ≥ umbral, registra logro para esa combinación de estudiante, RA, semestre y periodo.</w:t>
      </w:r>
    </w:p>
    <w:p>
      <w:pPr>
        <w:spacing w:after="60"/>
        <w:ind w:left="288" w:hanging="288"/>
      </w:pPr>
      <w:r>
        <w:rPr>
          <w:rFonts w:ascii="Aptos" w:hAnsi="Aptos" w:eastAsia="Aptos"/>
          <w:b w:val="0"/>
          <w:i w:val="0"/>
          <w:color w:val="17212B"/>
          <w:sz w:val="20"/>
        </w:rPr>
        <w:t>5.  Clasifica la nota criterial en una banda, con bandas iniciales Bajo 0–2,99; Medio 3,00–3,99; Alto 4,00–4,49; Superior 4,50–5,00.</w:t>
      </w:r>
    </w:p>
    <w:p>
      <w:pPr>
        <w:pStyle w:val="Heading2"/>
        <w:keepNext/>
        <w:spacing w:before="140" w:after="100"/>
      </w:pPr>
      <w:r>
        <w:rPr>
          <w:rFonts w:ascii="Aptos" w:hAnsi="Aptos" w:eastAsia="Aptos"/>
          <w:b/>
          <w:color w:val="000000"/>
          <w:sz w:val="25"/>
        </w:rPr>
        <w:t>Cómo se obtiene un KPI</w:t>
      </w:r>
    </w:p>
    <w:p>
      <w:pPr>
        <w:spacing w:before="0" w:after="100" w:line="269" w:lineRule="auto"/>
      </w:pPr>
      <w:r>
        <w:rPr>
          <w:rFonts w:ascii="Aptos" w:hAnsi="Aptos" w:eastAsia="Aptos"/>
          <w:b w:val="0"/>
          <w:i w:val="0"/>
          <w:color w:val="17212B"/>
          <w:sz w:val="21"/>
        </w:rPr>
        <w:t>Cada KPI vincula un indicador del perfil con un RA. Para la población incluida en el alcance seleccionado, CORA calcula el porcentaje de estudiantes que alcanzó la banda mínima o una superior. Un ejemplo: 16 estudiantes de 20 en Alto o Superior = 80 %. Este porcentaje sí es una proporción de estudiantes; no debe confundirse con una barra de aporte ponderado en escala 0–5.</w:t>
      </w:r>
    </w:p>
    <w:tbl>
      <w:tblPr>
        <w:tblStyle w:val="TableGrid"/>
        <w:tblW w:type="auto" w:w="0"/>
        <w:jc w:val="center"/>
        <w:tblLayout w:type="fixed"/>
        <w:tblLook w:firstColumn="1" w:firstRow="1" w:lastColumn="0" w:lastRow="0" w:noHBand="0" w:noVBand="1" w:val="04A0"/>
      </w:tblPr>
      <w:tblGrid>
        <w:gridCol w:w="2304"/>
        <w:gridCol w:w="4032"/>
        <w:gridCol w:w="3456"/>
      </w:tblGrid>
      <w:tr>
        <w:trPr>
          <w:tblHeader w:val="true"/>
        </w:trPr>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7"/>
              </w:rPr>
              <w:t>Parámetro inicial</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7"/>
              </w:rPr>
              <w:t>Valor</w:t>
            </w:r>
          </w:p>
        </w:tc>
        <w:tc>
          <w:tcPr>
            <w:tcW w:type="dxa" w:w="3389"/>
            <w:shd w:fill="123B56"/>
            <w:tcMar>
              <w:top w:w="100" w:type="dxa"/>
              <w:start w:w="90" w:type="dxa"/>
              <w:bottom w:w="100" w:type="dxa"/>
              <w:end w:w="90" w:type="dxa"/>
            </w:tcMar>
            <w:vAlign w:val="center"/>
          </w:tcPr>
          <w:p>
            <w:pPr>
              <w:spacing w:after="0"/>
            </w:pPr>
            <w:r>
              <w:rPr>
                <w:rFonts w:ascii="Aptos" w:hAnsi="Aptos" w:eastAsia="Aptos"/>
                <w:b/>
                <w:i w:val="0"/>
                <w:color w:val="FFFFFF"/>
                <w:sz w:val="17"/>
              </w:rPr>
              <w:t>Quién debe validarlo</w:t>
            </w:r>
          </w:p>
        </w:tc>
      </w:tr>
      <w:tr>
        <w:tc>
          <w:tcPr>
            <w:tcW w:type="dxa" w:w="230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Metas KPI</w:t>
            </w:r>
          </w:p>
        </w:tc>
        <w:tc>
          <w:tcPr>
            <w:tcW w:type="dxa" w:w="4032"/>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80 %</w:t>
            </w:r>
          </w:p>
        </w:tc>
        <w:tc>
          <w:tcPr>
            <w:tcW w:type="dxa" w:w="3456"/>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Comité curricular / programa</w:t>
            </w:r>
          </w:p>
        </w:tc>
      </w:tr>
      <w:tr>
        <w:tc>
          <w:tcPr>
            <w:tcW w:type="dxa" w:w="2304"/>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Banda mínima</w:t>
            </w:r>
          </w:p>
        </w:tc>
        <w:tc>
          <w:tcPr>
            <w:tcW w:type="dxa" w:w="40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KPI1: Alto; KPI2–KPI5: Medio</w:t>
            </w:r>
          </w:p>
        </w:tc>
        <w:tc>
          <w:tcPr>
            <w:tcW w:type="dxa" w:w="345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Comité curricular / responsables del RA</w:t>
            </w:r>
          </w:p>
        </w:tc>
      </w:tr>
      <w:tr>
        <w:tc>
          <w:tcPr>
            <w:tcW w:type="dxa" w:w="230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Alcance</w:t>
            </w:r>
          </w:p>
        </w:tc>
        <w:tc>
          <w:tcPr>
            <w:tcW w:type="dxa" w:w="4032"/>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Solo asignaturas Domina</w:t>
            </w:r>
          </w:p>
        </w:tc>
        <w:tc>
          <w:tcPr>
            <w:tcW w:type="dxa" w:w="3456"/>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Programa; puede configurarse como todas las asignaturas con aporte o solo prácticas</w:t>
            </w:r>
          </w:p>
        </w:tc>
      </w:tr>
      <w:tr>
        <w:tc>
          <w:tcPr>
            <w:tcW w:type="dxa" w:w="2304"/>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Tamaño mínimo</w:t>
            </w:r>
          </w:p>
        </w:tc>
        <w:tc>
          <w:tcPr>
            <w:tcW w:type="dxa" w:w="40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5 estudiantes</w:t>
            </w:r>
          </w:p>
        </w:tc>
        <w:tc>
          <w:tcPr>
            <w:tcW w:type="dxa" w:w="3456"/>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Equipo que interpreta el indicador</w:t>
            </w:r>
          </w:p>
        </w:tc>
      </w:tr>
      <w:tr>
        <w:tc>
          <w:tcPr>
            <w:tcW w:type="dxa" w:w="230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Umbrales de aporte</w:t>
            </w:r>
          </w:p>
        </w:tc>
        <w:tc>
          <w:tcPr>
            <w:tcW w:type="dxa" w:w="4032"/>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Introduce 3,0 · Refuerza 3,5 · Domina 4,0</w:t>
            </w:r>
          </w:p>
        </w:tc>
        <w:tc>
          <w:tcPr>
            <w:tcW w:type="dxa" w:w="3456"/>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Comité curricular</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EAF4F3"/>
            <w:tcMar>
              <w:top w:w="130" w:type="dxa"/>
              <w:start w:w="180" w:type="dxa"/>
              <w:bottom w:w="130" w:type="dxa"/>
              <w:end w:w="180" w:type="dxa"/>
            </w:tcMar>
          </w:tcPr>
          <w:p>
            <w:pPr>
              <w:spacing w:after="60"/>
            </w:pPr>
            <w:r>
              <w:rPr>
                <w:rFonts w:ascii="Aptos" w:hAnsi="Aptos" w:eastAsia="Aptos"/>
                <w:b/>
                <w:i w:val="0"/>
                <w:color w:val="16817B"/>
                <w:sz w:val="20"/>
              </w:rPr>
              <w:t>Configuración provisional</w:t>
            </w:r>
          </w:p>
          <w:p>
            <w:pPr>
              <w:spacing w:after="0" w:line="264" w:lineRule="auto"/>
            </w:pPr>
            <w:r>
              <w:rPr>
                <w:rFonts w:ascii="Aptos" w:hAnsi="Aptos" w:eastAsia="Aptos"/>
                <w:b w:val="0"/>
                <w:i w:val="0"/>
                <w:color w:val="17212B"/>
                <w:sz w:val="20"/>
              </w:rPr>
              <w:t>Los valores iniciales de metas, bandas, alcances, muestra y semáforos son parámetros de trabajo de V20. Hasta que el comité curricular los valide y marque aprobación en Gobierno y criterios, no deben presentarse como metas institucionales aprobadas.</w:t>
            </w:r>
          </w:p>
        </w:tc>
      </w:tr>
    </w:tbl>
    <w:p>
      <w:pPr>
        <w:spacing w:after="0"/>
      </w:pPr>
    </w:p>
    <w:p>
      <w:pPr>
        <w:pStyle w:val="Heading2"/>
        <w:keepNext/>
        <w:spacing w:before="140" w:after="100"/>
      </w:pPr>
      <w:r>
        <w:rPr>
          <w:rFonts w:ascii="Aptos" w:hAnsi="Aptos" w:eastAsia="Aptos"/>
          <w:b/>
          <w:color w:val="000000"/>
          <w:sz w:val="25"/>
        </w:rPr>
        <w:t>Triangulación de fuentes</w:t>
      </w:r>
    </w:p>
    <w:p>
      <w:pPr>
        <w:spacing w:before="0" w:after="100" w:line="269" w:lineRule="auto"/>
      </w:pPr>
      <w:r>
        <w:rPr>
          <w:rFonts w:ascii="Aptos" w:hAnsi="Aptos" w:eastAsia="Aptos"/>
          <w:b w:val="0"/>
          <w:i w:val="0"/>
          <w:color w:val="17212B"/>
          <w:sz w:val="21"/>
        </w:rPr>
        <w:t>V20 también puede contrastar la evidencia directa criterial con Saber Pro, autopercepción estudiantil y valoración de egresados y empleadores. Las fuentes mantienen su escala propia (por ejemplo, Saber Pro 0–300); CORA las organiza por RA y periodo, calcula indicadores descriptivos y señala convergencias o divergencias cuando hay datos suficientes. La triangulación complementa, no sustituye, la evidencia directa ni prueba por sí sola causalidad.</w:t>
      </w:r>
    </w:p>
    <w:p>
      <w:r>
        <w:br w:type="page"/>
      </w:r>
    </w:p>
    <w:p>
      <w:pPr>
        <w:pStyle w:val="Heading1"/>
        <w:keepNext/>
        <w:spacing w:before="220" w:after="100"/>
      </w:pPr>
      <w:r>
        <w:rPr>
          <w:rFonts w:ascii="Aptos" w:hAnsi="Aptos" w:eastAsia="Aptos"/>
          <w:b/>
          <w:color w:val="000000"/>
          <w:sz w:val="32"/>
        </w:rPr>
        <w:t>7. Recorrido recomendado por la página</w:t>
      </w:r>
    </w:p>
    <w:tbl>
      <w:tblPr>
        <w:tblStyle w:val="TableGrid"/>
        <w:tblW w:type="auto" w:w="0"/>
        <w:jc w:val="center"/>
        <w:tblLayout w:type="fixed"/>
        <w:tblLook w:firstColumn="1" w:firstRow="1" w:lastColumn="0" w:lastRow="0" w:noHBand="0" w:noVBand="1" w:val="04A0"/>
      </w:tblPr>
      <w:tblGrid>
        <w:gridCol w:w="3024"/>
        <w:gridCol w:w="6768"/>
      </w:tblGrid>
      <w:tr>
        <w:trPr>
          <w:tblHeader w:val="true"/>
        </w:trPr>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7"/>
              </w:rPr>
              <w:t>Sección</w:t>
            </w:r>
          </w:p>
        </w:tc>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7"/>
              </w:rPr>
              <w:t>Para qué usarla</w:t>
            </w:r>
          </w:p>
        </w:tc>
      </w:tr>
      <w:tr>
        <w:tc>
          <w:tcPr>
            <w:tcW w:type="dxa" w:w="302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Panel del programa / Panel de propuesta</w:t>
            </w:r>
          </w:p>
        </w:tc>
        <w:tc>
          <w:tcPr>
            <w:tcW w:type="dxa" w:w="6768"/>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Vista inicial de métricas y resumen de RA. En V20, abre el perfil y muestra integridad de la malla.</w:t>
            </w:r>
          </w:p>
        </w:tc>
      </w:tr>
      <w:tr>
        <w:tc>
          <w:tcPr>
            <w:tcW w:type="dxa" w:w="3024"/>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Cargas CSV</w:t>
            </w:r>
          </w:p>
        </w:tc>
        <w:tc>
          <w:tcPr>
            <w:tcW w:type="dxa" w:w="676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Seleccionar tipo de nota, periodo, descargar plantilla, importar uno o más archivos y revisar validez/exclusiones.</w:t>
            </w:r>
          </w:p>
        </w:tc>
      </w:tr>
      <w:tr>
        <w:tc>
          <w:tcPr>
            <w:tcW w:type="dxa" w:w="302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Resultados RA</w:t>
            </w:r>
          </w:p>
        </w:tc>
        <w:tc>
          <w:tcPr>
            <w:tcW w:type="dxa" w:w="6768"/>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Explorar barras por periodo, semestre y RA; comparar aporte ponderado y medidas por créditos; consultar tablas.</w:t>
            </w:r>
          </w:p>
        </w:tc>
      </w:tr>
      <w:tr>
        <w:tc>
          <w:tcPr>
            <w:tcW w:type="dxa" w:w="3024"/>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Trayectoria del estudiante</w:t>
            </w:r>
          </w:p>
        </w:tc>
        <w:tc>
          <w:tcPr>
            <w:tcW w:type="dxa" w:w="676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Revisar el comportamiento de una persona por periodo, semestre y RA con los registros válidos cargados.</w:t>
            </w:r>
          </w:p>
        </w:tc>
      </w:tr>
      <w:tr>
        <w:tc>
          <w:tcPr>
            <w:tcW w:type="dxa" w:w="302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Trazabilidad de evidencia</w:t>
            </w:r>
          </w:p>
        </w:tc>
        <w:tc>
          <w:tcPr>
            <w:tcW w:type="dxa" w:w="6768"/>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Seguir el vínculo entre estudiante, asignatura, actividad, nota, código/alineación y RA en el plan vigente.</w:t>
            </w:r>
          </w:p>
        </w:tc>
      </w:tr>
      <w:tr>
        <w:tc>
          <w:tcPr>
            <w:tcW w:type="dxa" w:w="3024"/>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Logro criterial y KPI · V20</w:t>
            </w:r>
          </w:p>
        </w:tc>
        <w:tc>
          <w:tcPr>
            <w:tcW w:type="dxa" w:w="676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Analizar bandas, umbrales, porcentajes de estudiantes en KPI y tablas de auditoría.</w:t>
            </w:r>
          </w:p>
        </w:tc>
      </w:tr>
      <w:tr>
        <w:tc>
          <w:tcPr>
            <w:tcW w:type="dxa" w:w="302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Evidencia externa e indirecta · V20</w:t>
            </w:r>
          </w:p>
        </w:tc>
        <w:tc>
          <w:tcPr>
            <w:tcW w:type="dxa" w:w="6768"/>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Cargar fuentes complementarias, revisar su calidad y ver triangulación por RA/periodo.</w:t>
            </w:r>
          </w:p>
        </w:tc>
      </w:tr>
      <w:tr>
        <w:tc>
          <w:tcPr>
            <w:tcW w:type="dxa" w:w="3024"/>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Interconexión curricular</w:t>
            </w:r>
          </w:p>
        </w:tc>
        <w:tc>
          <w:tcPr>
            <w:tcW w:type="dxa" w:w="676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Explorar red 3D o mapa mental 2D y consultar la ficha de una asignatura.</w:t>
            </w:r>
          </w:p>
        </w:tc>
      </w:tr>
      <w:tr>
        <w:tc>
          <w:tcPr>
            <w:tcW w:type="dxa" w:w="3024"/>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Malla y alineación / Cadenas cognitivas · V20</w:t>
            </w:r>
          </w:p>
        </w:tc>
        <w:tc>
          <w:tcPr>
            <w:tcW w:type="dxa" w:w="6768"/>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Consultar mapeos, créditos, niveles de aporte y secuencias de formación.</w:t>
            </w:r>
          </w:p>
        </w:tc>
      </w:tr>
      <w:tr>
        <w:tc>
          <w:tcPr>
            <w:tcW w:type="dxa" w:w="3024"/>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Gobierno y criterios</w:t>
            </w:r>
          </w:p>
        </w:tc>
        <w:tc>
          <w:tcPr>
            <w:tcW w:type="dxa" w:w="6768"/>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Revisar reglas estables. En V20, configurar bandas, umbrales, KPI y fuentes; distinguir valores provisionales de los aprobados.</w:t>
            </w:r>
          </w:p>
        </w:tc>
      </w:tr>
    </w:tbl>
    <w:p>
      <w:pPr>
        <w:spacing w:after="0"/>
      </w:pPr>
    </w:p>
    <w:p>
      <w:pPr>
        <w:pStyle w:val="Heading2"/>
        <w:keepNext/>
        <w:spacing w:before="140" w:after="100"/>
      </w:pPr>
      <w:r>
        <w:rPr>
          <w:rFonts w:ascii="Aptos" w:hAnsi="Aptos" w:eastAsia="Aptos"/>
          <w:b/>
          <w:color w:val="000000"/>
          <w:sz w:val="25"/>
        </w:rPr>
        <w:t>Leer un gráfico sin confundir las medidas</w:t>
      </w:r>
    </w:p>
    <w:p>
      <w:pPr>
        <w:pStyle w:val="ListBullet"/>
        <w:spacing w:after="40" w:line="259" w:lineRule="auto"/>
      </w:pPr>
      <w:r>
        <w:rPr>
          <w:rFonts w:ascii="Aptos" w:hAnsi="Aptos" w:eastAsia="Aptos"/>
          <w:b w:val="0"/>
          <w:i w:val="0"/>
          <w:color w:val="17212B"/>
          <w:sz w:val="20"/>
        </w:rPr>
        <w:t>Confirme arriba del gráfico el periodo, semestre, RA y medida seleccionados.</w:t>
      </w:r>
    </w:p>
    <w:p>
      <w:pPr>
        <w:pStyle w:val="ListBullet"/>
        <w:spacing w:after="40" w:line="259" w:lineRule="auto"/>
      </w:pPr>
      <w:r>
        <w:rPr>
          <w:rFonts w:ascii="Aptos" w:hAnsi="Aptos" w:eastAsia="Aptos"/>
          <w:b w:val="0"/>
          <w:i w:val="0"/>
          <w:color w:val="17212B"/>
          <w:sz w:val="20"/>
        </w:rPr>
        <w:t>Una barra de aporte ponderado es un promedio de notas ajustadas y su eje está en 0–5.</w:t>
      </w:r>
    </w:p>
    <w:p>
      <w:pPr>
        <w:pStyle w:val="ListBullet"/>
        <w:spacing w:after="40" w:line="259" w:lineRule="auto"/>
      </w:pPr>
      <w:r>
        <w:rPr>
          <w:rFonts w:ascii="Aptos" w:hAnsi="Aptos" w:eastAsia="Aptos"/>
          <w:b w:val="0"/>
          <w:i w:val="0"/>
          <w:color w:val="17212B"/>
          <w:sz w:val="20"/>
        </w:rPr>
        <w:t>Una tarjeta KPI es un porcentaje de estudiantes que alcanza una banda mínima; revise también n, alcance y si la muestra se marca como inestable.</w:t>
      </w:r>
    </w:p>
    <w:p>
      <w:pPr>
        <w:pStyle w:val="ListBullet"/>
        <w:spacing w:after="40" w:line="259" w:lineRule="auto"/>
      </w:pPr>
      <w:r>
        <w:rPr>
          <w:rFonts w:ascii="Aptos" w:hAnsi="Aptos" w:eastAsia="Aptos"/>
          <w:b w:val="0"/>
          <w:i w:val="0"/>
          <w:color w:val="17212B"/>
          <w:sz w:val="20"/>
        </w:rPr>
        <w:t>“Sin datos” no es cero. Indica que no existen filas válidas para ese corte.</w:t>
      </w:r>
    </w:p>
    <w:p>
      <w:pPr>
        <w:pStyle w:val="ListBullet"/>
        <w:spacing w:after="40" w:line="259" w:lineRule="auto"/>
      </w:pPr>
      <w:r>
        <w:rPr>
          <w:rFonts w:ascii="Aptos" w:hAnsi="Aptos" w:eastAsia="Aptos"/>
          <w:b w:val="0"/>
          <w:i w:val="0"/>
          <w:color w:val="17212B"/>
          <w:sz w:val="20"/>
        </w:rPr>
        <w:t>Una alerta de calidad no siempre invalida el archivo entero: lea cuántas filas sí entraron y cuántas quedaron fuera.</w:t>
      </w:r>
    </w:p>
    <w:p>
      <w:pPr>
        <w:pStyle w:val="Heading2"/>
        <w:keepNext/>
        <w:spacing w:before="140" w:after="100"/>
      </w:pPr>
      <w:r>
        <w:rPr>
          <w:rFonts w:ascii="Aptos" w:hAnsi="Aptos" w:eastAsia="Aptos"/>
          <w:b/>
          <w:color w:val="000000"/>
          <w:sz w:val="25"/>
        </w:rPr>
        <w:t>Cuidado con los datos</w:t>
      </w:r>
    </w:p>
    <w:p>
      <w:pPr>
        <w:spacing w:before="0" w:after="100" w:line="269" w:lineRule="auto"/>
      </w:pPr>
      <w:r>
        <w:rPr>
          <w:rFonts w:ascii="Aptos" w:hAnsi="Aptos" w:eastAsia="Aptos"/>
          <w:b w:val="0"/>
          <w:i w:val="0"/>
          <w:color w:val="17212B"/>
          <w:sz w:val="21"/>
        </w:rPr>
        <w:t>La versión web estática conserva cargas y configuraciones en el almacenamiento local del navegador. Use un equipo autorizado, evite dejar abierta la sesión en dispositivos compartidos y siga las reglas institucionales sobre notas e identificación de estudiantes. Antes de cambiar de equipo o limpiar los datos del navegador, descargue los informes que necesite conservar. La red 3D requiere conexión a internet para cargar su biblioteca; el mapa 2D es una alternativa.</w:t>
      </w:r>
    </w:p>
    <w:p>
      <w:r>
        <w:br w:type="page"/>
      </w:r>
    </w:p>
    <w:p>
      <w:pPr>
        <w:pStyle w:val="Heading1"/>
        <w:keepNext/>
        <w:spacing w:before="220" w:after="100"/>
      </w:pPr>
      <w:r>
        <w:rPr>
          <w:rFonts w:ascii="Aptos" w:hAnsi="Aptos" w:eastAsia="Aptos"/>
          <w:b/>
          <w:color w:val="000000"/>
          <w:sz w:val="32"/>
        </w:rPr>
        <w:t>8. Glosario y listas de control</w:t>
      </w:r>
    </w:p>
    <w:tbl>
      <w:tblPr>
        <w:tblStyle w:val="TableGrid"/>
        <w:tblW w:type="auto" w:w="0"/>
        <w:jc w:val="center"/>
        <w:tblLayout w:type="fixed"/>
        <w:tblLook w:firstColumn="1" w:firstRow="1" w:lastColumn="0" w:lastRow="0" w:noHBand="0" w:noVBand="1" w:val="04A0"/>
      </w:tblPr>
      <w:tblGrid>
        <w:gridCol w:w="2232"/>
        <w:gridCol w:w="7560"/>
      </w:tblGrid>
      <w:tr>
        <w:trPr>
          <w:tblHeader w:val="true"/>
        </w:trPr>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7"/>
              </w:rPr>
              <w:t>Término</w:t>
            </w:r>
          </w:p>
        </w:tc>
        <w:tc>
          <w:tcPr>
            <w:tcW w:type="dxa" w:w="5083"/>
            <w:shd w:fill="123B56"/>
            <w:tcMar>
              <w:top w:w="100" w:type="dxa"/>
              <w:start w:w="90" w:type="dxa"/>
              <w:bottom w:w="100" w:type="dxa"/>
              <w:end w:w="90" w:type="dxa"/>
            </w:tcMar>
            <w:vAlign w:val="center"/>
          </w:tcPr>
          <w:p>
            <w:pPr>
              <w:spacing w:after="0"/>
            </w:pPr>
            <w:r>
              <w:rPr>
                <w:rFonts w:ascii="Aptos" w:hAnsi="Aptos" w:eastAsia="Aptos"/>
                <w:b/>
                <w:i w:val="0"/>
                <w:color w:val="FFFFFF"/>
                <w:sz w:val="17"/>
              </w:rPr>
              <w:t>Definición breve</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Evidencia válida</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Fila con estudiante, asignatura reconocida y nota numérica en escala 0–5; además, debe tener una ruta de alineación que el plan permite aplicar.</w:t>
            </w:r>
          </w:p>
        </w:tc>
      </w:tr>
      <w:tr>
        <w:tc>
          <w:tcPr>
            <w:tcW w:type="dxa" w:w="22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Mapeo</w:t>
            </w:r>
          </w:p>
        </w:tc>
        <w:tc>
          <w:tcPr>
            <w:tcW w:type="dxa" w:w="75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Relación aprobada o precargada que conecta asignatura/actividad con uno o varios RA y define el nivel de aporte.</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Aporte ponderado</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Nota multiplicada por el factor Introduce, Refuerza o Domina.</w:t>
            </w:r>
          </w:p>
        </w:tc>
      </w:tr>
      <w:tr>
        <w:tc>
          <w:tcPr>
            <w:tcW w:type="dxa" w:w="22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Medida por créditos</w:t>
            </w:r>
          </w:p>
        </w:tc>
        <w:tc>
          <w:tcPr>
            <w:tcW w:type="dxa" w:w="75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Resumen que da a cada asignatura un peso proporcional a los créditos registrados en la malla.</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Umbral criterial</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Nota esperada para el nivel curricular. En V20 sus valores iniciales son editables y provisionales.</w:t>
            </w:r>
          </w:p>
        </w:tc>
      </w:tr>
      <w:tr>
        <w:tc>
          <w:tcPr>
            <w:tcW w:type="dxa" w:w="2232"/>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KPI</w:t>
            </w:r>
          </w:p>
        </w:tc>
        <w:tc>
          <w:tcPr>
            <w:tcW w:type="dxa" w:w="7560"/>
            <w:tcMar>
              <w:top w:w="90" w:type="dxa"/>
              <w:start w:w="90" w:type="dxa"/>
              <w:bottom w:w="90" w:type="dxa"/>
              <w:end w:w="90" w:type="dxa"/>
            </w:tcMar>
            <w:vAlign w:val="center"/>
            <w:shd w:fill="F5F8F9"/>
          </w:tcPr>
          <w:p>
            <w:pPr>
              <w:spacing w:after="0" w:line="252" w:lineRule="auto"/>
            </w:pPr>
            <w:r>
              <w:rPr>
                <w:rFonts w:ascii="Aptos" w:hAnsi="Aptos" w:eastAsia="Aptos"/>
                <w:b w:val="0"/>
                <w:i w:val="0"/>
                <w:color w:val="17212B"/>
                <w:sz w:val="17"/>
              </w:rPr>
              <w:t>Indicador que reporta si una proporción de estudiantes alcanza una banda mínima para un RA, de acuerdo con alcance y meta configurados.</w:t>
            </w:r>
          </w:p>
        </w:tc>
      </w:tr>
      <w:tr>
        <w:tc>
          <w:tcPr>
            <w:tcW w:type="dxa" w:w="2232"/>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Triangulación</w:t>
            </w:r>
          </w:p>
        </w:tc>
        <w:tc>
          <w:tcPr>
            <w:tcW w:type="dxa" w:w="7560"/>
            <w:tcMar>
              <w:top w:w="90" w:type="dxa"/>
              <w:start w:w="90" w:type="dxa"/>
              <w:bottom w:w="90" w:type="dxa"/>
              <w:end w:w="90" w:type="dxa"/>
            </w:tcMar>
            <w:vAlign w:val="center"/>
          </w:tcPr>
          <w:p>
            <w:pPr>
              <w:spacing w:after="0" w:line="252" w:lineRule="auto"/>
            </w:pPr>
            <w:r>
              <w:rPr>
                <w:rFonts w:ascii="Aptos" w:hAnsi="Aptos" w:eastAsia="Aptos"/>
                <w:b w:val="0"/>
                <w:i w:val="0"/>
                <w:color w:val="17212B"/>
                <w:sz w:val="17"/>
              </w:rPr>
              <w:t>Comparación de distintas fuentes de evidencia por RA/periodo; ayuda a identificar coincidencias o diferencias.</w:t>
            </w:r>
          </w:p>
        </w:tc>
      </w:tr>
    </w:tbl>
    <w:p>
      <w:pPr>
        <w:spacing w:after="0"/>
      </w:pPr>
    </w:p>
    <w:p>
      <w:pPr>
        <w:pStyle w:val="Heading2"/>
        <w:keepNext/>
        <w:spacing w:before="140" w:after="100"/>
      </w:pPr>
      <w:r>
        <w:rPr>
          <w:rFonts w:ascii="Aptos" w:hAnsi="Aptos" w:eastAsia="Aptos"/>
          <w:b/>
          <w:color w:val="000000"/>
          <w:sz w:val="25"/>
        </w:rPr>
        <w:t>Lista breve antes de cargar</w:t>
      </w:r>
    </w:p>
    <w:p>
      <w:pPr>
        <w:pStyle w:val="ListBullet"/>
        <w:spacing w:after="40" w:line="259" w:lineRule="auto"/>
      </w:pPr>
      <w:r>
        <w:rPr>
          <w:rFonts w:ascii="Aptos" w:hAnsi="Aptos" w:eastAsia="Aptos"/>
          <w:b w:val="0"/>
          <w:i w:val="0"/>
          <w:color w:val="17212B"/>
          <w:sz w:val="20"/>
        </w:rPr>
        <w:t>☐  Programa correcto seleccionado.</w:t>
      </w:r>
    </w:p>
    <w:p>
      <w:pPr>
        <w:pStyle w:val="ListBullet"/>
        <w:spacing w:after="40" w:line="259" w:lineRule="auto"/>
      </w:pPr>
      <w:r>
        <w:rPr>
          <w:rFonts w:ascii="Aptos" w:hAnsi="Aptos" w:eastAsia="Aptos"/>
          <w:b w:val="0"/>
          <w:i w:val="0"/>
          <w:color w:val="17212B"/>
          <w:sz w:val="20"/>
        </w:rPr>
        <w:t>☐  Periodo correcto elegido.</w:t>
      </w:r>
    </w:p>
    <w:p>
      <w:pPr>
        <w:pStyle w:val="ListBullet"/>
        <w:spacing w:after="40" w:line="259" w:lineRule="auto"/>
      </w:pPr>
      <w:r>
        <w:rPr>
          <w:rFonts w:ascii="Aptos" w:hAnsi="Aptos" w:eastAsia="Aptos"/>
          <w:b w:val="0"/>
          <w:i w:val="0"/>
          <w:color w:val="17212B"/>
          <w:sz w:val="20"/>
        </w:rPr>
        <w:t>☐  Plantilla y modalidad de nota coherentes con los datos.</w:t>
      </w:r>
    </w:p>
    <w:p>
      <w:pPr>
        <w:pStyle w:val="ListBullet"/>
        <w:spacing w:after="40" w:line="259" w:lineRule="auto"/>
      </w:pPr>
      <w:r>
        <w:rPr>
          <w:rFonts w:ascii="Aptos" w:hAnsi="Aptos" w:eastAsia="Aptos"/>
          <w:b w:val="0"/>
          <w:i w:val="0"/>
          <w:color w:val="17212B"/>
          <w:sz w:val="20"/>
        </w:rPr>
        <w:t>☐  Asignaturas con nombres reconocibles y nota dentro de 0–5.</w:t>
      </w:r>
    </w:p>
    <w:p>
      <w:pPr>
        <w:pStyle w:val="ListBullet"/>
        <w:spacing w:after="40" w:line="259" w:lineRule="auto"/>
      </w:pPr>
      <w:r>
        <w:rPr>
          <w:rFonts w:ascii="Aptos" w:hAnsi="Aptos" w:eastAsia="Aptos"/>
          <w:b w:val="0"/>
          <w:i w:val="0"/>
          <w:color w:val="17212B"/>
          <w:sz w:val="20"/>
        </w:rPr>
        <w:t>☐  Sin archivos repetidos ni mezcla de notas globales con las mismas actividades.</w:t>
      </w:r>
    </w:p>
    <w:p>
      <w:pPr>
        <w:pStyle w:val="Heading2"/>
        <w:keepNext/>
        <w:spacing w:before="140" w:after="100"/>
      </w:pPr>
      <w:r>
        <w:rPr>
          <w:rFonts w:ascii="Aptos" w:hAnsi="Aptos" w:eastAsia="Aptos"/>
          <w:b/>
          <w:color w:val="000000"/>
          <w:sz w:val="25"/>
        </w:rPr>
        <w:t>Lista breve antes de comunicar resultados</w:t>
      </w:r>
    </w:p>
    <w:p>
      <w:pPr>
        <w:pStyle w:val="ListBullet"/>
        <w:spacing w:after="40" w:line="259" w:lineRule="auto"/>
      </w:pPr>
      <w:r>
        <w:rPr>
          <w:rFonts w:ascii="Aptos" w:hAnsi="Aptos" w:eastAsia="Aptos"/>
          <w:b w:val="0"/>
          <w:i w:val="0"/>
          <w:color w:val="17212B"/>
          <w:sz w:val="20"/>
        </w:rPr>
        <w:t>☐  Indicar periodo, semestre, RA, n y medida.</w:t>
      </w:r>
    </w:p>
    <w:p>
      <w:pPr>
        <w:pStyle w:val="ListBullet"/>
        <w:spacing w:after="40" w:line="259" w:lineRule="auto"/>
      </w:pPr>
      <w:r>
        <w:rPr>
          <w:rFonts w:ascii="Aptos" w:hAnsi="Aptos" w:eastAsia="Aptos"/>
          <w:b w:val="0"/>
          <w:i w:val="0"/>
          <w:color w:val="17212B"/>
          <w:sz w:val="20"/>
        </w:rPr>
        <w:t>☐  Aclarar si se reporta escala 0–5 o porcentaje KPI.</w:t>
      </w:r>
    </w:p>
    <w:p>
      <w:pPr>
        <w:pStyle w:val="ListBullet"/>
        <w:spacing w:after="40" w:line="259" w:lineRule="auto"/>
      </w:pPr>
      <w:r>
        <w:rPr>
          <w:rFonts w:ascii="Aptos" w:hAnsi="Aptos" w:eastAsia="Aptos"/>
          <w:b w:val="0"/>
          <w:i w:val="0"/>
          <w:color w:val="17212B"/>
          <w:sz w:val="20"/>
        </w:rPr>
        <w:t>☐  Verificar filas excluidas y mapeos pendientes.</w:t>
      </w:r>
    </w:p>
    <w:p>
      <w:pPr>
        <w:pStyle w:val="ListBullet"/>
        <w:spacing w:after="40" w:line="259" w:lineRule="auto"/>
      </w:pPr>
      <w:r>
        <w:rPr>
          <w:rFonts w:ascii="Aptos" w:hAnsi="Aptos" w:eastAsia="Aptos"/>
          <w:b w:val="0"/>
          <w:i w:val="0"/>
          <w:color w:val="17212B"/>
          <w:sz w:val="20"/>
        </w:rPr>
        <w:t>☐  En KPI, señalar alcance y carácter provisional/aprobado de la configuración.</w:t>
      </w:r>
    </w:p>
    <w:p>
      <w:pPr>
        <w:pStyle w:val="ListBullet"/>
        <w:spacing w:after="40" w:line="259" w:lineRule="auto"/>
      </w:pPr>
      <w:r>
        <w:rPr>
          <w:rFonts w:ascii="Aptos" w:hAnsi="Aptos" w:eastAsia="Aptos"/>
          <w:b w:val="0"/>
          <w:i w:val="0"/>
          <w:color w:val="17212B"/>
          <w:sz w:val="20"/>
        </w:rPr>
        <w:t>☐  Interpretar junto con el contexto de evaluación; CORA resume evidencia, no sustituye el juicio pedagógico.</w:t>
      </w:r>
    </w:p>
    <w:p>
      <w:pPr>
        <w:pStyle w:val="Heading2"/>
        <w:keepNext/>
        <w:spacing w:before="140" w:after="100"/>
      </w:pPr>
      <w:r>
        <w:rPr>
          <w:rFonts w:ascii="Aptos" w:hAnsi="Aptos" w:eastAsia="Aptos"/>
          <w:b/>
          <w:color w:val="000000"/>
          <w:sz w:val="25"/>
        </w:rPr>
        <w:t>Regla práctica para el profesor</w:t>
      </w:r>
    </w:p>
    <w:tbl>
      <w:tblPr>
        <w:tblW w:type="auto" w:w="0"/>
        <w:jc w:val="center"/>
        <w:tblLayout w:type="fixed"/>
        <w:tblLook w:firstColumn="1" w:firstRow="1" w:lastColumn="0" w:lastRow="0" w:noHBand="0" w:noVBand="1" w:val="04A0"/>
      </w:tblPr>
      <w:tblGrid>
        <w:gridCol w:w="9936"/>
      </w:tblGrid>
      <w:tr>
        <w:tc>
          <w:tcPr>
            <w:tcW w:type="dxa" w:w="10166"/>
            <w:shd w:fill="EFF5F8"/>
            <w:tcMar>
              <w:top w:w="130" w:type="dxa"/>
              <w:start w:w="180" w:type="dxa"/>
              <w:bottom w:w="130" w:type="dxa"/>
              <w:end w:w="180" w:type="dxa"/>
            </w:tcMar>
          </w:tcPr>
          <w:p>
            <w:pPr>
              <w:spacing w:after="60"/>
            </w:pPr>
            <w:r>
              <w:rPr>
                <w:rFonts w:ascii="Aptos" w:hAnsi="Aptos" w:eastAsia="Aptos"/>
                <w:b/>
                <w:i w:val="0"/>
                <w:color w:val="123B56"/>
                <w:sz w:val="20"/>
              </w:rPr>
              <w:t>Regla práctica</w:t>
            </w:r>
          </w:p>
          <w:p>
            <w:pPr>
              <w:spacing w:after="0" w:line="264" w:lineRule="auto"/>
            </w:pPr>
            <w:r>
              <w:rPr>
                <w:rFonts w:ascii="Aptos" w:hAnsi="Aptos" w:eastAsia="Aptos"/>
                <w:b w:val="0"/>
                <w:i w:val="0"/>
                <w:color w:val="17212B"/>
                <w:sz w:val="20"/>
              </w:rPr>
              <w:t>El docente aporta notas y contexto de evaluación. La matriz curricular determina los RA y el nivel de aporte; CORA ejecuta la regla, muestra qué filas usó y permite revisar cómo se produjo el resultado.</w:t>
            </w:r>
          </w:p>
        </w:tc>
      </w:tr>
    </w:tbl>
    <w:p>
      <w:pPr>
        <w:spacing w:after="0"/>
      </w:pPr>
    </w:p>
    <w:p>
      <w:pPr>
        <w:spacing w:before="0" w:after="0" w:line="269" w:lineRule="auto"/>
      </w:pPr>
      <w:r>
        <w:rPr>
          <w:rFonts w:ascii="Aptos" w:hAnsi="Aptos" w:eastAsia="Aptos"/>
          <w:b w:val="0"/>
          <w:i w:val="0"/>
          <w:color w:val="17212B"/>
          <w:sz w:val="21"/>
        </w:rPr>
        <w:t>La interfaz funciona como instrumento de apoyo para analizar la evidencia del aprendizaje. El uso responsable del resultado exige nombrar el plan curricular, la medida y el periodo que se están describiendo, y mantener las decisiones de mapeo y metas en los espacios de gobierno curricular.</w:t>
      </w:r>
    </w:p>
    <w:sectPr w:rsidR="00FC693F" w:rsidRPr="0006063C" w:rsidSect="00034616">
      <w:headerReference w:type="default" r:id="rId9"/>
      <w:footerReference w:type="default" r:id="rId10"/>
      <w:pgSz w:w="12240" w:h="15840"/>
      <w:pgMar w:top="936" w:right="1037" w:bottom="936"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2636F"/>
        <w:sz w:val="16"/>
      </w:rPr>
      <w:t xml:space="preserve">Fisioterapia  ·  Calificación Objetiva de Resultados de Aprendizaje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52636F"/>
        <w:sz w:val="16"/>
      </w:rPr>
      <w:t>CORA  ·  GUÍA DOCENTE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17212B"/>
      <w:sz w:val="21"/>
    </w:rPr>
  </w:style>
  <w:style w:type="paragraph" w:styleId="ListBullet2">
    <w:name w:val="List Bullet 2"/>
    <w:basedOn w:val="Normal"/>
    <w:uiPriority w:val="99"/>
    <w:unhideWhenUsed/>
    <w:rsid w:val="00326F90"/>
    <w:pPr>
      <w:numPr>
        <w:numId w:val="2"/>
      </w:numPr>
      <w:contextualSpacing/>
    </w:pPr>
    <w:rPr>
      <w:rFonts w:ascii="Aptos" w:hAnsi="Aptos" w:eastAsia="Aptos"/>
      <w:color w:val="17212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docente de CORA Fisioterapia</dc:title>
  <dc:subject>Conceptos y lógica de medición de Resultados de Aprendizaje</dc:subject>
  <dc:creator>CORA · Fisioterapia</dc:creator>
  <cp:keywords>CORA, Resultados de Aprendizaje, Fisioterapia, guía docente</cp:keywords>
  <dc:description>generated by python-docx</dc:description>
  <cp:lastModifiedBy/>
  <cp:revision>1</cp:revision>
  <dcterms:created xsi:type="dcterms:W3CDTF">2013-12-23T23:15:00Z</dcterms:created>
  <dcterms:modified xsi:type="dcterms:W3CDTF">2013-12-23T23:15:00Z</dcterms:modified>
  <cp:category/>
</cp:coreProperties>
</file>