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B97006D" w:rsidR="00250F56" w:rsidRPr="00064F34" w:rsidRDefault="00D8291B" w:rsidP="0028397E">
      <w:pPr>
        <w:spacing w:after="60"/>
        <w:jc w:val="center"/>
        <w:rPr>
          <w:rFonts w:ascii="Arial" w:hAnsi="Arial" w:cs="Arial"/>
          <w:sz w:val="24"/>
          <w:szCs w:val="24"/>
        </w:rPr>
      </w:pPr>
      <w:r>
        <w:rPr>
          <w:rFonts w:ascii="Arial" w:hAnsi="Arial" w:cs="Arial"/>
          <w:b/>
          <w:bCs/>
          <w:sz w:val="24"/>
          <w:szCs w:val="24"/>
        </w:rPr>
        <w:t>MARCO DE REFERENCIA: ONTOLÓGICO, EPISTEMOLÓGICO Y PRAXEOLÓGICO DEL PROGRAMA DE FISIOTERAPIA, UNIVERSIDAD DEL CAUCA, 2026.</w:t>
      </w:r>
    </w:p>
    <w:p w14:paraId="3FB00AE2" w14:textId="77777777" w:rsidR="00B96070" w:rsidRDefault="00B96070" w:rsidP="008727B7">
      <w:pPr>
        <w:pStyle w:val="Heading1"/>
        <w:spacing w:before="320" w:after="140"/>
        <w:rPr>
          <w:rFonts w:ascii="Arial" w:hAnsi="Arial" w:cs="Arial"/>
          <w:color w:val="000000"/>
          <w:sz w:val="24"/>
          <w:szCs w:val="24"/>
        </w:rPr>
      </w:pPr>
    </w:p>
    <w:p w14:paraId="6AB2CC0B" w14:textId="7B607D33" w:rsidR="008727B7" w:rsidRPr="00064F34" w:rsidRDefault="008727B7" w:rsidP="008727B7">
      <w:pPr>
        <w:pStyle w:val="Heading1"/>
        <w:spacing w:before="320" w:after="140"/>
        <w:rPr>
          <w:rFonts w:ascii="Arial" w:hAnsi="Arial" w:cs="Arial"/>
          <w:color w:val="000000"/>
          <w:sz w:val="24"/>
          <w:szCs w:val="24"/>
        </w:rPr>
      </w:pPr>
      <w:r>
        <w:rPr>
          <w:rFonts w:ascii="Arial" w:hAnsi="Arial" w:cs="Arial"/>
          <w:color w:val="000000"/>
          <w:sz w:val="24"/>
          <w:szCs w:val="24"/>
        </w:rPr>
        <w:t xml:space="preserve">El Movimiento Vital como Marco de Referencia para el ser, el saber y el hacer en el programa de Fisioterapia de la Universidad del Cauca. </w:t>
      </w:r>
    </w:p>
    <w:p w14:paraId="3C4B6254" w14:textId="7CA33924" w:rsidR="008727B7" w:rsidRDefault="00572DF6" w:rsidP="00801AB2">
      <w:pPr>
        <w:spacing w:after="240" w:line="276" w:lineRule="auto"/>
        <w:jc w:val="both"/>
        <w:rPr>
          <w:rFonts w:ascii="Arial" w:hAnsi="Arial" w:cs="Arial"/>
          <w:sz w:val="24"/>
          <w:szCs w:val="24"/>
        </w:rPr>
      </w:pPr>
      <w:r>
        <w:rPr>
          <w:rFonts w:ascii="Arial" w:hAnsi="Arial" w:cs="Arial"/>
          <w:sz w:val="24"/>
          <w:szCs w:val="24"/>
        </w:rPr>
        <w:t>El programa de Fisioterapia de la Universidad del Cauca ha planteado un marco de referencia al que, de manera inacabada, ha denominado Movimiento vital. Se constituye en un marco porque pretende integrar, de manera articulada, elementos de orden ontológico, epistemológico y praxeológico con el propósito de poner en diálogo y reflexión crítica permanente sus relaciones dinamizadas por el movimiento corporal humano. El Programa reafirma el movimiento corporal humano como su referente epistemológico para estudiarlo tanto desde las teorías tradicionales de los enfoques positivistas, como desde las teorías de las ciencias humanas y sociales, los desarrollos conceptuales propios y los lineamientos gremiales de orden internacional y nacional; para gestionar su abordaje en la multiplicidad de caminos posibles que se concretan en la formación de fisioterapeutas en el suroccidente colombiano y su puesta en práctica en el futuro ejercicio profesional.</w:t>
      </w:r>
    </w:p>
    <w:p w14:paraId="5FEEC50D" w14:textId="403C22B5" w:rsidR="00572DF6" w:rsidRPr="00064F34" w:rsidRDefault="002C6146" w:rsidP="00801AB2">
      <w:pPr>
        <w:spacing w:line="276" w:lineRule="auto"/>
        <w:jc w:val="both"/>
        <w:rPr>
          <w:rFonts w:ascii="Arial" w:hAnsi="Arial" w:cs="Arial"/>
          <w:sz w:val="24"/>
          <w:szCs w:val="24"/>
        </w:rPr>
      </w:pPr>
      <w:r>
        <w:rPr>
          <w:rFonts w:ascii="Arial" w:hAnsi="Arial" w:cs="Arial"/>
          <w:sz w:val="24"/>
          <w:szCs w:val="24"/>
        </w:rPr>
        <w:t xml:space="preserve">En este sentido, la noción de </w:t>
      </w:r>
      <w:r>
        <w:rPr>
          <w:rFonts w:ascii="Arial" w:hAnsi="Arial" w:cs="Arial"/>
          <w:i/>
          <w:iCs/>
          <w:sz w:val="24"/>
          <w:szCs w:val="24"/>
        </w:rPr>
        <w:t>movimiento vital</w:t>
      </w:r>
      <w:r>
        <w:rPr>
          <w:rFonts w:ascii="Arial" w:hAnsi="Arial" w:cs="Arial"/>
          <w:sz w:val="24"/>
          <w:szCs w:val="24"/>
        </w:rPr>
        <w:t xml:space="preserve"> se puede plantear como un escenario integrador y complejo en el que la vida se mueve. Este escenario se convierte en una plataforma en la que interactúan una multiplicidad de elementos, sujetos históricos que habitan el mundo, que se mueven en el devenir de la vida, que construyen relaciones con otros y con lo otro, desde el nacimiento hasta la muerte, por medio de interacciones que tienen implícito el cuidado de sí, el cuidado del otro y el cuidado de lo otro, en las que media siempre el movimiento corporal humano. </w:t>
      </w:r>
    </w:p>
    <w:p w14:paraId="566AF2BB" w14:textId="77777777" w:rsidR="00572DF6" w:rsidRPr="00064F34" w:rsidRDefault="00572DF6" w:rsidP="00801AB2">
      <w:pPr>
        <w:spacing w:line="276" w:lineRule="auto"/>
        <w:jc w:val="both"/>
        <w:rPr>
          <w:rFonts w:ascii="Arial" w:hAnsi="Arial" w:cs="Arial"/>
          <w:sz w:val="24"/>
          <w:szCs w:val="24"/>
        </w:rPr>
      </w:pPr>
    </w:p>
    <w:p w14:paraId="715FA01D" w14:textId="4A3D3859" w:rsidR="00B0191F" w:rsidRDefault="006455F3" w:rsidP="00801AB2">
      <w:pPr>
        <w:spacing w:line="276" w:lineRule="auto"/>
        <w:jc w:val="both"/>
        <w:rPr>
          <w:rFonts w:ascii="Arial" w:hAnsi="Arial" w:cs="Arial"/>
          <w:sz w:val="24"/>
          <w:szCs w:val="24"/>
        </w:rPr>
      </w:pPr>
      <w:r>
        <w:rPr>
          <w:rFonts w:ascii="Arial" w:hAnsi="Arial" w:cs="Arial"/>
          <w:sz w:val="24"/>
          <w:szCs w:val="24"/>
        </w:rPr>
        <w:t xml:space="preserve">Por ello, se presenta la siguiente figura integradora como un escenario en el que encontramos: situados en un eje vertical, no rígido sino por el contrario en constante movimiento (forma de espiral), los elementos que constituyen la fundamentación filosófica, es decir, el </w:t>
      </w:r>
      <w:r>
        <w:rPr>
          <w:rFonts w:ascii="Arial" w:hAnsi="Arial" w:cs="Arial"/>
          <w:b/>
          <w:bCs/>
          <w:i/>
          <w:iCs/>
          <w:sz w:val="24"/>
          <w:szCs w:val="24"/>
        </w:rPr>
        <w:t>componente ontológico</w:t>
      </w:r>
      <w:r>
        <w:rPr>
          <w:rFonts w:ascii="Arial" w:hAnsi="Arial" w:cs="Arial"/>
          <w:sz w:val="24"/>
          <w:szCs w:val="24"/>
        </w:rPr>
        <w:t xml:space="preserve"> que propone los valores y principios, para la formación de estudiantes de fisioterapia en la Universidad del Cauca. Dichos elementos emergen de los planteamientos de la ética de la razón cordial (Cortina, 2007) cuyo derrotero es el reconocimiento de las personas, familias y comunidades como sujetos de derechos y el respeto de la dignidad inherente a todos los seres humanos. Aquí se van configurando las nociones mínimas del </w:t>
      </w:r>
      <w:r>
        <w:rPr>
          <w:rFonts w:ascii="Arial" w:hAnsi="Arial" w:cs="Arial"/>
          <w:b/>
          <w:bCs/>
          <w:i/>
          <w:iCs/>
          <w:sz w:val="24"/>
          <w:szCs w:val="24"/>
        </w:rPr>
        <w:t>ser</w:t>
      </w:r>
      <w:r>
        <w:rPr>
          <w:rFonts w:ascii="Arial" w:hAnsi="Arial" w:cs="Arial"/>
          <w:i/>
          <w:iCs/>
          <w:sz w:val="24"/>
          <w:szCs w:val="24"/>
        </w:rPr>
        <w:t xml:space="preserve"> </w:t>
      </w:r>
      <w:r>
        <w:rPr>
          <w:rFonts w:ascii="Arial" w:hAnsi="Arial" w:cs="Arial"/>
          <w:sz w:val="24"/>
          <w:szCs w:val="24"/>
        </w:rPr>
        <w:t>en los procesos de formación de estudiantes de fisioterapia.</w:t>
      </w:r>
    </w:p>
    <w:p w14:paraId="001CA373" w14:textId="77777777" w:rsidR="00B0191F" w:rsidRDefault="00B0191F" w:rsidP="00801AB2">
      <w:pPr>
        <w:spacing w:line="276" w:lineRule="auto"/>
        <w:jc w:val="both"/>
        <w:rPr>
          <w:rFonts w:ascii="Arial" w:hAnsi="Arial" w:cs="Arial"/>
          <w:sz w:val="24"/>
          <w:szCs w:val="24"/>
        </w:rPr>
      </w:pPr>
    </w:p>
    <w:p w14:paraId="5FFFCA6D" w14:textId="1CD41304" w:rsidR="0069176F" w:rsidRDefault="00F7117E" w:rsidP="00B0191F">
      <w:pPr>
        <w:spacing w:line="276" w:lineRule="auto"/>
        <w:jc w:val="both"/>
        <w:rPr>
          <w:rFonts w:ascii="Arial" w:hAnsi="Arial" w:cs="Arial"/>
          <w:sz w:val="24"/>
          <w:szCs w:val="24"/>
        </w:rPr>
      </w:pPr>
      <w:r>
        <w:rPr>
          <w:rFonts w:ascii="Arial" w:hAnsi="Arial" w:cs="Arial"/>
          <w:sz w:val="24"/>
          <w:szCs w:val="24"/>
        </w:rPr>
        <w:t xml:space="preserve">Articulándose a estos elementos del eje vertical, se situarán en la parte superior del escenario, los elementos teóricos, los desarrollos conceptuales propios de la escuela de pensamiento de la fisioterapia unicaucana y los modelos que sustentan el </w:t>
      </w:r>
      <w:r>
        <w:rPr>
          <w:rFonts w:ascii="Arial" w:hAnsi="Arial" w:cs="Arial"/>
          <w:b/>
          <w:bCs/>
          <w:i/>
          <w:iCs/>
          <w:sz w:val="24"/>
          <w:szCs w:val="24"/>
        </w:rPr>
        <w:t>componente epistemológico</w:t>
      </w:r>
      <w:r>
        <w:rPr>
          <w:rFonts w:ascii="Arial" w:hAnsi="Arial" w:cs="Arial"/>
          <w:sz w:val="24"/>
          <w:szCs w:val="24"/>
        </w:rPr>
        <w:t xml:space="preserve"> para el estudio y la comprensión integradora del movimiento corporal humano. Se articulan a lo largo del eje vertical, en relación con los anteriores aspectos, en una posición casi central y en disposición horizontal (atravesada por otra espiral tenue que representa el movimiento reiterativo entre familias y comunidades) los elementos teóricos y conceptuales que propone la Clasificación Internacional del Funcionamiento, de la Discapacidad y de la Salud [CIF] de la Organización Mundial de la Salud, de tal forma que se van consolidando las bases mínimas del </w:t>
      </w:r>
      <w:r>
        <w:rPr>
          <w:rFonts w:ascii="Arial" w:hAnsi="Arial" w:cs="Arial"/>
          <w:b/>
          <w:bCs/>
          <w:i/>
          <w:iCs/>
          <w:sz w:val="24"/>
          <w:szCs w:val="24"/>
        </w:rPr>
        <w:t xml:space="preserve">saber </w:t>
      </w:r>
      <w:r>
        <w:rPr>
          <w:rFonts w:ascii="Arial" w:hAnsi="Arial" w:cs="Arial"/>
          <w:sz w:val="24"/>
          <w:szCs w:val="24"/>
        </w:rPr>
        <w:t>en los procesos de formación de estudiantes de fisioterapia.</w:t>
      </w:r>
    </w:p>
    <w:p w14:paraId="66C5CC22" w14:textId="77777777" w:rsidR="00B0191F" w:rsidRDefault="00B0191F" w:rsidP="00B0191F">
      <w:pPr>
        <w:spacing w:line="276" w:lineRule="auto"/>
        <w:jc w:val="both"/>
        <w:rPr>
          <w:rFonts w:ascii="Arial" w:hAnsi="Arial" w:cs="Arial"/>
          <w:sz w:val="24"/>
          <w:szCs w:val="24"/>
        </w:rPr>
      </w:pPr>
    </w:p>
    <w:p w14:paraId="0D255DA6" w14:textId="7CFEE89B" w:rsidR="00B0191F" w:rsidRDefault="00B0191F" w:rsidP="00B0191F">
      <w:pPr>
        <w:spacing w:line="276" w:lineRule="auto"/>
        <w:jc w:val="both"/>
        <w:rPr>
          <w:rFonts w:ascii="Arial" w:hAnsi="Arial" w:cs="Arial"/>
          <w:b/>
          <w:bCs/>
          <w:sz w:val="24"/>
          <w:szCs w:val="24"/>
        </w:rPr>
      </w:pPr>
      <w:r>
        <w:rPr>
          <w:rFonts w:ascii="Arial" w:hAnsi="Arial" w:cs="Arial"/>
          <w:sz w:val="24"/>
          <w:szCs w:val="24"/>
        </w:rPr>
        <w:t xml:space="preserve">Finalmente, el esquema presenta hacia el final los elementos que conforman el </w:t>
      </w:r>
      <w:r>
        <w:rPr>
          <w:rFonts w:ascii="Arial" w:hAnsi="Arial" w:cs="Arial"/>
          <w:b/>
          <w:bCs/>
          <w:i/>
          <w:iCs/>
          <w:sz w:val="24"/>
          <w:szCs w:val="24"/>
        </w:rPr>
        <w:t>componente praxeológico</w:t>
      </w:r>
      <w:r>
        <w:rPr>
          <w:rFonts w:ascii="Arial" w:hAnsi="Arial" w:cs="Arial"/>
          <w:sz w:val="24"/>
          <w:szCs w:val="24"/>
        </w:rPr>
        <w:t xml:space="preserve">, es decir, que posibilitan o median el </w:t>
      </w:r>
      <w:r>
        <w:rPr>
          <w:rFonts w:ascii="Arial" w:hAnsi="Arial" w:cs="Arial"/>
          <w:b/>
          <w:bCs/>
          <w:i/>
          <w:iCs/>
          <w:sz w:val="24"/>
          <w:szCs w:val="24"/>
        </w:rPr>
        <w:t>hacer</w:t>
      </w:r>
      <w:r>
        <w:rPr>
          <w:rFonts w:ascii="Arial" w:hAnsi="Arial" w:cs="Arial"/>
          <w:b/>
          <w:bCs/>
          <w:sz w:val="24"/>
          <w:szCs w:val="24"/>
        </w:rPr>
        <w:t xml:space="preserve"> </w:t>
      </w:r>
      <w:r>
        <w:rPr>
          <w:rFonts w:ascii="Arial" w:hAnsi="Arial" w:cs="Arial"/>
          <w:sz w:val="24"/>
          <w:szCs w:val="24"/>
        </w:rPr>
        <w:t>en los procesos de formación de estudiantes de fisioterapia, poniendo en diálogo en el mundo de la vida todas las potencialidades y las oportunidades o barreras para elegir en libertad, con autonomía, razonamiento profesional y con responsabilidad, tanto en la propia trayectoria educativa como en el futuro ejercicio profesional del fisioterapeuta egresado de la Universidad del Cauca.</w:t>
      </w:r>
    </w:p>
    <w:p w14:paraId="3CA58DF0" w14:textId="77777777" w:rsidR="0069176F" w:rsidRDefault="0069176F" w:rsidP="00ED4F9F">
      <w:pPr>
        <w:jc w:val="both"/>
        <w:rPr>
          <w:rFonts w:ascii="Arial" w:hAnsi="Arial" w:cs="Arial"/>
          <w:b/>
          <w:bCs/>
          <w:sz w:val="24"/>
          <w:szCs w:val="24"/>
        </w:rPr>
      </w:pPr>
    </w:p>
    <w:p w14:paraId="46996C8F" w14:textId="77777777" w:rsidR="0069176F" w:rsidRDefault="0069176F" w:rsidP="00ED4F9F">
      <w:pPr>
        <w:jc w:val="both"/>
        <w:rPr>
          <w:rFonts w:ascii="Arial" w:hAnsi="Arial" w:cs="Arial"/>
          <w:b/>
          <w:bCs/>
          <w:sz w:val="24"/>
          <w:szCs w:val="24"/>
        </w:rPr>
      </w:pPr>
    </w:p>
    <w:p w14:paraId="5266848E" w14:textId="77777777" w:rsidR="0069176F" w:rsidRDefault="0069176F" w:rsidP="00ED4F9F">
      <w:pPr>
        <w:jc w:val="both"/>
        <w:rPr>
          <w:rFonts w:ascii="Arial" w:hAnsi="Arial" w:cs="Arial"/>
          <w:b/>
          <w:bCs/>
          <w:sz w:val="24"/>
          <w:szCs w:val="24"/>
        </w:rPr>
      </w:pPr>
    </w:p>
    <w:p w14:paraId="69431B43" w14:textId="77777777" w:rsidR="0069176F" w:rsidRDefault="0069176F" w:rsidP="00ED4F9F">
      <w:pPr>
        <w:jc w:val="both"/>
        <w:rPr>
          <w:rFonts w:ascii="Arial" w:hAnsi="Arial" w:cs="Arial"/>
          <w:b/>
          <w:bCs/>
          <w:sz w:val="24"/>
          <w:szCs w:val="24"/>
        </w:rPr>
      </w:pPr>
    </w:p>
    <w:p w14:paraId="3156D54B" w14:textId="77777777" w:rsidR="0069176F" w:rsidRDefault="0069176F" w:rsidP="00ED4F9F">
      <w:pPr>
        <w:jc w:val="both"/>
        <w:rPr>
          <w:rFonts w:ascii="Arial" w:hAnsi="Arial" w:cs="Arial"/>
          <w:b/>
          <w:bCs/>
          <w:sz w:val="24"/>
          <w:szCs w:val="24"/>
        </w:rPr>
      </w:pPr>
    </w:p>
    <w:p w14:paraId="47DCCA5B" w14:textId="77777777" w:rsidR="0069176F" w:rsidRDefault="0069176F" w:rsidP="00ED4F9F">
      <w:pPr>
        <w:jc w:val="both"/>
        <w:rPr>
          <w:rFonts w:ascii="Arial" w:hAnsi="Arial" w:cs="Arial"/>
          <w:b/>
          <w:bCs/>
          <w:sz w:val="24"/>
          <w:szCs w:val="24"/>
        </w:rPr>
      </w:pPr>
    </w:p>
    <w:p w14:paraId="06BB6355" w14:textId="77777777" w:rsidR="0069176F" w:rsidRDefault="0069176F" w:rsidP="00ED4F9F">
      <w:pPr>
        <w:jc w:val="both"/>
        <w:rPr>
          <w:rFonts w:ascii="Arial" w:hAnsi="Arial" w:cs="Arial"/>
          <w:b/>
          <w:bCs/>
          <w:sz w:val="24"/>
          <w:szCs w:val="24"/>
        </w:rPr>
      </w:pPr>
    </w:p>
    <w:p w14:paraId="38D0D87D" w14:textId="77777777" w:rsidR="0069176F" w:rsidRDefault="0069176F" w:rsidP="00ED4F9F">
      <w:pPr>
        <w:jc w:val="both"/>
        <w:rPr>
          <w:rFonts w:ascii="Arial" w:hAnsi="Arial" w:cs="Arial"/>
          <w:b/>
          <w:bCs/>
          <w:sz w:val="24"/>
          <w:szCs w:val="24"/>
        </w:rPr>
      </w:pPr>
    </w:p>
    <w:p w14:paraId="18F6E3BC" w14:textId="77777777" w:rsidR="0069176F" w:rsidRDefault="0069176F" w:rsidP="00ED4F9F">
      <w:pPr>
        <w:jc w:val="both"/>
        <w:rPr>
          <w:rFonts w:ascii="Arial" w:hAnsi="Arial" w:cs="Arial"/>
          <w:b/>
          <w:bCs/>
          <w:sz w:val="24"/>
          <w:szCs w:val="24"/>
        </w:rPr>
      </w:pPr>
    </w:p>
    <w:p w14:paraId="49611B03" w14:textId="77777777" w:rsidR="0069176F" w:rsidRDefault="0069176F" w:rsidP="00ED4F9F">
      <w:pPr>
        <w:jc w:val="both"/>
        <w:rPr>
          <w:rFonts w:ascii="Arial" w:hAnsi="Arial" w:cs="Arial"/>
          <w:b/>
          <w:bCs/>
          <w:sz w:val="24"/>
          <w:szCs w:val="24"/>
        </w:rPr>
      </w:pPr>
    </w:p>
    <w:p w14:paraId="5B019090" w14:textId="77777777" w:rsidR="0069176F" w:rsidRDefault="0069176F" w:rsidP="00ED4F9F">
      <w:pPr>
        <w:jc w:val="both"/>
        <w:rPr>
          <w:rFonts w:ascii="Arial" w:hAnsi="Arial" w:cs="Arial"/>
          <w:b/>
          <w:bCs/>
          <w:sz w:val="24"/>
          <w:szCs w:val="24"/>
        </w:rPr>
      </w:pPr>
    </w:p>
    <w:p w14:paraId="21528EBC" w14:textId="77777777" w:rsidR="0069176F" w:rsidRDefault="0069176F" w:rsidP="00ED4F9F">
      <w:pPr>
        <w:jc w:val="both"/>
        <w:rPr>
          <w:rFonts w:ascii="Arial" w:hAnsi="Arial" w:cs="Arial"/>
          <w:b/>
          <w:bCs/>
          <w:sz w:val="24"/>
          <w:szCs w:val="24"/>
        </w:rPr>
      </w:pPr>
    </w:p>
    <w:p w14:paraId="1B939E46" w14:textId="77777777" w:rsidR="0069176F" w:rsidRDefault="0069176F" w:rsidP="00ED4F9F">
      <w:pPr>
        <w:jc w:val="both"/>
        <w:rPr>
          <w:rFonts w:ascii="Arial" w:hAnsi="Arial" w:cs="Arial"/>
          <w:b/>
          <w:bCs/>
          <w:sz w:val="24"/>
          <w:szCs w:val="24"/>
        </w:rPr>
      </w:pPr>
    </w:p>
    <w:p w14:paraId="690C8B28" w14:textId="77777777" w:rsidR="0069176F" w:rsidRDefault="0069176F" w:rsidP="00ED4F9F">
      <w:pPr>
        <w:jc w:val="both"/>
        <w:rPr>
          <w:rFonts w:ascii="Arial" w:hAnsi="Arial" w:cs="Arial"/>
          <w:b/>
          <w:bCs/>
          <w:sz w:val="24"/>
          <w:szCs w:val="24"/>
        </w:rPr>
      </w:pPr>
    </w:p>
    <w:p w14:paraId="3369BBEC" w14:textId="77777777" w:rsidR="0069176F" w:rsidRDefault="0069176F" w:rsidP="00ED4F9F">
      <w:pPr>
        <w:jc w:val="both"/>
        <w:rPr>
          <w:rFonts w:ascii="Arial" w:hAnsi="Arial" w:cs="Arial"/>
          <w:b/>
          <w:bCs/>
          <w:sz w:val="24"/>
          <w:szCs w:val="24"/>
        </w:rPr>
      </w:pPr>
    </w:p>
    <w:p w14:paraId="1262CF6D" w14:textId="77777777" w:rsidR="0069176F" w:rsidRDefault="0069176F" w:rsidP="00ED4F9F">
      <w:pPr>
        <w:jc w:val="both"/>
        <w:rPr>
          <w:rFonts w:ascii="Arial" w:hAnsi="Arial" w:cs="Arial"/>
          <w:b/>
          <w:bCs/>
          <w:sz w:val="24"/>
          <w:szCs w:val="24"/>
        </w:rPr>
      </w:pPr>
    </w:p>
    <w:p w14:paraId="1A44D4F4" w14:textId="77777777" w:rsidR="0069176F" w:rsidRDefault="0069176F" w:rsidP="00ED4F9F">
      <w:pPr>
        <w:jc w:val="both"/>
        <w:rPr>
          <w:rFonts w:ascii="Arial" w:hAnsi="Arial" w:cs="Arial"/>
          <w:b/>
          <w:bCs/>
          <w:sz w:val="24"/>
          <w:szCs w:val="24"/>
        </w:rPr>
      </w:pPr>
    </w:p>
    <w:tbl>
      <w:tblPr>
        <w:tblStyle w:val="TableGrid"/>
        <w:tblW w:w="0" w:type="auto"/>
        <w:tblLook w:val="04A0" w:firstRow="1" w:lastRow="0" w:firstColumn="1" w:lastColumn="0" w:noHBand="0" w:noVBand="1"/>
      </w:tblPr>
      <w:tblGrid>
        <w:gridCol w:w="9255"/>
      </w:tblGrid>
      <w:tr w:rsidR="002C4F3C" w14:paraId="09837B2C" w14:textId="77777777" w:rsidTr="0069176F">
        <w:trPr>
          <w:cantSplit/>
          <w:trHeight w:val="10080"/>
        </w:trPr>
        <w:tc>
          <w:tcPr>
            <w:tcW w:w="9255" w:type="dxa"/>
          </w:tcPr>
          <w:p w14:paraId="33C91CE7" w14:textId="77777777" w:rsidR="002C4F3C" w:rsidRDefault="002C4F3C" w:rsidP="00B96070">
            <w:pPr>
              <w:jc w:val="center"/>
              <w:rPr>
                <w:rFonts w:ascii="Arial" w:hAnsi="Arial" w:cs="Arial"/>
                <w:b/>
                <w:bCs/>
                <w:sz w:val="24"/>
                <w:szCs w:val="24"/>
              </w:rPr>
            </w:pPr>
            <w:r>
              <w:rPr>
                <w:rFonts w:ascii="Arial" w:hAnsi="Arial" w:cs="Arial"/>
                <w:b/>
                <w:bCs/>
                <w:sz w:val="24"/>
                <w:szCs w:val="24"/>
              </w:rPr>
              <w:t>Figura 1. Marco de referencia: Movimiento vital</w:t>
            </w:r>
          </w:p>
          <w:p w14:paraId="3B2F05E7" w14:textId="77777777" w:rsidR="002C4F3C" w:rsidRDefault="002C4F3C" w:rsidP="00B96070">
            <w:pPr>
              <w:jc w:val="center"/>
              <w:rPr>
                <w:rFonts w:ascii="Arial" w:hAnsi="Arial" w:cs="Arial"/>
                <w:b/>
                <w:bCs/>
                <w:sz w:val="24"/>
                <w:szCs w:val="24"/>
              </w:rPr>
            </w:pPr>
            <w:r>
              <w:rPr>
                <w:rFonts w:ascii="Arial" w:hAnsi="Arial" w:cs="Arial"/>
                <w:noProof/>
                <w:sz w:val="24"/>
                <w:szCs w:val="24"/>
              </w:rPr>
              <w:drawing>
                <wp:inline distT="0" distB="0" distL="0" distR="0" wp14:anchorId="0DDC91CE" wp14:editId="27A7EAB3">
                  <wp:extent cx="4480560" cy="6084890"/>
                  <wp:effectExtent l="0" t="0" r="0" b="0"/>
                  <wp:docPr id="125848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tretch>
                            <a:fillRect/>
                          </a:stretch>
                        </pic:blipFill>
                        <pic:spPr bwMode="auto">
                          <a:xfrm>
                            <a:off x="0" y="0"/>
                            <a:ext cx="4480560" cy="6084890"/>
                          </a:xfrm>
                          <a:prstGeom prst="rect">
                            <a:avLst/>
                          </a:prstGeom>
                          <a:noFill/>
                          <a:ln>
                            <a:noFill/>
                          </a:ln>
                          <a:extLst>
                            <a:ext uri="{53640926-AAD7-44D8-BBD7-CCE9431645EC}"/>
                          </a:extLst>
                        </pic:spPr>
                      </pic:pic>
                    </a:graphicData>
                  </a:graphic>
                </wp:inline>
              </w:drawing>
            </w:r>
          </w:p>
          <w:p w14:paraId="62A90721" w14:textId="1ED2A547" w:rsidR="002C4F3C" w:rsidRPr="002C4F3C" w:rsidRDefault="002C4F3C" w:rsidP="002C4F3C">
            <w:pPr>
              <w:jc w:val="center"/>
              <w:rPr>
                <w:rFonts w:ascii="Arial" w:hAnsi="Arial" w:cs="Arial"/>
                <w:i/>
                <w:iCs/>
                <w:sz w:val="16"/>
                <w:szCs w:val="16"/>
              </w:rPr>
            </w:pPr>
            <w:r>
              <w:rPr>
                <w:rFonts w:ascii="Arial" w:hAnsi="Arial" w:cs="Arial"/>
                <w:i/>
                <w:iCs/>
                <w:sz w:val="16"/>
                <w:szCs w:val="16"/>
              </w:rPr>
              <w:t>Fuente: elaboración propia. Campos-Bermúdez, L. V. Comité de Programa, Programa de Fisioterapia, Universidad del Cauca, 2026.</w:t>
            </w:r>
          </w:p>
        </w:tc>
      </w:tr>
    </w:tbl>
    <w:p w14:paraId="779C4E43" w14:textId="77777777" w:rsidR="002C4F3C" w:rsidRPr="00B96070" w:rsidRDefault="002C4F3C" w:rsidP="00B96070">
      <w:pPr>
        <w:jc w:val="center"/>
        <w:rPr>
          <w:rFonts w:ascii="Arial" w:hAnsi="Arial" w:cs="Arial"/>
          <w:b/>
          <w:bCs/>
          <w:sz w:val="24"/>
          <w:szCs w:val="24"/>
        </w:rPr>
      </w:pPr>
    </w:p>
    <w:p w14:paraId="00000002" w14:textId="690314B6" w:rsidR="00250F56" w:rsidRPr="00064F34" w:rsidRDefault="008727B7" w:rsidP="00E74A00">
      <w:pPr>
        <w:pStyle w:val="Heading1"/>
        <w:numPr>
          <w:ilvl w:val="0"/>
          <w:numId w:val="1"/>
        </w:numPr>
        <w:spacing w:before="320" w:after="140"/>
        <w:rPr>
          <w:rFonts w:ascii="Arial" w:hAnsi="Arial" w:cs="Arial"/>
          <w:color w:val="000000"/>
          <w:sz w:val="24"/>
          <w:szCs w:val="24"/>
        </w:rPr>
      </w:pPr>
      <w:r>
        <w:rPr>
          <w:rFonts w:ascii="Arial" w:hAnsi="Arial" w:cs="Arial"/>
          <w:color w:val="000000"/>
          <w:sz w:val="24"/>
          <w:szCs w:val="24"/>
        </w:rPr>
        <w:t xml:space="preserve">Componente axiológico: la ética cordial como derrotero de la formación para el acompañamiento de sujetos, familias y comunidades en la experiencia del Movimiento Corporal Humano </w:t>
      </w:r>
    </w:p>
    <w:p w14:paraId="7A124F4B" w14:textId="77777777" w:rsidR="00425400" w:rsidRDefault="00425400">
      <w:pPr>
        <w:spacing w:after="160" w:line="276" w:lineRule="auto"/>
        <w:jc w:val="both"/>
        <w:rPr>
          <w:rFonts w:ascii="Arial" w:hAnsi="Arial" w:cs="Arial"/>
          <w:sz w:val="24"/>
          <w:szCs w:val="24"/>
        </w:rPr>
      </w:pPr>
    </w:p>
    <w:p w14:paraId="1C2D8590" w14:textId="792D36A6" w:rsidR="00425400" w:rsidRDefault="00425400" w:rsidP="00425400">
      <w:pPr>
        <w:pStyle w:val="Heading2"/>
        <w:spacing w:before="220" w:after="100"/>
        <w:rPr>
          <w:rFonts w:ascii="Arial" w:hAnsi="Arial" w:cs="Arial"/>
          <w:color w:val="000000"/>
        </w:rPr>
      </w:pPr>
      <w:r>
        <w:rPr>
          <w:rFonts w:ascii="Arial" w:hAnsi="Arial" w:cs="Arial"/>
          <w:color w:val="000000"/>
        </w:rPr>
        <w:t>La ética de la razón cordial como fundamento del encuentro formativo con el otro.</w:t>
      </w:r>
    </w:p>
    <w:p w14:paraId="6297BFFA" w14:textId="77777777" w:rsidR="008628FF" w:rsidRPr="008628FF" w:rsidRDefault="008628FF" w:rsidP="008628FF"/>
    <w:p w14:paraId="703572CD" w14:textId="2B689A58" w:rsidR="00483D34" w:rsidRDefault="00483D34" w:rsidP="00425400">
      <w:pPr>
        <w:spacing w:after="160" w:line="276" w:lineRule="auto"/>
        <w:jc w:val="both"/>
        <w:rPr>
          <w:rFonts w:ascii="Arial" w:hAnsi="Arial" w:cs="Arial"/>
          <w:sz w:val="24"/>
          <w:szCs w:val="24"/>
        </w:rPr>
      </w:pPr>
      <w:r>
        <w:rPr>
          <w:rFonts w:ascii="Arial" w:hAnsi="Arial" w:cs="Arial"/>
          <w:sz w:val="24"/>
          <w:szCs w:val="24"/>
        </w:rPr>
        <w:t xml:space="preserve">El programa de Fisioterapia de la Universidad del Cauca asume en este proceso de reforma curricular dentro de su componente axiológico un anclaje ético explícito que dé cuenta del tipo de vínculo que se establece entre quien acompaña y quien es acompañado. Es así como la </w:t>
      </w:r>
      <w:r>
        <w:rPr>
          <w:rFonts w:ascii="Arial" w:hAnsi="Arial" w:cs="Arial"/>
          <w:b/>
          <w:bCs/>
          <w:i/>
          <w:iCs/>
          <w:sz w:val="24"/>
          <w:szCs w:val="24"/>
        </w:rPr>
        <w:t>ética de la razón cordial</w:t>
      </w:r>
      <w:r>
        <w:rPr>
          <w:rFonts w:ascii="Arial" w:hAnsi="Arial" w:cs="Arial"/>
          <w:sz w:val="24"/>
          <w:szCs w:val="24"/>
        </w:rPr>
        <w:t xml:space="preserve"> propuesta por Cortina (2007) sostiene que la mera racionalidad y los contratos jurídicos son insuficientes para garantizar una convivencia justa, por lo que es necesario integrar las </w:t>
      </w:r>
      <w:r>
        <w:rPr>
          <w:rFonts w:ascii="Arial" w:hAnsi="Arial" w:cs="Arial"/>
          <w:b/>
          <w:bCs/>
          <w:sz w:val="24"/>
          <w:szCs w:val="24"/>
        </w:rPr>
        <w:t>emociones y los afectos</w:t>
      </w:r>
      <w:r>
        <w:rPr>
          <w:rFonts w:ascii="Arial" w:hAnsi="Arial" w:cs="Arial"/>
          <w:sz w:val="24"/>
          <w:szCs w:val="24"/>
        </w:rPr>
        <w:t xml:space="preserve"> en el comportamiento humano, elementos necesarios dentro de los procesos formativos de fisioterapia, así como en el ejercicio profesional, dado el relacionamiento inherente y permanente con otras personas, familias y comunidades como sujetos de derechos humanos fundamentales.</w:t>
      </w:r>
    </w:p>
    <w:p w14:paraId="4E5EDC9D" w14:textId="4111592D" w:rsidR="00B12D0F" w:rsidRDefault="00425400" w:rsidP="003C3C32">
      <w:pPr>
        <w:spacing w:after="160" w:line="276" w:lineRule="auto"/>
        <w:jc w:val="both"/>
        <w:rPr>
          <w:rFonts w:ascii="Arial" w:hAnsi="Arial" w:cs="Arial"/>
          <w:sz w:val="24"/>
          <w:szCs w:val="24"/>
        </w:rPr>
      </w:pPr>
      <w:r>
        <w:rPr>
          <w:rFonts w:ascii="Arial" w:hAnsi="Arial" w:cs="Arial"/>
          <w:sz w:val="24"/>
          <w:szCs w:val="24"/>
        </w:rPr>
        <w:t xml:space="preserve">El núcleo de esta propuesta reside en el reconocimiento cordial de la igual dignidad de los seres humanos, por lo que Cortina desarrolla desde los años 80 del siglo XX la </w:t>
      </w:r>
      <w:r>
        <w:rPr>
          <w:rFonts w:ascii="Arial" w:hAnsi="Arial" w:cs="Arial"/>
          <w:i/>
          <w:iCs/>
          <w:sz w:val="24"/>
          <w:szCs w:val="24"/>
        </w:rPr>
        <w:t>categoría de la cordialidad</w:t>
      </w:r>
      <w:r>
        <w:rPr>
          <w:rFonts w:ascii="Arial" w:hAnsi="Arial" w:cs="Arial"/>
          <w:sz w:val="24"/>
          <w:szCs w:val="24"/>
        </w:rPr>
        <w:t xml:space="preserve"> retomando la ética desde su sentido más originario de hacer, ser y estar en el mundo. Cortina plantea que la racionalidad reconoce las virtudes como características necesarias de la actuación humana pero que además de conocerlas hay que también quererlas, apreciarlas como algo valioso. De ahí configura la idea de que la cordialidad permite a la ética atender a la constitución integral del ser humano, es decir, al corazón de las razones de la obligación moral que mueven al ser humano a preferir unas cosas sobre otras y con ello crear un vínculo imprescindible entre lo que se quiere hacer y lo que se debe hacer, cuya base reposa en el reconocimiento recíproco de la dignidad de los seres humanos como fines en sí mismos, para reflexionar o cuestionar nuestras propias normas y la posibilidad de llegar a acuerdos justos y escuchar las razones del corazón (Sánchez Pachón, 2015).</w:t>
      </w:r>
    </w:p>
    <w:p w14:paraId="5324E1FE" w14:textId="5D7E930C" w:rsidR="008628FF" w:rsidRDefault="008628FF" w:rsidP="003C3C32">
      <w:pPr>
        <w:spacing w:after="160" w:line="276" w:lineRule="auto"/>
        <w:jc w:val="both"/>
        <w:rPr>
          <w:rFonts w:ascii="Arial" w:hAnsi="Arial" w:cs="Arial"/>
          <w:sz w:val="24"/>
          <w:szCs w:val="24"/>
        </w:rPr>
      </w:pPr>
      <w:r>
        <w:rPr>
          <w:rFonts w:ascii="Arial" w:hAnsi="Arial" w:cs="Arial"/>
          <w:sz w:val="24"/>
          <w:szCs w:val="24"/>
        </w:rPr>
        <w:t xml:space="preserve">Las principales características de la categoría </w:t>
      </w:r>
      <w:r>
        <w:rPr>
          <w:rFonts w:ascii="Arial" w:hAnsi="Arial" w:cs="Arial"/>
          <w:i/>
          <w:iCs/>
          <w:sz w:val="24"/>
          <w:szCs w:val="24"/>
        </w:rPr>
        <w:t>cordialidad</w:t>
      </w:r>
      <w:r>
        <w:rPr>
          <w:rFonts w:ascii="Arial" w:hAnsi="Arial" w:cs="Arial"/>
          <w:sz w:val="24"/>
          <w:szCs w:val="24"/>
        </w:rPr>
        <w:t xml:space="preserve">, desarrollada por Cortina permiten establecer un lenguaje común con los procesos formativos que se priorizan desde el programa de Fisioterapia de la Universidad del Cauca, porque se tejen entre sí (con categorías más amplias de dignidad humana, alteridad y justicia), así como con las referencias epistemológicas que se desarrollan más adelante en este documento, por lo que se precisan: </w:t>
      </w:r>
      <w:r>
        <w:rPr>
          <w:rFonts w:ascii="Arial" w:hAnsi="Arial" w:cs="Arial"/>
          <w:i/>
          <w:iCs/>
          <w:sz w:val="24"/>
          <w:szCs w:val="24"/>
        </w:rPr>
        <w:t>el reconocimiento recíproco, el vínculo y las responsabilidades</w:t>
      </w:r>
      <w:r>
        <w:rPr>
          <w:rFonts w:ascii="Arial" w:hAnsi="Arial" w:cs="Arial"/>
          <w:sz w:val="24"/>
          <w:szCs w:val="24"/>
        </w:rPr>
        <w:t xml:space="preserve"> en la pluralidad unitaria del “nosotros”. </w:t>
      </w:r>
    </w:p>
    <w:p w14:paraId="70BB6BD9" w14:textId="4F8F9516" w:rsidR="00C21A51" w:rsidRDefault="00086FD0" w:rsidP="00B12D0F">
      <w:pPr>
        <w:spacing w:after="160" w:line="276" w:lineRule="auto"/>
        <w:jc w:val="both"/>
        <w:rPr>
          <w:rFonts w:ascii="Arial" w:hAnsi="Arial" w:cs="Arial"/>
          <w:sz w:val="24"/>
          <w:szCs w:val="24"/>
        </w:rPr>
      </w:pPr>
      <w:r>
        <w:rPr>
          <w:rFonts w:ascii="Arial" w:hAnsi="Arial" w:cs="Arial"/>
          <w:sz w:val="24"/>
          <w:szCs w:val="24"/>
        </w:rPr>
        <w:t xml:space="preserve">En el </w:t>
      </w:r>
      <w:r>
        <w:rPr>
          <w:rFonts w:ascii="Arial" w:hAnsi="Arial" w:cs="Arial"/>
          <w:i/>
          <w:iCs/>
          <w:sz w:val="24"/>
          <w:szCs w:val="24"/>
        </w:rPr>
        <w:t>reconocimiento recíproco</w:t>
      </w:r>
      <w:r>
        <w:rPr>
          <w:rFonts w:ascii="Arial" w:hAnsi="Arial" w:cs="Arial"/>
          <w:sz w:val="24"/>
          <w:szCs w:val="24"/>
        </w:rPr>
        <w:t xml:space="preserve"> reposa constitutivamente, según Cortina (como se citó en Almonacid Díaz, 2019), la noción de compasión, la cual no se concibe como una actitud paternalista en la que subyacen ideas de fuerza y debilidad, ni tiene que ver con la lástima, sino que se entiende la compasión como la capacidad de sentir malestar ante el sufrimiento de la injusticia o experimentar alegría o satisfacción cuando alguien recibe un bien, entre quienes se reconocen, saben y sienten como iguales. La compasión enlaza entonces el reconocimiento y el respeto de la dignidad de las personas y sus aspiraciones e ideales de una vida buena, aspiraciones que no deben ser obstaculizadas ni coartadas por ningún otro ser humano, exigencia humana a la que no se debe renunciar. Asimismo, la compasión articula en el reconocimiento recíproco, la necesidad de reconocer la voluntad de los sujetos para decidir sobre las normas comunes y justas que protejan la autonomía como derecho, con especial atención ante las situaciones de vulnerabilidad de los seres humanos. Es en este sentido que la compasión como sentimiento, se imbrica en el reconocimiento recíproco porque se preocupa por lo que es justo (De Tienda Palop, 2019).</w:t>
      </w:r>
    </w:p>
    <w:p w14:paraId="5332F57D" w14:textId="1C4E8866" w:rsidR="00B166CC" w:rsidRDefault="00C21A51" w:rsidP="00B166CC">
      <w:pPr>
        <w:spacing w:after="160" w:line="276" w:lineRule="auto"/>
        <w:jc w:val="both"/>
        <w:rPr>
          <w:rFonts w:ascii="Arial" w:hAnsi="Arial" w:cs="Arial"/>
          <w:sz w:val="24"/>
          <w:szCs w:val="24"/>
        </w:rPr>
      </w:pPr>
      <w:r>
        <w:rPr>
          <w:rFonts w:ascii="Arial" w:hAnsi="Arial" w:cs="Arial"/>
          <w:sz w:val="24"/>
          <w:szCs w:val="24"/>
        </w:rPr>
        <w:t xml:space="preserve">Esta idea de la relación entre la compasión y la justicia da paso a la segunda característica, en tanto, la compasión se compadece del sufrimiento o el gozo del otro, generando un </w:t>
      </w:r>
      <w:r>
        <w:rPr>
          <w:rFonts w:ascii="Arial" w:hAnsi="Arial" w:cs="Arial"/>
          <w:i/>
          <w:iCs/>
          <w:sz w:val="24"/>
          <w:szCs w:val="24"/>
        </w:rPr>
        <w:t>vínculo</w:t>
      </w:r>
      <w:r>
        <w:rPr>
          <w:rFonts w:ascii="Arial" w:hAnsi="Arial" w:cs="Arial"/>
          <w:sz w:val="24"/>
          <w:szCs w:val="24"/>
        </w:rPr>
        <w:t xml:space="preserve">, es decir, esa </w:t>
      </w:r>
      <w:r>
        <w:rPr>
          <w:rFonts w:ascii="Arial" w:hAnsi="Arial" w:cs="Arial"/>
          <w:i/>
          <w:iCs/>
          <w:sz w:val="24"/>
          <w:szCs w:val="24"/>
        </w:rPr>
        <w:t>ligatio</w:t>
      </w:r>
      <w:r>
        <w:rPr>
          <w:rFonts w:ascii="Arial" w:hAnsi="Arial" w:cs="Arial"/>
          <w:sz w:val="24"/>
          <w:szCs w:val="24"/>
        </w:rPr>
        <w:t xml:space="preserve">, que lleva a la </w:t>
      </w:r>
      <w:r>
        <w:rPr>
          <w:rFonts w:ascii="Arial" w:hAnsi="Arial" w:cs="Arial"/>
          <w:i/>
          <w:iCs/>
          <w:sz w:val="24"/>
          <w:szCs w:val="24"/>
        </w:rPr>
        <w:t>obligatio</w:t>
      </w:r>
      <w:r>
        <w:rPr>
          <w:rFonts w:ascii="Arial" w:hAnsi="Arial" w:cs="Arial"/>
          <w:sz w:val="24"/>
          <w:szCs w:val="24"/>
        </w:rPr>
        <w:t>, que supera el deber, al generar el sentimiento de estar ligado al otro, lo que configura la base fundamental de la cohesión social, por su fuerza motivante para generar vínculos plurales (De Tienda Palop, 2019). El vínculo necesariamente posibilita el sentir por y con el no-yo, trascendiendo barreras subjetivas para proyectarse como una preocupación por lo ajeno, para construir desde la intersubjetividad, lo humano de las personas, es decir, estar permanentemente abocado al “afuera”. La intersubjetividad entonces se hilvana por el lenguaje, herramienta comunicativa plural y diversa por excelencia, en la que el vínculo entre seres humanos se manifiesta, se expresa para comunicar lo que es justo o injusto, al hacer posible estimar valores y compadecerse y exigir un reconocimiento vital, material y concreto en la vida de las personas (Almonacid Díaz, 2019).</w:t>
      </w:r>
    </w:p>
    <w:p w14:paraId="59758E9C" w14:textId="77E901F9" w:rsidR="00E629F0" w:rsidRDefault="00A97EA1" w:rsidP="000C4CAB">
      <w:pPr>
        <w:spacing w:after="160" w:line="276" w:lineRule="auto"/>
        <w:jc w:val="both"/>
        <w:rPr>
          <w:rFonts w:ascii="Arial" w:hAnsi="Arial" w:cs="Arial"/>
          <w:sz w:val="24"/>
          <w:szCs w:val="24"/>
        </w:rPr>
      </w:pPr>
      <w:r>
        <w:rPr>
          <w:rFonts w:ascii="Arial" w:hAnsi="Arial" w:cs="Arial"/>
          <w:sz w:val="24"/>
          <w:szCs w:val="24"/>
        </w:rPr>
        <w:t xml:space="preserve">Finalmente, una tercera característica de la propuesta de Cortina que aporta a la formación en fisioterapia es que la cordialidad implica </w:t>
      </w:r>
      <w:r>
        <w:rPr>
          <w:rFonts w:ascii="Arial" w:hAnsi="Arial" w:cs="Arial"/>
          <w:i/>
          <w:iCs/>
          <w:sz w:val="24"/>
          <w:szCs w:val="24"/>
        </w:rPr>
        <w:t>responsabilidades</w:t>
      </w:r>
      <w:r>
        <w:rPr>
          <w:rFonts w:ascii="Arial" w:hAnsi="Arial" w:cs="Arial"/>
          <w:sz w:val="24"/>
          <w:szCs w:val="24"/>
        </w:rPr>
        <w:t xml:space="preserve"> personales y colectivas. La libertad humana de elegir trae consigo consecuencias y es por ello que de la libertad emerge la responsabilidad que toma como objetivo la vida, que trasciende lo personal, para comprometerse con los demás, pues es gracias a los otros que nos constituimos en seres humanos. La educación moral en la responsabilidad, según Cortina, abre la posibilidad de reflexionar, debatir y relacionar la responsabilidad con la solidaridad, en tanto que, si bien en las relaciones de solidaridad subyacen condiciones de asimetría, esto no debe ser un condicionamiento para abocarse a la defensa y el reconocimiento del ser humano como un fin en sí mismo, es decir valioso en sí mismo y no solo valioso por el beneficio que puede aportar a la colectividad (Almonacid Díaz, 2019).</w:t>
      </w:r>
    </w:p>
    <w:p w14:paraId="40F928CE" w14:textId="0EEA3A87" w:rsidR="006706E3" w:rsidRDefault="006706E3" w:rsidP="000C4CAB">
      <w:pPr>
        <w:spacing w:after="160" w:line="276" w:lineRule="auto"/>
        <w:jc w:val="both"/>
        <w:rPr>
          <w:rFonts w:ascii="Arial" w:hAnsi="Arial" w:cs="Arial"/>
          <w:sz w:val="24"/>
          <w:szCs w:val="24"/>
        </w:rPr>
      </w:pPr>
      <w:r>
        <w:rPr>
          <w:rFonts w:ascii="Arial" w:hAnsi="Arial" w:cs="Arial"/>
          <w:sz w:val="24"/>
          <w:szCs w:val="24"/>
        </w:rPr>
        <w:t>Es así como la ética de la razón cordial planteada por Cortina aporta elementos teóricos para interpretar las experiencias inmanentes que se manifiestan en el encuentro formativo con el otro y, a futuro, de este con el otro en su ejercicio profesional, de tal forma que el programa de Fisioterapia de la Universidad del Cauca podrá plantear propuestas concretas que aporten para reducir la desigualdad, para promover la educación y para cultivar la hospitalidad a través de la comprensión amplia e integradora de su referente epistemológico: el movimiento corporal humano.</w:t>
      </w:r>
    </w:p>
    <w:p w14:paraId="61038FA2" w14:textId="77777777" w:rsidR="00A972CB" w:rsidRDefault="00A972CB">
      <w:pPr>
        <w:spacing w:after="160" w:line="276" w:lineRule="auto"/>
        <w:jc w:val="both"/>
        <w:rPr>
          <w:rFonts w:ascii="Arial" w:hAnsi="Arial" w:cs="Arial"/>
          <w:sz w:val="24"/>
          <w:szCs w:val="24"/>
        </w:rPr>
      </w:pPr>
    </w:p>
    <w:p w14:paraId="3AA337CE" w14:textId="2BFFF2D5" w:rsidR="008727B7" w:rsidRPr="00064F34" w:rsidRDefault="008727B7" w:rsidP="0049138C">
      <w:pPr>
        <w:pStyle w:val="Heading1"/>
        <w:numPr>
          <w:ilvl w:val="0"/>
          <w:numId w:val="1"/>
        </w:numPr>
        <w:spacing w:before="320" w:after="140"/>
        <w:rPr>
          <w:rFonts w:ascii="Arial" w:hAnsi="Arial" w:cs="Arial"/>
          <w:color w:val="000000"/>
          <w:sz w:val="24"/>
          <w:szCs w:val="24"/>
        </w:rPr>
      </w:pPr>
      <w:r>
        <w:rPr>
          <w:rFonts w:ascii="Arial" w:hAnsi="Arial" w:cs="Arial"/>
          <w:color w:val="000000"/>
          <w:sz w:val="24"/>
          <w:szCs w:val="24"/>
        </w:rPr>
        <w:t>Componente epistemológico: Fundamentos teóricos y conceptuales del Movimiento Corporal Humano como objeto de estudio disciplinar</w:t>
      </w:r>
    </w:p>
    <w:p w14:paraId="5A644050" w14:textId="77777777" w:rsidR="0048174A" w:rsidRDefault="0048174A" w:rsidP="0049138C">
      <w:pPr>
        <w:spacing w:after="160" w:line="276" w:lineRule="auto"/>
        <w:jc w:val="both"/>
        <w:rPr>
          <w:rFonts w:ascii="Arial" w:hAnsi="Arial" w:cs="Arial"/>
          <w:sz w:val="24"/>
          <w:szCs w:val="24"/>
        </w:rPr>
      </w:pPr>
    </w:p>
    <w:p w14:paraId="7BAD9FD3" w14:textId="4AD3F7C0" w:rsidR="00425400" w:rsidRPr="00064F34" w:rsidRDefault="00000000" w:rsidP="00425400">
      <w:pPr>
        <w:spacing w:after="160" w:line="276" w:lineRule="auto"/>
        <w:jc w:val="both"/>
        <w:rPr>
          <w:rFonts w:ascii="Arial" w:hAnsi="Arial" w:cs="Arial"/>
          <w:sz w:val="24"/>
          <w:szCs w:val="24"/>
        </w:rPr>
      </w:pPr>
      <w:r>
        <w:rPr>
          <w:rFonts w:ascii="Arial" w:hAnsi="Arial" w:cs="Arial"/>
          <w:sz w:val="24"/>
          <w:szCs w:val="24"/>
        </w:rPr>
        <w:t xml:space="preserve">Los fundamentos filosóficos y antropológicos responden a la pregunta ontológica por el ser del objeto disciplinar ¿qué es el movimiento cuando hablamos del ser humano? A este eje de reflexión crítica permanente en la formación de estudiantes de fisioterapia se articula la necesidad de cimentar tres cuestiones fundamentales en cuanto al sustento epistemológico de la formación: i. qué se entiende por su objeto de estudio; ii. cómo se conoce ese objeto y iii. con qué finalidad se forma al profesional. El programa de Fisioterapia de la Universidad del Cauca asume el Movimiento Corporal Humano (MCH) como objeto de estudio disciplinar y despliega, a partir de él, los fundamentos filosóficos, antropológicos, epistemológicos, pedagógicos, curriculares y sociales que sostienen la propuesta formativa del programa y el propósito de que los egresados contribuyan al bienestar social de las personas, familias y comunidades por medio de una gestión integral del movimiento corporal humano en todas las dimensiones de la vida. </w:t>
      </w:r>
    </w:p>
    <w:p w14:paraId="5271743C" w14:textId="1948439F" w:rsidR="0048174A" w:rsidRDefault="0048174A" w:rsidP="0048174A">
      <w:pPr>
        <w:spacing w:after="160" w:line="276" w:lineRule="auto"/>
        <w:jc w:val="both"/>
        <w:rPr>
          <w:rFonts w:ascii="Arial" w:hAnsi="Arial" w:cs="Arial"/>
          <w:sz w:val="24"/>
          <w:szCs w:val="24"/>
        </w:rPr>
      </w:pPr>
      <w:r>
        <w:rPr>
          <w:rFonts w:ascii="Arial" w:hAnsi="Arial" w:cs="Arial"/>
          <w:sz w:val="24"/>
          <w:szCs w:val="24"/>
        </w:rPr>
        <w:t>El programa de Fisioterapia de la Universidad del Cauca reconoce que a lo largo del desarrollo histórico de la profesión las diversas teorías que sustentan la idea de movimiento son complementarias, y sus aspectos conceptuales se asumen a lo largo del plan de estudios en los diferentes procesos de formación, para comprender el movimiento corporal humano como parte de la concepción histórica, económica, cultural, antropológica y sociológica de las personas, familias y comunidades, donde confluyen diversos saberes para su estructuración. En el actual proceso de reforma curricular se apostará por un giro comprensivo del movimiento corporal humano dándole lugar a los planteamientos teóricos desde las ciencias humanas, sociales y de la educación, sin desconocer el fundamento que históricamente han aportado las ciencias naturales y exactas y que siguen siendo pilar estructurante, pero no absoluto para el devenir de la profesión como disciplina.</w:t>
      </w:r>
    </w:p>
    <w:p w14:paraId="7BAB8399" w14:textId="3B90532A" w:rsidR="00483D34" w:rsidRDefault="00EA577A" w:rsidP="0048174A">
      <w:pPr>
        <w:spacing w:after="160" w:line="276" w:lineRule="auto"/>
        <w:jc w:val="both"/>
        <w:rPr>
          <w:rFonts w:ascii="Arial" w:hAnsi="Arial" w:cs="Arial"/>
          <w:sz w:val="24"/>
          <w:szCs w:val="24"/>
        </w:rPr>
      </w:pPr>
      <w:r>
        <w:rPr>
          <w:rFonts w:ascii="Arial" w:hAnsi="Arial" w:cs="Arial"/>
          <w:sz w:val="24"/>
          <w:szCs w:val="24"/>
        </w:rPr>
        <w:t>En este sentido, se presentan en primer lugar los planteamientos teóricos aportados por el Modelo de Cuerpo situado de Prieto (2005), los desarrollos conceptuales del con-tacto relacional de Torres Andrade (2017), los elementos teóricos de los sentidos de las prácticas que enriquecen los currículos de Jácome Velasco et al. (2020) y los elementos teóricos sobre la empatía para la comprensión de las capacidades en el mundo de la vida de Vernaza-Pinzón (2025). En segundo lugar, se hará una mención puntual, sin pretender su desarrollo a profundidad, de los planteamientos teóricos soportados en la comprensión biomédica del movimiento corporal humano, como lo son la teoría de la patokinesiología de Hislop (1975), la teoría del movimiento continuo propuesta por Cott et al. (1995) y la teoría de los sistemas sociales de Luhmann (1998).</w:t>
      </w:r>
    </w:p>
    <w:p w14:paraId="2F2A04E2" w14:textId="53DA655C" w:rsidR="00233549" w:rsidRDefault="00A97E71" w:rsidP="00A97E71">
      <w:pPr>
        <w:spacing w:after="160" w:line="276" w:lineRule="auto"/>
        <w:jc w:val="both"/>
        <w:rPr>
          <w:rFonts w:ascii="Arial" w:hAnsi="Arial" w:cs="Arial"/>
          <w:sz w:val="24"/>
          <w:szCs w:val="24"/>
        </w:rPr>
      </w:pPr>
      <w:r>
        <w:rPr>
          <w:rFonts w:ascii="Arial" w:hAnsi="Arial" w:cs="Arial"/>
          <w:sz w:val="24"/>
          <w:szCs w:val="24"/>
        </w:rPr>
        <w:t xml:space="preserve">El paradigma biomédico ha aportado herramientas extraordinariamente valiosas para comprender estructuras y mecanismos fisiopatológicos, y la Fisioterapia no puede prescindir de ese conocimiento, no obstante, el conocimiento del movimiento corporal humano no se erige exclusivamente en el saber biomédico. Durante buena parte de la historia de la Fisioterapia como profesión, esta edificó su identidad alrededor de </w:t>
      </w:r>
      <w:r>
        <w:rPr>
          <w:rFonts w:ascii="Arial" w:hAnsi="Arial" w:cs="Arial"/>
          <w:color w:val="000000"/>
          <w:sz w:val="24"/>
          <w:szCs w:val="24"/>
        </w:rPr>
        <w:t>documentar, teorizar, actualizar las perspectivas conceptuales y prácticas del cuerpo y el movimiento desde su desarrollo filogenético</w:t>
      </w:r>
      <w:r>
        <w:rPr>
          <w:rFonts w:ascii="Arial" w:hAnsi="Arial" w:cs="Arial"/>
          <w:sz w:val="24"/>
          <w:szCs w:val="24"/>
        </w:rPr>
        <w:t>, con frecuencia bajo marcos teóricos positivistas, que si bien han permitido alcanzar grandes desarrollos y bases académico científicas desde la linealidad y jerarquía de los procesos terapéuticos siguiendo parámetros estandarizados y criterios de eficiencia, optimización, recuperación y mantenimiento, todavía se debe profundizar en el desarrollo ontogénico de la profesión desde marcos teóricos fundamentados en las ciencias sociales.</w:t>
      </w:r>
    </w:p>
    <w:p w14:paraId="1034A985" w14:textId="049749BA" w:rsidR="00BF634F" w:rsidRPr="006B07A4" w:rsidRDefault="006B07A4" w:rsidP="00A97E71">
      <w:pPr>
        <w:spacing w:after="160" w:line="276" w:lineRule="auto"/>
        <w:jc w:val="both"/>
        <w:rPr>
          <w:rFonts w:ascii="Arial" w:hAnsi="Arial" w:cs="Arial"/>
          <w:sz w:val="24"/>
          <w:szCs w:val="24"/>
        </w:rPr>
      </w:pPr>
      <w:r>
        <w:rPr>
          <w:rFonts w:ascii="Arial" w:hAnsi="Arial" w:cs="Arial"/>
          <w:sz w:val="24"/>
          <w:szCs w:val="24"/>
        </w:rPr>
        <w:t xml:space="preserve">Comprender el cuerpo-movimiento corporal humano desde el campo de las ciencias sociales, permite ampliar los procesos de construcción de pensamiento crítico, autonomía, autodeterminación, identidad de sujetos que enseñan y aprenden mutuamente y a generar procesos de transformación social en las relaciones éticas, políticas, académicas, culturales que construye el ser humano con otros sujetos y con su entorno cotidiano. Por ello, la</w:t>
      </w:r>
      <w:r>
        <w:rPr>
          <w:rFonts w:ascii="Arial" w:hAnsi="Arial" w:cs="Arial"/>
          <w:color w:val="000000"/>
          <w:sz w:val="24"/>
          <w:szCs w:val="24"/>
        </w:rPr>
        <w:t xml:space="preserve"> comprensión ontogenética de la fisioterapia es necesaria y urgente, pues su poco desarrollo interior ha limitado el alcance de las acciones de la fisioterapia de manera colectiva y poblacional para personas, familias, comunidades en el marco del sistema de salud. </w:t>
      </w:r>
    </w:p>
    <w:p w14:paraId="4989EEA8" w14:textId="3AF419FF" w:rsidR="00A97E71" w:rsidRDefault="00A97E71" w:rsidP="00A97E71">
      <w:pPr>
        <w:spacing w:after="160" w:line="276" w:lineRule="auto"/>
        <w:jc w:val="both"/>
        <w:rPr>
          <w:rFonts w:ascii="Arial" w:hAnsi="Arial" w:cs="Arial"/>
          <w:sz w:val="24"/>
          <w:szCs w:val="24"/>
        </w:rPr>
      </w:pPr>
      <w:r>
        <w:rPr>
          <w:rFonts w:ascii="Arial" w:hAnsi="Arial" w:cs="Arial"/>
          <w:sz w:val="24"/>
          <w:szCs w:val="24"/>
        </w:rPr>
        <w:t xml:space="preserve">Reconocer el cuerpo situado implica reconocer epistemológicamente que el conocimiento fisioterapéutico del movimiento requiere articular la observación del movimiento con la experiencia de quien se mueve. Por ello, los planteamientos del Modelo de cuerpo situado (Prieto, 2005) aportan a la comprensión del movimiento de </w:t>
      </w:r>
      <w:r>
        <w:rPr>
          <w:rFonts w:ascii="Arial" w:hAnsi="Arial" w:cs="Arial"/>
          <w:color w:val="000000"/>
          <w:sz w:val="24"/>
          <w:szCs w:val="24"/>
        </w:rPr>
        <w:t>cuerpos situados en su realidad histórica, cultural, contextual y social, fortaleciendo así una perspectiva integradora y de resignificación del cuerpo y el movimiento</w:t>
      </w:r>
      <w:r>
        <w:rPr>
          <w:rFonts w:ascii="Arial" w:hAnsi="Arial" w:cs="Arial"/>
          <w:sz w:val="24"/>
          <w:szCs w:val="24"/>
        </w:rPr>
        <w:t xml:space="preserve"> (Le Breton, 2011; Morales-Caro y Torres-Baquero, 2013; Pedraza, 2005).</w:t>
      </w:r>
    </w:p>
    <w:p w14:paraId="14F5D12A" w14:textId="419612AB" w:rsidR="003E309E" w:rsidRDefault="005D3127" w:rsidP="00FC28BB">
      <w:pPr>
        <w:spacing w:after="160" w:line="276" w:lineRule="auto"/>
        <w:jc w:val="both"/>
        <w:rPr>
          <w:rFonts w:ascii="Arial" w:hAnsi="Arial" w:cs="Arial"/>
          <w:sz w:val="24"/>
          <w:szCs w:val="24"/>
        </w:rPr>
      </w:pPr>
      <w:r>
        <w:rPr>
          <w:rFonts w:ascii="Arial" w:hAnsi="Arial" w:cs="Arial"/>
          <w:sz w:val="24"/>
          <w:szCs w:val="24"/>
        </w:rPr>
        <w:t xml:space="preserve">El </w:t>
      </w:r>
      <w:r>
        <w:rPr>
          <w:rFonts w:ascii="Arial" w:hAnsi="Arial" w:cs="Arial"/>
          <w:b/>
          <w:bCs/>
          <w:i/>
          <w:iCs/>
          <w:sz w:val="24"/>
          <w:szCs w:val="24"/>
        </w:rPr>
        <w:t>Modelo de cuerpo situado</w:t>
      </w:r>
      <w:r>
        <w:rPr>
          <w:rFonts w:ascii="Arial" w:hAnsi="Arial" w:cs="Arial"/>
          <w:sz w:val="24"/>
          <w:szCs w:val="24"/>
        </w:rPr>
        <w:t xml:space="preserve"> (Prieto, 2005) plantea una interpretación comprensiva del cuerpo como ser situado corporalmente en el mundo y asume el movimiento corporal como expresión de esa realidad que se experimenta, y es de esa manera que el movimiento encarnado permite la construcción de sentidos y posibilidades de acción dotadas de sentidos, emociones, intencionalidad, sensibilidad, capacidad creativa, a partir de sus procesos experienciales, no sólo para quien se mueve sino también en su relacionamiento con otros sujetos. Es así como el </w:t>
      </w:r>
      <w:r>
        <w:rPr>
          <w:rFonts w:ascii="Arial" w:hAnsi="Arial" w:cs="Arial"/>
          <w:i/>
          <w:iCs/>
          <w:sz w:val="24"/>
          <w:szCs w:val="24"/>
        </w:rPr>
        <w:t>Modelo cuerpo situado</w:t>
      </w:r>
      <w:r>
        <w:rPr>
          <w:rFonts w:ascii="Arial" w:hAnsi="Arial" w:cs="Arial"/>
          <w:sz w:val="24"/>
          <w:szCs w:val="24"/>
        </w:rPr>
        <w:t xml:space="preserve">, plantea la necesidad de reconocer la condición subjetiva del sujeto y de su relación y construcción de sentidos con otras y otros, para lo que precisa reconocer la naturaleza corpórea como una de las categorías centrales del modelo. La expresión a través del movimiento implica que este debe corresponderse con el cuerpo como posibilidad de sujeto que es y está para los demás, es decir, denota la acción de presencia, de comunicación y reconocimiento personal y del otro. </w:t>
      </w:r>
    </w:p>
    <w:p w14:paraId="3F2B7775" w14:textId="4B1EA417" w:rsidR="00A97E71" w:rsidRDefault="00A97E71" w:rsidP="00A97E71">
      <w:pPr>
        <w:spacing w:after="160" w:line="276" w:lineRule="auto"/>
        <w:jc w:val="both"/>
        <w:rPr>
          <w:rFonts w:ascii="Arial" w:hAnsi="Arial" w:cs="Arial"/>
          <w:sz w:val="24"/>
          <w:szCs w:val="24"/>
        </w:rPr>
      </w:pPr>
      <w:r>
        <w:rPr>
          <w:rFonts w:ascii="Arial" w:hAnsi="Arial" w:cs="Arial"/>
          <w:sz w:val="24"/>
          <w:szCs w:val="24"/>
        </w:rPr>
        <w:t xml:space="preserve">El Modelo sostiene que en el cuerpo-movimiento, como expresión que se concreta en la naturaleza corpórea del sujeto, que se reconoce en el </w:t>
      </w:r>
      <w:r>
        <w:rPr>
          <w:rFonts w:ascii="Arial" w:hAnsi="Arial" w:cs="Arial"/>
          <w:i/>
          <w:iCs/>
          <w:sz w:val="24"/>
          <w:szCs w:val="24"/>
        </w:rPr>
        <w:t xml:space="preserve">ethos </w:t>
      </w:r>
      <w:r>
        <w:rPr>
          <w:rFonts w:ascii="Arial" w:hAnsi="Arial" w:cs="Arial"/>
          <w:sz w:val="24"/>
          <w:szCs w:val="24"/>
        </w:rPr>
        <w:t xml:space="preserve">de su existencia e incorpora en ella lo social, se entreteje la constitución de la intersubjetividad, a través de la cual, el sujeto logra construir identidad y pone en juicio su posibilidad y potencialidad de actuar o participar, como dispositivo que dinamiza y transforma la esfera ética, social y política. Así se fortalece la noción cuerpo ser en el mundo como posibilidad de construir un proyecto personal, con y para otros, que se expresa en las acciones y situaciones del sujeto, en el mundo social y político. Así surge la noción cuerpo-sujeto que, puesto en la realidad social, asume renuncias y victorias a sus propios deseos con miras a un fin para la acción que también es colectiva. De allí emergen las categorías </w:t>
      </w:r>
      <w:r>
        <w:rPr>
          <w:rFonts w:ascii="Arial" w:hAnsi="Arial" w:cs="Arial"/>
          <w:i/>
          <w:iCs/>
          <w:sz w:val="24"/>
          <w:szCs w:val="24"/>
        </w:rPr>
        <w:t xml:space="preserve">reconocer-se, relacionar-se </w:t>
      </w:r>
      <w:r>
        <w:rPr>
          <w:rFonts w:ascii="Arial" w:hAnsi="Arial" w:cs="Arial"/>
          <w:sz w:val="24"/>
          <w:szCs w:val="24"/>
        </w:rPr>
        <w:t xml:space="preserve">y </w:t>
      </w:r>
      <w:r>
        <w:rPr>
          <w:rFonts w:ascii="Arial" w:hAnsi="Arial" w:cs="Arial"/>
          <w:i/>
          <w:iCs/>
          <w:sz w:val="24"/>
          <w:szCs w:val="24"/>
        </w:rPr>
        <w:t>transformar-se</w:t>
      </w:r>
      <w:r>
        <w:rPr>
          <w:rFonts w:ascii="Arial" w:hAnsi="Arial" w:cs="Arial"/>
          <w:sz w:val="24"/>
          <w:szCs w:val="24"/>
        </w:rPr>
        <w:t>. Reconocer-se implicará para el cuerpo situado procesos de reflexión, en tanto relacionar-se le implicará procesos de acercamiento y transformar-se le implicará ser parte, tener parte en procesos de renovación.</w:t>
      </w:r>
    </w:p>
    <w:p w14:paraId="6D99392E" w14:textId="4F8AA56F" w:rsidR="00A97E71" w:rsidRPr="00064F34" w:rsidRDefault="00A97E71" w:rsidP="00A97E71">
      <w:pPr>
        <w:spacing w:after="160" w:line="276" w:lineRule="auto"/>
        <w:jc w:val="both"/>
        <w:rPr>
          <w:rFonts w:ascii="Arial" w:hAnsi="Arial" w:cs="Arial"/>
          <w:sz w:val="24"/>
          <w:szCs w:val="24"/>
        </w:rPr>
      </w:pPr>
      <w:r>
        <w:rPr>
          <w:rFonts w:ascii="Arial" w:hAnsi="Arial" w:cs="Arial"/>
          <w:sz w:val="24"/>
          <w:szCs w:val="24"/>
        </w:rPr>
        <w:t xml:space="preserve">Por su parte, los desarrollos teórico-conceptuales sobre </w:t>
      </w:r>
      <w:r>
        <w:rPr>
          <w:rFonts w:ascii="Arial" w:hAnsi="Arial" w:cs="Arial"/>
          <w:b/>
          <w:bCs/>
          <w:i/>
          <w:iCs/>
          <w:sz w:val="24"/>
          <w:szCs w:val="24"/>
        </w:rPr>
        <w:t>el contacto relacional</w:t>
      </w:r>
      <w:r>
        <w:rPr>
          <w:rFonts w:ascii="Arial" w:hAnsi="Arial" w:cs="Arial"/>
          <w:sz w:val="24"/>
          <w:szCs w:val="24"/>
        </w:rPr>
        <w:t xml:space="preserve"> (Torres Andrade, 2017; Torres Andrade y Jaramillo Echeverri, 2016) se plantean desde una mirada ético-pedagógica del encuentro formativo en fisioterapia. Este enfoque pedagógico pretende distinguir el contacto físico, entendido como tacto instrumental, del con-tacto relacional, entendido como tacto en compañía, este último entendido como una relación de encuentro que alberga al otro sin obturar su singularidad. Siguiendo a Van Manen (1998), el prefijo </w:t>
      </w:r>
      <w:r>
        <w:rPr>
          <w:rFonts w:ascii="Arial" w:hAnsi="Arial" w:cs="Arial"/>
          <w:i/>
          <w:iCs/>
          <w:sz w:val="24"/>
          <w:szCs w:val="24"/>
        </w:rPr>
        <w:t>con</w:t>
      </w:r>
      <w:r>
        <w:rPr>
          <w:rFonts w:ascii="Arial" w:hAnsi="Arial" w:cs="Arial"/>
          <w:sz w:val="24"/>
          <w:szCs w:val="24"/>
        </w:rPr>
        <w:t xml:space="preserve"> expresa tacto con el otro, de modo que respetar la dignidad y la subjetividad ajenas se convierte en condición del acto terapéutico y pedagógico.</w:t>
      </w:r>
    </w:p>
    <w:p w14:paraId="2A338E9A" w14:textId="77777777" w:rsidR="00A97E71" w:rsidRPr="00064F34" w:rsidRDefault="00A97E71" w:rsidP="00A97E71">
      <w:pPr>
        <w:spacing w:after="160" w:line="276" w:lineRule="auto"/>
        <w:jc w:val="both"/>
        <w:rPr>
          <w:rFonts w:ascii="Arial" w:hAnsi="Arial" w:cs="Arial"/>
          <w:sz w:val="24"/>
          <w:szCs w:val="24"/>
        </w:rPr>
      </w:pPr>
      <w:r>
        <w:rPr>
          <w:rFonts w:ascii="Arial" w:hAnsi="Arial" w:cs="Arial"/>
          <w:sz w:val="24"/>
          <w:szCs w:val="24"/>
        </w:rPr>
        <w:t>La investigación sobre los procesos de contacto en la formación de fisioterapeutas identifica tres categorías que resultan especialmente útiles para el diseño curricular (Torres Andrade y Jaramillo Echeverri, 2016). La primera, una teoría que empodera, muestra cómo la teoría otorga seguridad al estudiante, pero puede quedar escindida de la experiencia vivida cuando el currículo privilegia el contenido sobre la sensibilidad. La segunda, el cuerpo como instrumento de aprendizaje, advierte el riesgo de un cuerpo didáctico que se traslapa o se esconde al ser utilizado como objeto para practicar técnicas, reduciendo la mano a un acto mecánico que rehabilita lo físico y pierde su capacidad de expresión sensible. La tercera, los rostros del con-tacto, revela un cuerpo con historia, un cuerpo biográfico y no meramente anatómico, que emerge por los intersticios del currículo cuando se abren espacios para el diálogo y para narrar la propia experiencia. Estas categorías, leídas desde la alteridad y desde la reflexión sobre la mano como órgano de formación sensible, invitan a permear la estructura curricular con saberes pedagógicos incluyentes.</w:t>
      </w:r>
    </w:p>
    <w:p w14:paraId="16F26B36" w14:textId="14F96A78" w:rsidR="00A97E71" w:rsidRDefault="00A97E71" w:rsidP="00A97E71">
      <w:pPr>
        <w:spacing w:after="160" w:line="276" w:lineRule="auto"/>
        <w:jc w:val="both"/>
        <w:rPr>
          <w:rFonts w:ascii="Arial" w:hAnsi="Arial" w:cs="Arial"/>
          <w:sz w:val="24"/>
          <w:szCs w:val="24"/>
        </w:rPr>
      </w:pPr>
      <w:r>
        <w:rPr>
          <w:rFonts w:ascii="Arial" w:hAnsi="Arial" w:cs="Arial"/>
          <w:sz w:val="24"/>
          <w:szCs w:val="24"/>
        </w:rPr>
        <w:t>De esta comprensión se deriva un principio pedagógico y ético que el programa hace suyo donde las relaciones de contacto en salud no se circunscriben a terapias que se enseñan imitando una acción, sino acompañando un gesto. Formar en Fisioterapia no equivale a adiestrar en la reproducción exacta de un procedimiento, sino a cultivar una habilidad sensible que se desarrolla en el tiempo mismo de la acción y que reconoce al otro, mal llamado paciente, como cuerpo propio que demanda cuidado. El contacto relacional articula así el cuerpo situado del apartado anterior con la práctica formativa que convierte el encuentro clínico en un encuentro entre sujetos corporales, y la intervención deja de ser una acción sobre el cuerpo para transformarse progresivamente en una acción con la persona (Normann, 2020).</w:t>
      </w:r>
    </w:p>
    <w:p w14:paraId="1CEBA80B" w14:textId="35B260CA" w:rsidR="00C20697" w:rsidRPr="00577A64" w:rsidRDefault="00402551" w:rsidP="00C20697">
      <w:pPr>
        <w:spacing w:after="160" w:line="276" w:lineRule="auto"/>
        <w:jc w:val="both"/>
        <w:rPr>
          <w:rFonts w:ascii="Arial" w:hAnsi="Arial" w:cs="Arial"/>
          <w:sz w:val="24"/>
          <w:szCs w:val="24"/>
        </w:rPr>
      </w:pPr>
      <w:r>
        <w:rPr>
          <w:rFonts w:ascii="Arial" w:hAnsi="Arial" w:cs="Arial"/>
          <w:sz w:val="24"/>
          <w:szCs w:val="24"/>
        </w:rPr>
        <w:t xml:space="preserve">Por su parte, Jácome Velasco et al. (2020) plantean que los procesos formativos que vinculan la educación y la salud permiten que los estudiantes universitarios desarrollen un aprendizaje más humano y contextualizado, transformando la rigidez estructural de los planes de estudio tradicionales. Para ello, los </w:t>
      </w:r>
      <w:r>
        <w:rPr>
          <w:rFonts w:ascii="Arial" w:hAnsi="Arial" w:cs="Arial"/>
          <w:b/>
          <w:bCs/>
          <w:i/>
          <w:iCs/>
          <w:sz w:val="24"/>
          <w:szCs w:val="24"/>
        </w:rPr>
        <w:t>sentidos otorgados a las prácticas formativas que emergen de las experiencias vividas</w:t>
      </w:r>
      <w:r>
        <w:rPr>
          <w:rFonts w:ascii="Arial" w:hAnsi="Arial" w:cs="Arial"/>
          <w:sz w:val="24"/>
          <w:szCs w:val="24"/>
        </w:rPr>
        <w:t xml:space="preserve"> de los sujetos recaen sobre sí y el otro por medio de acciones comunicativas de escucha y contacto. En este sentido, las principales categorías desarrolladas por los autores son la </w:t>
      </w:r>
      <w:r>
        <w:rPr>
          <w:rFonts w:ascii="Arial" w:hAnsi="Arial" w:cs="Arial"/>
          <w:i/>
          <w:iCs/>
          <w:sz w:val="24"/>
          <w:szCs w:val="24"/>
        </w:rPr>
        <w:t>proximidad para el otro y la escucha sentida</w:t>
      </w:r>
      <w:r>
        <w:rPr>
          <w:rFonts w:ascii="Arial" w:hAnsi="Arial" w:cs="Arial"/>
          <w:sz w:val="24"/>
          <w:szCs w:val="24"/>
        </w:rPr>
        <w:t xml:space="preserve">. Así, la proximidad es entendida de manera relacional respecto a cómo existe un encuentro de los estudiantes con los pacientes, sus familias, comunidades, profesionales, colegas, docentes y personal administrativo; pero también, consigo mismo, lo que lleva a una autopercepción como humano en contexto con un otro que está en contacto. Esta proximidad se basa en el principio de alteridad planteado por Emmanuel Lévinas, asumiendo una postura ética de "uno-para-el-otro". El encuentro se concibe desde una asimetría acompañada de responsabilidad ética hacia un sujeto que no puede ser reducido ni dominado por el profesional. En esa proximidad, la comunicación se entiende como un acto esencialmente afectivo. La relación terapéutica atiende no solo las dolencias físicas, sino también las implicaciones emocionales, existenciales y las búsquedas de buen vivir del paciente. Requiere también, que los estudiantes crezcan en el ámbito personal, aprendiendo a gestionar sus emociones y a construir un espacio de confianza y convivencia pacífica en sus trayectorias formativas. </w:t>
      </w:r>
    </w:p>
    <w:p w14:paraId="2D893749" w14:textId="2E08ECE3" w:rsidR="00577A64" w:rsidRPr="00577A64" w:rsidRDefault="00A97E71" w:rsidP="00894025">
      <w:pPr>
        <w:tabs>
          <w:tab w:val="num" w:pos="720"/>
        </w:tabs>
        <w:spacing w:after="160" w:line="276" w:lineRule="auto"/>
        <w:jc w:val="both"/>
        <w:rPr>
          <w:rFonts w:ascii="Arial" w:hAnsi="Arial" w:cs="Arial"/>
          <w:sz w:val="24"/>
          <w:szCs w:val="24"/>
        </w:rPr>
      </w:pPr>
      <w:r>
        <w:rPr>
          <w:rFonts w:ascii="Arial" w:hAnsi="Arial" w:cs="Arial"/>
          <w:sz w:val="24"/>
          <w:szCs w:val="24"/>
        </w:rPr>
        <w:t>La escucha sentida implica ir más allá de la rehabilitación de los cuerpos, dando la posibilidad de una formación humana que, además de ayudarlos a ser mejores profesionales, contribuye a una relación ética trascendente. La escucha sentida, referida también como una escucha vivida-en-cuanto-sentida, plantea un ejercicio comunicativo y corporal que supera la mera recepción sensorial biológica y se asume como una postura ética de acogida e interacción de primer orden dentro del cuidado en salud. El contacto manual se integra con la palabra y el silencio para dar lugar a una praxis con sentido, pues entiende que el cuerpo es una corporeidad encarnada en un territorio, portadora de historia, cultura y experiencias vividas (Jácome Velasco et al., 2020).</w:t>
      </w:r>
    </w:p>
    <w:p w14:paraId="0414E27C" w14:textId="21DE7A1E" w:rsidR="00577A64" w:rsidRDefault="00577A64" w:rsidP="00CA5CE7">
      <w:pPr>
        <w:spacing w:after="160" w:line="276" w:lineRule="auto"/>
        <w:jc w:val="both"/>
        <w:rPr>
          <w:rFonts w:ascii="Arial" w:hAnsi="Arial" w:cs="Arial"/>
          <w:sz w:val="24"/>
          <w:szCs w:val="24"/>
        </w:rPr>
      </w:pPr>
      <w:r>
        <w:rPr>
          <w:rFonts w:ascii="Arial" w:hAnsi="Arial" w:cs="Arial"/>
          <w:sz w:val="24"/>
          <w:szCs w:val="24"/>
        </w:rPr>
        <w:t>En conjunto, ambas categorías transforman las prácticas universitarias en espacios de comunicación vital, que fortalecen el saber profesional y que a su vez amplían las posibilidades de construir y re-crear el currículo permitiendo articular la formación académica con la dimensión ética y humana del profesional de la salud.</w:t>
      </w:r>
    </w:p>
    <w:p w14:paraId="7B8642A9" w14:textId="229B7442" w:rsidR="00A97E71" w:rsidRPr="00C86C1C" w:rsidRDefault="00C86C1C" w:rsidP="00A97E71">
      <w:pPr>
        <w:spacing w:after="160" w:line="276" w:lineRule="auto"/>
        <w:jc w:val="both"/>
        <w:rPr>
          <w:rFonts w:ascii="Arial" w:hAnsi="Arial" w:cs="Arial"/>
          <w:sz w:val="24"/>
          <w:szCs w:val="24"/>
        </w:rPr>
      </w:pPr>
      <w:r>
        <w:rPr>
          <w:rFonts w:ascii="Arial" w:hAnsi="Arial" w:cs="Arial"/>
          <w:sz w:val="24"/>
          <w:szCs w:val="24"/>
        </w:rPr>
        <w:t xml:space="preserve">Para finalizar este primer apartado teórico y conceptual, se tejen a este entramado los desarrollos conceptuales sobre la </w:t>
      </w:r>
      <w:r>
        <w:rPr>
          <w:rFonts w:ascii="Arial" w:hAnsi="Arial" w:cs="Arial"/>
          <w:b/>
          <w:bCs/>
          <w:i/>
          <w:iCs/>
          <w:sz w:val="24"/>
          <w:szCs w:val="24"/>
        </w:rPr>
        <w:t>Empatía</w:t>
      </w:r>
      <w:r>
        <w:rPr>
          <w:rFonts w:ascii="Arial" w:hAnsi="Arial" w:cs="Arial"/>
          <w:sz w:val="24"/>
          <w:szCs w:val="24"/>
        </w:rPr>
        <w:t xml:space="preserve"> como categoría que, de acuerdo con Vernaza-Pinzón (2025), se entiende como un pilar reflexivo orientado a transformar la mirada sobre la discapacidad y la relación asistencial superando el modelo biologicista e instrumental que reduce al sujeto a paciente, para transitar hacia la comprensión del sujeto desde el reconocimiento de su corporeidad vivida. Esto significa asumir la empatía como vivencia intersubjetiva encarnada que se conceptualiza como la experiencia de la conciencia ajena, reconociendo la existencia de un "otro yo" que, aunque distinto, comparte mundo e intersubjetividad con la mismidad. La empatía exige al fisioterapeuta desarrollar la capacidad de "leer" la corporeidad del sujeto con quien se encuentra: sus miradas, emociones, silencios, expresiones y lenguaje no verbal. La empatía demanda la necesidad de cultivar la inteligencia emocional y la responsabilidad afectiva en el encuentro y contacto con el otro como herramienta para subsanar la historia de violencias simbólicas durante las atenciones en salud (Vernaza-Pinzón, 2025).</w:t>
      </w:r>
    </w:p>
    <w:p w14:paraId="6585066C" w14:textId="40C7CBC9" w:rsidR="0048174A" w:rsidRPr="0048174A" w:rsidRDefault="00EE50D2" w:rsidP="0048174A">
      <w:pPr>
        <w:spacing w:after="160" w:line="276" w:lineRule="auto"/>
        <w:jc w:val="both"/>
        <w:rPr>
          <w:rFonts w:ascii="Arial" w:hAnsi="Arial" w:cs="Arial"/>
          <w:sz w:val="24"/>
          <w:szCs w:val="24"/>
        </w:rPr>
      </w:pPr>
      <w:r>
        <w:rPr>
          <w:rFonts w:ascii="Arial" w:hAnsi="Arial" w:cs="Arial"/>
          <w:sz w:val="24"/>
          <w:szCs w:val="24"/>
        </w:rPr>
        <w:t xml:space="preserve">En segundo lugar, y para finalizar este componente epistemológico, se menciona que el programa de Fisioterapia de la Universidad del Cauca, seguirá teniendo en cuenta algunos elementos desde la </w:t>
      </w:r>
      <w:r>
        <w:rPr>
          <w:rFonts w:ascii="Arial" w:hAnsi="Arial" w:cs="Arial"/>
          <w:b/>
          <w:bCs/>
          <w:i/>
          <w:iCs/>
          <w:sz w:val="24"/>
          <w:szCs w:val="24"/>
        </w:rPr>
        <w:t>teoría de la patokinesiología</w:t>
      </w:r>
      <w:r>
        <w:rPr>
          <w:rFonts w:ascii="Arial" w:hAnsi="Arial" w:cs="Arial"/>
          <w:sz w:val="24"/>
          <w:szCs w:val="24"/>
        </w:rPr>
        <w:t xml:space="preserve"> planteada por Hislop, que considera primordialmente el componente objetivo del movimiento corporal, a partir del estudio de los elementos anatómicos y fisiológicos en presencia de alteraciones del movimiento humano, de tal manera que el papel de la fisioterapia está enfocado a restablecer la homeostasis motriz de la persona. Así mismo, plantea la existencia de unos sistemas jerarquizados y unos niveles de movimiento que inician en la célula, los tejidos, los órganos, los sistemas, la persona, y finalmente la familia (Hislop, 1975). </w:t>
      </w:r>
    </w:p>
    <w:p w14:paraId="24852BEC" w14:textId="2F8D8B1E" w:rsidR="0048174A" w:rsidRPr="00064F34" w:rsidRDefault="0048174A" w:rsidP="0048174A">
      <w:pPr>
        <w:spacing w:after="160" w:line="276" w:lineRule="auto"/>
        <w:jc w:val="both"/>
        <w:rPr>
          <w:rFonts w:ascii="Arial" w:hAnsi="Arial" w:cs="Arial"/>
          <w:sz w:val="24"/>
          <w:szCs w:val="24"/>
        </w:rPr>
      </w:pPr>
      <w:r>
        <w:rPr>
          <w:rFonts w:ascii="Arial" w:hAnsi="Arial" w:cs="Arial"/>
          <w:sz w:val="24"/>
          <w:szCs w:val="24"/>
        </w:rPr>
        <w:t>Esta teoría tiene mayor acogida en el campo de acción clínico a partir del análisis de los eventos fisiopatológicos y sus respectivos procesos de evaluación, pronóstico e intervención (Guerrero Peralta et al., 2012).</w:t>
      </w:r>
    </w:p>
    <w:p w14:paraId="7E668FB1" w14:textId="641ED111" w:rsidR="00E72ABE" w:rsidRPr="00E72ABE" w:rsidRDefault="004F2AB6" w:rsidP="00E72ABE">
      <w:pPr>
        <w:spacing w:after="160" w:line="276" w:lineRule="auto"/>
        <w:jc w:val="both"/>
        <w:rPr>
          <w:rFonts w:ascii="Arial" w:hAnsi="Arial" w:cs="Arial"/>
          <w:sz w:val="24"/>
          <w:szCs w:val="24"/>
        </w:rPr>
      </w:pPr>
      <w:r>
        <w:rPr>
          <w:rFonts w:ascii="Arial" w:hAnsi="Arial" w:cs="Arial"/>
          <w:sz w:val="24"/>
          <w:szCs w:val="24"/>
        </w:rPr>
        <w:t xml:space="preserve">De igual manera, la </w:t>
      </w:r>
      <w:r>
        <w:rPr>
          <w:rFonts w:ascii="Arial" w:hAnsi="Arial" w:cs="Arial"/>
          <w:b/>
          <w:bCs/>
          <w:i/>
          <w:iCs/>
          <w:sz w:val="24"/>
          <w:szCs w:val="24"/>
        </w:rPr>
        <w:t>Teoría del Movimiento Continuo</w:t>
      </w:r>
      <w:r>
        <w:rPr>
          <w:rFonts w:ascii="Arial" w:hAnsi="Arial" w:cs="Arial"/>
          <w:sz w:val="24"/>
          <w:szCs w:val="24"/>
        </w:rPr>
        <w:t xml:space="preserve"> (Cott et al., 1995) estableció tres principios generales a través de los cuales plantea su concepción de movimiento corporal: </w:t>
      </w:r>
    </w:p>
    <w:p w14:paraId="3FA3669F" w14:textId="77777777"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1. Enuncia que el movimiento es esencial a la vida humana. </w:t>
      </w:r>
    </w:p>
    <w:p w14:paraId="7AA4BC32" w14:textId="77777777"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2. El movimiento ocurre en un continuo desde el nivel microscópico hasta el nivel del sujeto en la sociedad. </w:t>
      </w:r>
    </w:p>
    <w:p w14:paraId="1CD4D396" w14:textId="0D476AD8"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3. Los niveles del movimiento en el continuo están influenciados por factores físicos, psicológicos, sociales y ambientales dependiendo de factores internos y externos (Prieto Rodríguez et al., 2005). </w:t>
      </w:r>
    </w:p>
    <w:p w14:paraId="2BC5DA11" w14:textId="77777777"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Así mismo, plantea cinco principios específicos, a saber: </w:t>
      </w:r>
    </w:p>
    <w:p w14:paraId="604B76F8" w14:textId="07DAA901"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1. Los niveles de movimiento se consideran interdependientes. </w:t>
      </w:r>
    </w:p>
    <w:p w14:paraId="4A1FFC28" w14:textId="77777777"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2. En cada nivel de movimiento se potencializa e influencia a otros niveles. </w:t>
      </w:r>
    </w:p>
    <w:p w14:paraId="4D523993" w14:textId="77777777" w:rsidR="00443BF3" w:rsidRDefault="00E72ABE" w:rsidP="00E72ABE">
      <w:pPr>
        <w:spacing w:after="160" w:line="276" w:lineRule="auto"/>
        <w:jc w:val="both"/>
        <w:rPr>
          <w:rFonts w:ascii="Arial" w:hAnsi="Arial" w:cs="Arial"/>
          <w:color w:val="000000"/>
        </w:rPr>
      </w:pPr>
      <w:r>
        <w:rPr>
          <w:rFonts w:ascii="Arial" w:hAnsi="Arial" w:cs="Arial"/>
          <w:sz w:val="24"/>
          <w:szCs w:val="24"/>
        </w:rPr>
        <w:t>3. La capacidad del movimiento actual se fundamenta en el movimiento voluntario y en la habilidad motora y se transforma en movimiento preferido según las circunstancias.</w:t>
      </w:r>
      <w:r>
        <w:rPr>
          <w:rFonts w:ascii="Arial" w:hAnsi="Arial" w:cs="Arial"/>
          <w:color w:val="000000"/>
        </w:rPr>
        <w:t xml:space="preserve"> </w:t>
      </w:r>
    </w:p>
    <w:p w14:paraId="2AF3F8F0" w14:textId="22205464"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4. La enfermedad, las lesiones y los factores de desarrollo son los parámetros que influyen en el potencial máximo de movimiento. </w:t>
      </w:r>
    </w:p>
    <w:p w14:paraId="6CA1C62F" w14:textId="6A92383E"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5. El objetivo de la Fisioterapia es minimizar la diferencia entre la capacidad de movimiento preferida y la capacidad de movimiento actual de la persona en un entorno específico. </w:t>
      </w:r>
    </w:p>
    <w:p w14:paraId="153CDF5B" w14:textId="06849B29" w:rsidR="00E72ABE" w:rsidRPr="00E72ABE" w:rsidRDefault="00E72ABE" w:rsidP="00E72ABE">
      <w:pPr>
        <w:spacing w:after="160" w:line="276" w:lineRule="auto"/>
        <w:jc w:val="both"/>
        <w:rPr>
          <w:rFonts w:ascii="Arial" w:hAnsi="Arial" w:cs="Arial"/>
          <w:sz w:val="24"/>
          <w:szCs w:val="24"/>
        </w:rPr>
      </w:pPr>
      <w:r>
        <w:rPr>
          <w:rFonts w:ascii="Arial" w:hAnsi="Arial" w:cs="Arial"/>
          <w:sz w:val="24"/>
          <w:szCs w:val="24"/>
        </w:rPr>
        <w:t xml:space="preserve">Así, el fisioterapeuta requiere entender que el movimiento tiene propiedades y relaciones, que van desde un nivel micro hasta uno macro, y que estos dependen de la habilidad del individuo para moverse en cada nivel del movimiento continuo (Calvo Soto et al., 2020). </w:t>
      </w:r>
    </w:p>
    <w:p w14:paraId="105B9D8B" w14:textId="6919DBF4" w:rsidR="00E72ABE" w:rsidRDefault="004F2AB6" w:rsidP="00E72ABE">
      <w:pPr>
        <w:spacing w:after="160" w:line="276" w:lineRule="auto"/>
        <w:jc w:val="both"/>
        <w:rPr>
          <w:rFonts w:ascii="Arial" w:hAnsi="Arial" w:cs="Arial"/>
          <w:sz w:val="24"/>
          <w:szCs w:val="24"/>
        </w:rPr>
      </w:pPr>
      <w:r>
        <w:rPr>
          <w:rFonts w:ascii="Arial" w:hAnsi="Arial" w:cs="Arial"/>
          <w:sz w:val="24"/>
          <w:szCs w:val="24"/>
        </w:rPr>
        <w:t xml:space="preserve">Por último, se retoman aspectos aportados por la </w:t>
      </w:r>
      <w:r>
        <w:rPr>
          <w:rFonts w:ascii="Arial" w:hAnsi="Arial" w:cs="Arial"/>
          <w:b/>
          <w:bCs/>
          <w:i/>
          <w:iCs/>
          <w:sz w:val="24"/>
          <w:szCs w:val="24"/>
        </w:rPr>
        <w:t xml:space="preserve">teoría de los sistemas complejos, que se apoya en la teoría de sistemas sociales</w:t>
      </w:r>
      <w:r>
        <w:rPr>
          <w:rFonts w:ascii="Arial" w:hAnsi="Arial" w:cs="Arial"/>
          <w:sz w:val="24"/>
          <w:szCs w:val="24"/>
        </w:rPr>
        <w:t xml:space="preserve"> de Luhmann (1998) y el concepto de autopoiesis adelantado por Maturana y Varela (1973), donde el movimiento corresponde a un sistema complejo conformado por niveles de interacción, dados por el control motor que permite el planeamiento, la estructuración y reorganización de la actividad motora, en el cual se involucran otros elementos para su análisis de tipo real e imaginario, objetivo y subjetivo. Se trata de un sistema complejo por la sobreabundancia de relaciones y de posibilidades de conexión, en el que no cabe plantear una correspondencia lineal, pues la diferenciación permite la interacción de múltiples subsistemas con distintos niveles de complejidad (Agamez Triana et al., 2002).</w:t>
      </w:r>
    </w:p>
    <w:p w14:paraId="286692B0" w14:textId="77777777" w:rsidR="009F6F80" w:rsidRDefault="009F6F80">
      <w:pPr>
        <w:spacing w:after="160" w:line="276" w:lineRule="auto"/>
        <w:jc w:val="both"/>
        <w:rPr>
          <w:rFonts w:ascii="Arial" w:hAnsi="Arial" w:cs="Arial"/>
          <w:b/>
          <w:bCs/>
          <w:sz w:val="24"/>
          <w:szCs w:val="24"/>
        </w:rPr>
      </w:pPr>
    </w:p>
    <w:p w14:paraId="701E3B04" w14:textId="08F872CA" w:rsidR="00425400" w:rsidRDefault="00425400" w:rsidP="005C0CA7">
      <w:pPr>
        <w:pStyle w:val="Heading1"/>
        <w:numPr>
          <w:ilvl w:val="0"/>
          <w:numId w:val="1"/>
        </w:numPr>
        <w:spacing w:before="320" w:after="140"/>
        <w:rPr>
          <w:rFonts w:ascii="Arial" w:hAnsi="Arial" w:cs="Arial"/>
          <w:color w:val="000000"/>
          <w:sz w:val="24"/>
          <w:szCs w:val="24"/>
        </w:rPr>
      </w:pPr>
      <w:r>
        <w:rPr>
          <w:rFonts w:ascii="Arial" w:hAnsi="Arial" w:cs="Arial"/>
          <w:color w:val="000000"/>
          <w:sz w:val="24"/>
          <w:szCs w:val="24"/>
        </w:rPr>
        <w:t>Componente praxeológico</w:t>
      </w:r>
    </w:p>
    <w:p w14:paraId="5500D712" w14:textId="70BEFA2D" w:rsidR="00425400" w:rsidRPr="00064F34" w:rsidRDefault="00425400" w:rsidP="00425400">
      <w:pPr>
        <w:pStyle w:val="Heading2"/>
        <w:spacing w:before="220" w:after="100"/>
        <w:rPr>
          <w:rFonts w:ascii="Arial" w:hAnsi="Arial" w:cs="Arial"/>
          <w:color w:val="000000"/>
        </w:rPr>
      </w:pPr>
      <w:r>
        <w:rPr>
          <w:rFonts w:ascii="Arial" w:hAnsi="Arial" w:cs="Arial"/>
          <w:color w:val="000000"/>
        </w:rPr>
        <w:t>3.1. Qué, cómo y para qué conocemos</w:t>
      </w:r>
    </w:p>
    <w:p w14:paraId="1C47C341" w14:textId="201814C1" w:rsidR="00425400" w:rsidRPr="00064F34" w:rsidRDefault="00425400" w:rsidP="00425400">
      <w:pPr>
        <w:spacing w:after="160" w:line="276" w:lineRule="auto"/>
        <w:jc w:val="both"/>
        <w:rPr>
          <w:rFonts w:ascii="Arial" w:hAnsi="Arial" w:cs="Arial"/>
          <w:sz w:val="24"/>
          <w:szCs w:val="24"/>
        </w:rPr>
      </w:pPr>
      <w:r>
        <w:rPr>
          <w:rFonts w:ascii="Arial" w:hAnsi="Arial" w:cs="Arial"/>
          <w:sz w:val="24"/>
          <w:szCs w:val="24"/>
        </w:rPr>
        <w:t>La epistemología del programa responde a tres preguntas. Respecto de qué conocemos, el objeto propio de la disciplina no se reduce a la enfermedad ni a la estructura corporal alterada, sino que se sitúa en la comprensión y transformación de las posibilidades de movimiento humano en relación con la vida y el contexto. Respecto de cómo conocemos, la fisioterapia necesita mediciones cuantitativas, pruebas funcionales, biomecánicas y fisiológicas, pero también se vuelve indispensable el escuchar, observar, interpretar y reconocer significados; se trata, por tanto, de una epistemología plural y dialógica que no reemplaza el conocimiento científico-natural, sino que lo articula con el conocimiento fenomenológico, interpretativo, social y experiencial (Ahola et al., 2022; Wikström-Grotell y Eriksson, 2012). Respecto de para qué conocemos, la finalidad no es normalizar el movimiento según parámetros externos, sino favorecer la vida en movimiento. El fin último de toda terapia deja de ser únicamente cómo “normalizar” un movimiento y comienza a incluir qué movimiento necesita esta persona para vivir como desea vivir.</w:t>
      </w:r>
    </w:p>
    <w:p w14:paraId="54ACEC77" w14:textId="77777777" w:rsidR="00425400" w:rsidRPr="00425400" w:rsidRDefault="00425400" w:rsidP="00425400"/>
    <w:p w14:paraId="0000001C" w14:textId="742F6D84" w:rsidR="00250F56" w:rsidRPr="00064F34" w:rsidRDefault="00A4636E" w:rsidP="00876767">
      <w:pPr>
        <w:pStyle w:val="Heading2"/>
        <w:spacing w:before="320" w:after="140"/>
        <w:rPr>
          <w:rFonts w:ascii="Arial" w:hAnsi="Arial" w:cs="Arial"/>
          <w:color w:val="000000"/>
        </w:rPr>
      </w:pPr>
      <w:r>
        <w:rPr>
          <w:rFonts w:ascii="Arial" w:hAnsi="Arial" w:cs="Arial"/>
          <w:color w:val="000000"/>
        </w:rPr>
        <w:t>3.2. Fundamentos pedagógicos</w:t>
      </w:r>
    </w:p>
    <w:p w14:paraId="1A18A45F" w14:textId="69266922" w:rsidR="009C0A98" w:rsidRDefault="00000000" w:rsidP="009C0A98">
      <w:pPr>
        <w:spacing w:after="160" w:line="276" w:lineRule="auto"/>
        <w:jc w:val="both"/>
        <w:rPr>
          <w:rFonts w:ascii="Arial" w:hAnsi="Arial" w:cs="Arial"/>
          <w:sz w:val="24"/>
          <w:szCs w:val="24"/>
        </w:rPr>
      </w:pPr>
      <w:r>
        <w:rPr>
          <w:rFonts w:ascii="Arial" w:hAnsi="Arial" w:cs="Arial"/>
          <w:sz w:val="24"/>
          <w:szCs w:val="24"/>
        </w:rPr>
        <w:t xml:space="preserve">Los fundamentos pedagógicos concretan las intenciones epistemológicas en los procesos de enseñanza y aprendizaje. El programa asume una pedagogía coherente con la complejidad de su objeto; si el movimiento humano es situado, relacional y significativo, la formación no puede reducirse a la transmisión de técnicas sobre cuerpos pasivos, sino que debe cultivar la sensibilidad, el juicio y la capacidad de acompañar al otro.</w:t>
      </w:r>
    </w:p>
    <w:p>
      <w:pPr>
        <w:spacing w:after="160" w:line="276" w:lineRule="auto"/>
        <w:jc w:val="both"/>
      </w:pPr>
      <w:r>
        <w:rPr>
          <w:rFonts w:ascii="Arial" w:hAnsi="Arial" w:cs="Arial"/>
          <w:sz w:val="24"/>
          <w:szCs w:val="24"/>
        </w:rPr>
        <w:t xml:space="preserve">En coherencia con este propósito, el programa orienta los procesos de enseñanza y aprendizaje desde la progresión en espiral, que se desarrolla en el apartado siguiente, y desde el alineamiento constructivo entre los resultados de aprendizaje, las estrategias de enseñanza y los procedimientos de evaluación (Biggs y Tang, 2011). Estos principios se concretan en cinco estrategias didácticas que sitúan al estudiante como sujeto activo de su formación y desde las cuales se imparten todas las asignaturas del plan de estudios, que son el aprendizaje basado en problemas, el aprendizaje basado en proyectos, la simulación clínica, el estudio de caso y el aula invertida. Las estrategias didácticas se entienden como planes de acción que el profesor pone en marcha para lograr los aprendizajes (Tobón, 2010), y cada microcurrículo indicará las que emplea, su procedimiento y su relación con los resultados de aprendizaje. La formación práctica, a su vez, transita de lo simulado a lo real y de lo básico a lo complejo, de modo que la simulación clínica antecede y acompaña el desempeño del estudiante en los escenarios de práctica.</w:t>
      </w:r>
    </w:p>
    <w:p w14:paraId="0000001D" w14:textId="3E668E2E" w:rsidR="00250F56" w:rsidRPr="00064F34" w:rsidRDefault="00250F56">
      <w:pPr>
        <w:spacing w:after="160" w:line="276" w:lineRule="auto"/>
        <w:jc w:val="both"/>
        <w:rPr>
          <w:rFonts w:ascii="Arial" w:hAnsi="Arial" w:cs="Arial"/>
          <w:sz w:val="24"/>
          <w:szCs w:val="24"/>
        </w:rPr>
      </w:pPr>
    </w:p>
    <w:p w14:paraId="0000001E" w14:textId="2BA8D5F3" w:rsidR="00250F56" w:rsidRPr="00064F34" w:rsidRDefault="00256BC9">
      <w:pPr>
        <w:pStyle w:val="Heading2"/>
        <w:spacing w:before="220" w:after="100"/>
        <w:rPr>
          <w:rFonts w:ascii="Arial" w:hAnsi="Arial" w:cs="Arial"/>
          <w:color w:val="000000"/>
        </w:rPr>
      </w:pPr>
      <w:r>
        <w:rPr>
          <w:rFonts w:ascii="Arial" w:hAnsi="Arial" w:cs="Arial"/>
          <w:color w:val="000000"/>
        </w:rPr>
        <w:t>3.3. La progresión en espiral</w:t>
      </w:r>
    </w:p>
    <w:p w14:paraId="0000001F" w14:textId="77777777" w:rsidR="00250F56" w:rsidRDefault="00000000">
      <w:pPr>
        <w:spacing w:after="160" w:line="276" w:lineRule="auto"/>
        <w:jc w:val="both"/>
        <w:rPr>
          <w:rFonts w:ascii="Arial" w:hAnsi="Arial" w:cs="Arial"/>
          <w:sz w:val="24"/>
          <w:szCs w:val="24"/>
        </w:rPr>
      </w:pPr>
      <w:r>
        <w:rPr>
          <w:rFonts w:ascii="Arial" w:hAnsi="Arial" w:cs="Arial"/>
          <w:sz w:val="24"/>
          <w:szCs w:val="24"/>
        </w:rPr>
        <w:t>El programa adopta la progresión en espiral como principio pedagógico rector. Todo saber puede enseñarse en un nivel intelectualmente honesto y volver a abordarse en niveles crecientes de complejidad a lo largo de la formación (Bruner, 1960). Los conceptos fundamentales del movimiento humano se introducen tempranamente y se retoman de manera recurrente, cada vez con mayor profundidad y con mayores exigencias de integración, de modo que el conocimiento se estructura como un desarrollo acumulativo y no como una yuxtaposición de asignaturas. Esta lógica se articula con modelos pedagógicos que promueven el aprendizaje autónomo, colaborativo y significativo, en los que el estudiante es reconocido como sujeto activo de su formación.</w:t>
      </w:r>
    </w:p>
    <w:p w14:paraId="74852AB8" w14:textId="6160E79C" w:rsidR="008428E5" w:rsidRDefault="008428E5" w:rsidP="00A4636E">
      <w:pPr>
        <w:pStyle w:val="Heading2"/>
        <w:numPr>
          <w:ilvl w:val="1"/>
          <w:numId w:val="1"/>
        </w:numPr>
        <w:spacing w:before="220" w:after="100"/>
        <w:rPr>
          <w:rFonts w:ascii="Arial" w:hAnsi="Arial" w:cs="Arial"/>
          <w:color w:val="000000"/>
        </w:rPr>
      </w:pPr>
      <w:r>
        <w:rPr>
          <w:rFonts w:ascii="Arial" w:hAnsi="Arial" w:cs="Arial"/>
          <w:color w:val="000000"/>
        </w:rPr>
        <w:t>Modelo de prácticas progresivas y Resultados de aprendizaje</w:t>
      </w:r>
    </w:p>
    <w:p w14:paraId="19DFEF80" w14:textId="77777777" w:rsidR="008428E5" w:rsidRDefault="008428E5" w:rsidP="008428E5"/>
    <w:p w14:paraId="33C4C1CA" w14:textId="3067DE37" w:rsidR="008428E5" w:rsidRPr="00064F34" w:rsidRDefault="002F7360" w:rsidP="002F7360">
      <w:pPr>
        <w:spacing w:line="276" w:lineRule="auto"/>
        <w:jc w:val="both"/>
        <w:rPr>
          <w:rFonts w:ascii="Arial" w:hAnsi="Arial" w:cs="Arial"/>
          <w:sz w:val="24"/>
          <w:szCs w:val="24"/>
        </w:rPr>
      </w:pPr>
      <w:r>
        <w:rPr>
          <w:rFonts w:ascii="Arial" w:hAnsi="Arial" w:cs="Arial"/>
          <w:sz w:val="24"/>
          <w:szCs w:val="24"/>
        </w:rPr>
        <w:t xml:space="preserve">El modelo de prácticas progresivas organiza la inmersión del estudiante en escenarios reales de creciente complejidad, en consonancia con la progresión en espiral y con la perspectiva del curso de vida, de manera que el contacto relacional y la comprensión situada del movimiento se cultiven desde los primeros semestres y se profundicen a lo largo de la formación. La concreción de estas trayectorias se expresa en los resultados de aprendizaje (RA) y en un modelo de prácticas progresivas. Los resultados de aprendizaje formulan de manera explícita lo que el estudiante será capaz de comprender, hacer y valorar, y operan como referente para la enseñanza y la evaluación. </w:t>
      </w:r>
    </w:p>
    <w:p w14:paraId="00000026" w14:textId="59A2B808" w:rsidR="00250F56" w:rsidRPr="00064F34" w:rsidRDefault="00000000" w:rsidP="00256BC9">
      <w:pPr>
        <w:pStyle w:val="Heading1"/>
        <w:numPr>
          <w:ilvl w:val="0"/>
          <w:numId w:val="1"/>
        </w:numPr>
        <w:spacing w:before="320" w:after="140"/>
        <w:rPr>
          <w:rFonts w:ascii="Arial" w:hAnsi="Arial" w:cs="Arial"/>
          <w:color w:val="000000"/>
          <w:sz w:val="24"/>
          <w:szCs w:val="24"/>
        </w:rPr>
      </w:pPr>
      <w:r>
        <w:rPr>
          <w:rFonts w:ascii="Arial" w:hAnsi="Arial" w:cs="Arial"/>
          <w:color w:val="000000"/>
          <w:sz w:val="24"/>
          <w:szCs w:val="24"/>
        </w:rPr>
        <w:t>Fundamentos curriculares</w:t>
      </w:r>
    </w:p>
    <w:p w14:paraId="5F0F837E" w14:textId="77777777" w:rsidR="009C0A98" w:rsidRDefault="009C0A98">
      <w:pPr>
        <w:spacing w:after="160" w:line="276" w:lineRule="auto"/>
        <w:jc w:val="both"/>
        <w:rPr>
          <w:rFonts w:ascii="Arial" w:hAnsi="Arial" w:cs="Arial"/>
          <w:sz w:val="24"/>
          <w:szCs w:val="24"/>
        </w:rPr>
      </w:pPr>
    </w:p>
    <w:p w14:paraId="00000027" w14:textId="66B65ED9" w:rsidR="00250F56" w:rsidRDefault="00000000">
      <w:pPr>
        <w:spacing w:after="160" w:line="276" w:lineRule="auto"/>
        <w:jc w:val="both"/>
        <w:rPr>
          <w:rFonts w:ascii="Arial" w:hAnsi="Arial" w:cs="Arial"/>
          <w:sz w:val="24"/>
          <w:szCs w:val="24"/>
        </w:rPr>
      </w:pPr>
      <w:r>
        <w:rPr>
          <w:rFonts w:ascii="Arial" w:hAnsi="Arial" w:cs="Arial"/>
          <w:sz w:val="24"/>
          <w:szCs w:val="24"/>
        </w:rPr>
        <w:t>Los fundamentos curriculares traducen las decisiones epistemológicas y pedagógicas en una estructura formativa coherente. El programa organiza el currículo alrededor de problemas relacionados con el movimiento y el funcionamiento humano, y no exclusivamente en torno a sistemas corporales y patologías, de modo que la anatomía, la fisiología, la biomecánica, la neurociencia y la patología se articulan como dimensiones de la vida humana en movimiento.</w:t>
      </w:r>
    </w:p>
    <w:p w14:paraId="70B18636" w14:textId="46703CCF" w:rsidR="00484A51" w:rsidRPr="00484A51" w:rsidRDefault="000C2E3F" w:rsidP="00484A51">
      <w:pPr>
        <w:spacing w:after="160" w:line="276" w:lineRule="auto"/>
        <w:jc w:val="both"/>
        <w:rPr>
          <w:rFonts w:ascii="Arial" w:hAnsi="Arial" w:cs="Arial"/>
          <w:sz w:val="24"/>
          <w:szCs w:val="24"/>
        </w:rPr>
      </w:pPr>
      <w:r>
        <w:rPr>
          <w:rFonts w:ascii="Arial" w:hAnsi="Arial" w:cs="Arial"/>
          <w:sz w:val="24"/>
          <w:szCs w:val="24"/>
        </w:rPr>
        <w:t xml:space="preserve">Por ello, aquí se articulan los elementos del funcionamiento humano asumidos en consenso mundial en la Clasificación Internacional del Funcionamiento, de la Discapacidad y de la Salud [CIF] (Organización Mundial de la Salud [OMS], 2001), cuyo objetivo fundamental es brindar un lenguaje unificado y estandarizado dentro de un marco conceptual para describir la salud y los estados relacionados con la salud y el bienestar. World Physiotherapy (anteriormente Confederación Mundial de Fisioterapia, WCPT) asume los planteamientos de la CIF en tanto que esta no clasifica a las personas, sino que describe el estado de salud de las personas según su participación en el entorno. La salud de una persona comprende su capacidad para llevar a cabo las actividades necesarias en los aspectos de la vida humana. Los resultados de las intervenciones se pueden evaluar registrando el rendimiento de las personas en su entorno real. </w:t>
      </w:r>
    </w:p>
    <w:p w14:paraId="6576A6B9" w14:textId="18FD4532" w:rsidR="00484A51" w:rsidRPr="00484A51" w:rsidRDefault="00484A51" w:rsidP="00484A51">
      <w:pPr>
        <w:spacing w:after="160" w:line="276" w:lineRule="auto"/>
        <w:jc w:val="both"/>
        <w:rPr>
          <w:rFonts w:ascii="Arial" w:hAnsi="Arial" w:cs="Arial"/>
          <w:sz w:val="24"/>
          <w:szCs w:val="24"/>
        </w:rPr>
      </w:pPr>
      <w:r>
        <w:rPr>
          <w:rFonts w:ascii="Arial" w:hAnsi="Arial" w:cs="Arial"/>
          <w:sz w:val="24"/>
          <w:szCs w:val="24"/>
        </w:rPr>
        <w:t xml:space="preserve">La CIF, propone un esquema relacional de interacción simultánea y multidireccional de sus elementos, los cuales a saber son: </w:t>
      </w:r>
    </w:p>
    <w:p w14:paraId="67316A00" w14:textId="77777777" w:rsidR="00C661D2" w:rsidRDefault="00C661D2" w:rsidP="00C661D2">
      <w:pPr>
        <w:spacing w:after="160" w:line="276" w:lineRule="auto"/>
        <w:jc w:val="both"/>
        <w:rPr>
          <w:rFonts w:ascii="Arial" w:hAnsi="Arial" w:cs="Arial"/>
          <w:sz w:val="24"/>
          <w:szCs w:val="24"/>
        </w:rPr>
      </w:pPr>
      <w:r>
        <w:rPr>
          <w:rFonts w:ascii="Arial" w:hAnsi="Arial" w:cs="Arial"/>
          <w:sz w:val="24"/>
          <w:szCs w:val="24"/>
        </w:rPr>
        <w:t xml:space="preserve">Parte 1: Funcionamiento y Discapacidad, conformada por los Componentes de: </w:t>
      </w:r>
    </w:p>
    <w:p w14:paraId="1DAA4022" w14:textId="12EF5C2C" w:rsidR="00484A51" w:rsidRPr="00C661D2" w:rsidRDefault="00C661D2" w:rsidP="00C661D2">
      <w:pPr>
        <w:pStyle w:val="ListParagraph"/>
        <w:numPr>
          <w:ilvl w:val="0"/>
          <w:numId w:val="7"/>
        </w:numPr>
        <w:spacing w:after="160" w:line="276" w:lineRule="auto"/>
        <w:jc w:val="both"/>
        <w:rPr>
          <w:rFonts w:ascii="Arial" w:hAnsi="Arial" w:cs="Arial"/>
          <w:sz w:val="24"/>
          <w:szCs w:val="24"/>
        </w:rPr>
      </w:pPr>
      <w:r>
        <w:rPr>
          <w:rFonts w:ascii="Arial" w:hAnsi="Arial" w:cs="Arial"/>
          <w:sz w:val="24"/>
          <w:szCs w:val="24"/>
        </w:rPr>
        <w:t>Funciones y estructuras corporales.</w:t>
      </w:r>
    </w:p>
    <w:p w14:paraId="333EECA1" w14:textId="05406856" w:rsidR="00C661D2" w:rsidRPr="00C661D2" w:rsidRDefault="00C661D2" w:rsidP="00C661D2">
      <w:pPr>
        <w:pStyle w:val="ListParagraph"/>
        <w:numPr>
          <w:ilvl w:val="0"/>
          <w:numId w:val="7"/>
        </w:numPr>
        <w:spacing w:after="160" w:line="276" w:lineRule="auto"/>
        <w:jc w:val="both"/>
        <w:rPr>
          <w:rFonts w:ascii="Arial" w:hAnsi="Arial" w:cs="Arial"/>
          <w:sz w:val="24"/>
          <w:szCs w:val="24"/>
        </w:rPr>
      </w:pPr>
      <w:r>
        <w:rPr>
          <w:rFonts w:ascii="Arial" w:hAnsi="Arial" w:cs="Arial"/>
          <w:sz w:val="24"/>
          <w:szCs w:val="24"/>
        </w:rPr>
        <w:t>Actividades y participación.</w:t>
      </w:r>
    </w:p>
    <w:p w14:paraId="276B248E" w14:textId="5AD9B36E" w:rsidR="00484A51" w:rsidRDefault="00C661D2" w:rsidP="00484A51">
      <w:pPr>
        <w:spacing w:after="160" w:line="276" w:lineRule="auto"/>
        <w:jc w:val="both"/>
        <w:rPr>
          <w:rFonts w:ascii="Arial" w:hAnsi="Arial" w:cs="Arial"/>
          <w:sz w:val="24"/>
          <w:szCs w:val="24"/>
        </w:rPr>
      </w:pPr>
      <w:r>
        <w:rPr>
          <w:rFonts w:ascii="Arial" w:hAnsi="Arial" w:cs="Arial"/>
          <w:sz w:val="24"/>
          <w:szCs w:val="24"/>
        </w:rPr>
        <w:t>Parte 2: Factores contextuales, conformada por los componentes de:</w:t>
      </w:r>
    </w:p>
    <w:p w14:paraId="242FC7F9" w14:textId="39F92409" w:rsidR="00C661D2" w:rsidRDefault="00C661D2" w:rsidP="00C661D2">
      <w:pPr>
        <w:pStyle w:val="ListParagraph"/>
        <w:numPr>
          <w:ilvl w:val="0"/>
          <w:numId w:val="8"/>
        </w:numPr>
        <w:spacing w:after="160" w:line="276" w:lineRule="auto"/>
        <w:jc w:val="both"/>
        <w:rPr>
          <w:rFonts w:ascii="Arial" w:hAnsi="Arial" w:cs="Arial"/>
          <w:sz w:val="24"/>
          <w:szCs w:val="24"/>
        </w:rPr>
      </w:pPr>
      <w:r>
        <w:rPr>
          <w:rFonts w:ascii="Arial" w:hAnsi="Arial" w:cs="Arial"/>
          <w:sz w:val="24"/>
          <w:szCs w:val="24"/>
        </w:rPr>
        <w:t>Factores personales</w:t>
      </w:r>
    </w:p>
    <w:p w14:paraId="577BF731" w14:textId="7176A675" w:rsidR="00C661D2" w:rsidRPr="00C661D2" w:rsidRDefault="00C661D2" w:rsidP="00C661D2">
      <w:pPr>
        <w:pStyle w:val="ListParagraph"/>
        <w:numPr>
          <w:ilvl w:val="0"/>
          <w:numId w:val="8"/>
        </w:numPr>
        <w:spacing w:after="160" w:line="276" w:lineRule="auto"/>
        <w:jc w:val="both"/>
        <w:rPr>
          <w:rFonts w:ascii="Arial" w:hAnsi="Arial" w:cs="Arial"/>
          <w:sz w:val="24"/>
          <w:szCs w:val="24"/>
        </w:rPr>
      </w:pPr>
      <w:r>
        <w:rPr>
          <w:rFonts w:ascii="Arial" w:hAnsi="Arial" w:cs="Arial"/>
          <w:sz w:val="24"/>
          <w:szCs w:val="24"/>
        </w:rPr>
        <w:t>Factores ambientales</w:t>
      </w:r>
    </w:p>
    <w:p w14:paraId="6E8CDA3E" w14:textId="6CC561D1" w:rsidR="00484A51" w:rsidRPr="00484A51" w:rsidRDefault="00484A51" w:rsidP="00484A51">
      <w:pPr>
        <w:spacing w:after="160" w:line="276" w:lineRule="auto"/>
        <w:jc w:val="both"/>
        <w:rPr>
          <w:rFonts w:ascii="Arial" w:hAnsi="Arial" w:cs="Arial"/>
          <w:sz w:val="24"/>
          <w:szCs w:val="24"/>
        </w:rPr>
      </w:pPr>
      <w:r>
        <w:rPr>
          <w:rFonts w:ascii="Arial" w:hAnsi="Arial" w:cs="Arial"/>
          <w:sz w:val="24"/>
          <w:szCs w:val="24"/>
        </w:rPr>
        <w:t xml:space="preserve">Los componentes de funcionamiento y discapacidad se pueden emplear de dos maneras: 1) pueden utilizarse para indicar problemas (ejemplo: deficiencias, limitación en la actividad o restricción en la participación, incluidos bajo el concepto global de discapacidad); 2) pueden indicar aspectos no problemáticos (ejemplo: neutrales) de la salud y aspectos “relacionados con la salud”, incluidos en el concepto genérico de funcionamiento (OMS, 2001). </w:t>
      </w:r>
    </w:p>
    <w:p w14:paraId="2C9D79A8" w14:textId="0CAE7995" w:rsidR="00484A51" w:rsidRPr="00484A51" w:rsidRDefault="00484A51" w:rsidP="00484A51">
      <w:pPr>
        <w:spacing w:after="160" w:line="276" w:lineRule="auto"/>
        <w:jc w:val="both"/>
        <w:rPr>
          <w:rFonts w:ascii="Arial" w:hAnsi="Arial" w:cs="Arial"/>
          <w:sz w:val="24"/>
          <w:szCs w:val="24"/>
        </w:rPr>
      </w:pPr>
      <w:r>
        <w:rPr>
          <w:rFonts w:ascii="Arial" w:hAnsi="Arial" w:cs="Arial"/>
          <w:sz w:val="24"/>
          <w:szCs w:val="24"/>
        </w:rPr>
        <w:t xml:space="preserve">Las funciones y estructuras corporales pueden interpretarse mediante cambios en los sistemas fisiológicos o en las estructuras anatómicas. El componente Actividades y Participación dispone de dos aspectos: capacidad y desempeño/realización (OMS, 2001). Respecto al componente de los factores contextuales, la CIF incluye un esquema exhaustivo de los mismos como un componente esencial de la clasificación puesto que los factores ambientales interactúan con los componentes del funcionamiento y la discapacidad. </w:t>
      </w:r>
    </w:p>
    <w:p w14:paraId="24D611E5" w14:textId="6FDCD9ED" w:rsidR="000C2E3F" w:rsidRPr="00064F34" w:rsidRDefault="00484A51" w:rsidP="00C661D2">
      <w:pPr>
        <w:spacing w:after="160" w:line="276" w:lineRule="auto"/>
        <w:jc w:val="both"/>
        <w:rPr>
          <w:rFonts w:ascii="Arial" w:hAnsi="Arial" w:cs="Arial"/>
          <w:sz w:val="24"/>
          <w:szCs w:val="24"/>
        </w:rPr>
      </w:pPr>
      <w:r>
        <w:rPr>
          <w:rFonts w:ascii="Arial" w:hAnsi="Arial" w:cs="Arial"/>
          <w:sz w:val="24"/>
          <w:szCs w:val="24"/>
        </w:rPr>
        <w:t>Para la formación académica en la toma de decisiones del quehacer disciplinar, el criterio y razonamiento clínico, especialmente, en prácticas formativas, el programa de Fisioterapia de la Universidad del Cauca adopta la CIF como modelo integral para la evaluación de la funcionalidad, la discapacidad y la salud de las personas.</w:t>
      </w:r>
    </w:p>
    <w:p w14:paraId="00000028" w14:textId="3DCE41C9" w:rsidR="00250F56" w:rsidRPr="00064F34" w:rsidRDefault="00256BC9">
      <w:pPr>
        <w:pStyle w:val="Heading2"/>
        <w:spacing w:before="220" w:after="100"/>
        <w:rPr>
          <w:rFonts w:ascii="Arial" w:hAnsi="Arial" w:cs="Arial"/>
          <w:color w:val="000000"/>
        </w:rPr>
      </w:pPr>
      <w:r>
        <w:rPr>
          <w:rFonts w:ascii="Arial" w:hAnsi="Arial" w:cs="Arial"/>
          <w:color w:val="000000"/>
        </w:rPr>
        <w:t>4.1. El curso de vida como principio de organización</w:t>
      </w:r>
    </w:p>
    <w:p w14:paraId="00000029" w14:textId="77777777" w:rsidR="00250F56" w:rsidRPr="00064F34" w:rsidRDefault="00000000">
      <w:pPr>
        <w:spacing w:after="160" w:line="276" w:lineRule="auto"/>
        <w:jc w:val="both"/>
        <w:rPr>
          <w:rFonts w:ascii="Arial" w:hAnsi="Arial" w:cs="Arial"/>
          <w:sz w:val="24"/>
          <w:szCs w:val="24"/>
        </w:rPr>
      </w:pPr>
      <w:r>
        <w:rPr>
          <w:rFonts w:ascii="Arial" w:hAnsi="Arial" w:cs="Arial"/>
          <w:sz w:val="24"/>
          <w:szCs w:val="24"/>
        </w:rPr>
        <w:t>El programa adopta la perspectiva del curso de vida como principio de organización curricular. El desarrollo humano se reconoce como un proceso continuo, en el que las exposiciones, experiencias y transiciones a lo largo del tiempo configuran la salud, la función y las posibilidades de movimiento (Kuh et al., 2003). Esta perspectiva permite organizar el currículo y la práctica profesional atendiendo a las distintas etapas y trayectorias vitales de las personas, y reconoce la historia corporal como dimensión constitutiva del movimiento vital.</w:t>
      </w:r>
    </w:p>
    <w:p w14:paraId="0000002A" w14:textId="1C7B1123" w:rsidR="00250F56" w:rsidRDefault="00000000">
      <w:pPr>
        <w:spacing w:after="160" w:line="276" w:lineRule="auto"/>
        <w:jc w:val="both"/>
        <w:rPr>
          <w:rFonts w:ascii="Arial" w:hAnsi="Arial" w:cs="Arial"/>
          <w:sz w:val="24"/>
          <w:szCs w:val="24"/>
        </w:rPr>
      </w:pPr>
      <w:r>
        <w:rPr>
          <w:rFonts w:ascii="Arial" w:hAnsi="Arial" w:cs="Arial"/>
          <w:sz w:val="24"/>
          <w:szCs w:val="24"/>
        </w:rPr>
        <w:t>Esta comprensión encuentra una expresión concreta en las categorías de envejecimiento saludable y capacidad intrínseca (OMS, 2015). El envejecimiento saludable, entendido como el desarrollo y mantenimiento de la capacidad funcional que posibilita el bienestar en la vejez, y la capacidad intrínseca, definida como el conjunto de capacidades físicas y mentales de la persona, ofrecen al programa un marco para articular la comprensión situada del movimiento con una atención centrada en la persona y en sus metas a lo largo de todo el curso vital. Desde esta óptica, la valoración fisioterapéutica no se limita a identificar deficiencias, sino que orienta planes de cuidado que buscan preservar y ampliar las posibilidades de movimiento en cada etapa de la vida.</w:t>
      </w:r>
    </w:p>
    <w:p w14:paraId="4DF2094C" w14:textId="384D348C" w:rsidR="00AA5816" w:rsidRDefault="00AA5816" w:rsidP="00543F51">
      <w:pPr>
        <w:spacing w:line="276" w:lineRule="auto"/>
        <w:jc w:val="both"/>
        <w:rPr>
          <w:rFonts w:ascii="Arial" w:hAnsi="Arial" w:cs="Arial"/>
          <w:sz w:val="24"/>
          <w:szCs w:val="24"/>
        </w:rPr>
      </w:pPr>
      <w:r>
        <w:rPr>
          <w:rFonts w:ascii="Arial" w:hAnsi="Arial" w:cs="Arial"/>
          <w:sz w:val="24"/>
          <w:szCs w:val="24"/>
        </w:rPr>
        <w:t xml:space="preserve">Colombia adoptó en 2016 la Política de Atención Integral en Salud (PAIS) para incorporar la estrategia de Atención Primaria de la Salud como herramienta que posibilite la atención integral e integrada en salud para la población colombiana en el marco de la salud como derecho fundamental en el Sistema General de Seguridad Social en Salud (Ministerio de Salud y Protección Social</w:t>
      </w:r>
      <w:r>
        <w:rPr>
          <w:rFonts w:ascii="Arial" w:hAnsi="Arial" w:cs="Arial"/>
          <w:sz w:val="24"/>
          <w:szCs w:val="24"/>
        </w:rPr>
        <w:t xml:space="preserve"> [MSPS], 2016; Resolución 429 de 2016). En la Política PAIS, Colombia apuesta por asumir como uno de sus enfoques orientadores para la atención integral en salud, el Enfoque de Curso de Vida que hace referencia al conjunto de trayectorias o roles que sigue el desarrollo de las personas a lo largo del tiempo, que son moldeadas por la interacción e interdependencia de los aspectos biológicos y sociales del individuo; los contextos culturales, sociales e históricos en los cuales transcurre la vida y, los sucesos vitales y las transiciones personales, familiares o comunitarias (MSPS, 2016).</w:t>
      </w:r>
    </w:p>
    <w:p>
      <w:pPr>
        <w:spacing w:line="276" w:lineRule="auto"/>
        <w:jc w:val="both"/>
      </w:pPr>
      <w:r>
        <w:rPr>
          <w:rFonts w:ascii="Arial" w:hAnsi="Arial" w:cs="Arial"/>
          <w:sz w:val="24"/>
          <w:szCs w:val="24"/>
        </w:rPr>
        <w:t xml:space="preserve">La PAIS ha tenido desarrollos normativos posteriores. La Resolución 2626 de 2019 la modificó y adoptó el Modelo de Acción Integral Territorial (MAITE), que incorporó los componentes del Modelo Integral de Atención en Salud (MIAS); el Decreto 1599 de 2022 estableció los lineamientos para su implementación, y el Decreto 858 de 2025 adoptó el Modelo de Salud Preventivo, Predictivo y Resolutivo, fundamentado en la APS, decreto que fue suspendido provisionalmente por el Consejo de Estado en octubre de 2025 (Decreto 1599 de 2022; Decreto 858 de 2025; Resolución 2626 de 2019). Estos desarrollos conservan la APS como fundamento de la atención integral en salud.</w:t>
      </w:r>
    </w:p>
    <w:p w14:paraId="595B800D" w14:textId="77777777" w:rsidR="00AA5816" w:rsidRPr="00930176" w:rsidRDefault="00AA5816" w:rsidP="00543F51">
      <w:pPr>
        <w:spacing w:line="276" w:lineRule="auto"/>
        <w:jc w:val="both"/>
        <w:rPr>
          <w:rFonts w:ascii="Arial" w:hAnsi="Arial" w:cs="Arial"/>
          <w:sz w:val="24"/>
          <w:szCs w:val="24"/>
        </w:rPr>
      </w:pPr>
    </w:p>
    <w:p w14:paraId="264C4B97" w14:textId="4E73E2AB" w:rsidR="00AA5816" w:rsidRDefault="00AA5816" w:rsidP="00801AB2">
      <w:pPr>
        <w:spacing w:line="276" w:lineRule="auto"/>
        <w:jc w:val="both"/>
        <w:rPr>
          <w:rFonts w:ascii="Arial" w:hAnsi="Arial" w:cs="Arial"/>
          <w:sz w:val="24"/>
          <w:szCs w:val="24"/>
        </w:rPr>
      </w:pPr>
      <w:r>
        <w:rPr>
          <w:rFonts w:ascii="Arial" w:hAnsi="Arial" w:cs="Arial"/>
          <w:sz w:val="24"/>
          <w:szCs w:val="24"/>
        </w:rPr>
        <w:t xml:space="preserve">En el Enfoque de Curso de Vida la temporalidad es fundamental, por ello su punto central es comprender cómo influye el pasado en el presente, haciendo énfasis en comprender las interacciones entre los cambios biológicos y sociales; en consecuencia se aborda a los seres humanos como entidades sociales y biológicas, analizando las complejas interacciones que se desarrollan a través del tiempo entre una gama de determinantes sociales y los resultados en salud, configurando diferentes patrones de ventajas o desventajas en el estado de salud y en el desarrollo humano. </w:t>
      </w:r>
    </w:p>
    <w:p w14:paraId="54FD4C05" w14:textId="77777777" w:rsidR="00801AB2" w:rsidRDefault="00801AB2" w:rsidP="00801AB2">
      <w:pPr>
        <w:spacing w:line="276" w:lineRule="auto"/>
        <w:jc w:val="both"/>
        <w:rPr>
          <w:rFonts w:ascii="Arial" w:hAnsi="Arial" w:cs="Arial"/>
          <w:sz w:val="24"/>
          <w:szCs w:val="24"/>
        </w:rPr>
      </w:pPr>
    </w:p>
    <w:p w14:paraId="121F995C" w14:textId="795C1A2F" w:rsidR="00AA5816" w:rsidRPr="00930176" w:rsidRDefault="00AA5816" w:rsidP="00801AB2">
      <w:pPr>
        <w:spacing w:line="276" w:lineRule="auto"/>
        <w:jc w:val="both"/>
        <w:rPr>
          <w:rFonts w:ascii="Arial" w:hAnsi="Arial" w:cs="Arial"/>
          <w:sz w:val="24"/>
          <w:szCs w:val="24"/>
        </w:rPr>
      </w:pPr>
      <w:r>
        <w:rPr>
          <w:rFonts w:ascii="Arial" w:hAnsi="Arial" w:cs="Arial"/>
          <w:sz w:val="24"/>
          <w:szCs w:val="24"/>
        </w:rPr>
        <w:t xml:space="preserve">Sobre la base de los principios de desarrollo a lo largo del tiempo, el principio de tiempo y lugar, el principio del timing (ocurrencia de sucesos vitales inesperados), el principio de “vidas interconectadas” y el principio del libre albedrío o agencia (Blanco, 2011), el enfoque de curso de vida que asume la Política PAIS se organiza</w:t>
      </w:r>
      <w:r>
        <w:rPr>
          <w:rFonts w:ascii="Arial" w:hAnsi="Arial" w:cs="Arial"/>
          <w:sz w:val="24"/>
          <w:szCs w:val="24"/>
        </w:rPr>
        <w:t xml:space="preserve"> a partir de tres elementos centrales como herramientas metodológicas:</w:t>
      </w:r>
    </w:p>
    <w:p w14:paraId="614B27C6" w14:textId="77777777" w:rsidR="00AA5816" w:rsidRDefault="00AA5816" w:rsidP="00543F51">
      <w:pPr>
        <w:spacing w:line="276" w:lineRule="auto"/>
        <w:jc w:val="both"/>
        <w:rPr>
          <w:rFonts w:ascii="Arial" w:hAnsi="Arial" w:cs="Arial"/>
          <w:sz w:val="24"/>
          <w:szCs w:val="24"/>
        </w:rPr>
      </w:pPr>
    </w:p>
    <w:p w14:paraId="1B41D077" w14:textId="77777777" w:rsidR="00AA5816" w:rsidRDefault="00AA5816" w:rsidP="00543F51">
      <w:pPr>
        <w:pStyle w:val="ListParagraph"/>
        <w:numPr>
          <w:ilvl w:val="0"/>
          <w:numId w:val="9"/>
        </w:numPr>
        <w:spacing w:line="276" w:lineRule="auto"/>
        <w:contextualSpacing/>
        <w:jc w:val="both"/>
        <w:rPr>
          <w:rFonts w:ascii="Arial" w:hAnsi="Arial" w:cs="Arial"/>
          <w:sz w:val="24"/>
          <w:szCs w:val="24"/>
        </w:rPr>
      </w:pPr>
      <w:r>
        <w:rPr>
          <w:rFonts w:ascii="Arial" w:hAnsi="Arial" w:cs="Arial"/>
          <w:sz w:val="24"/>
          <w:szCs w:val="24"/>
        </w:rPr>
        <w:t xml:space="preserve">Trayectoria: que hace referencia al recorrido que realiza un ser humano por los diferentes roles (trabajo, escolaridad, vida conyugal, migración, etc.) en que se desenvuelve, sin que esto implique una velocidad o secuencia particular o predeterminada de eventos. </w:t>
      </w:r>
    </w:p>
    <w:p w14:paraId="46E73089" w14:textId="77777777" w:rsidR="00AA5816" w:rsidRPr="00F66685" w:rsidRDefault="00AA5816" w:rsidP="00543F51">
      <w:pPr>
        <w:pStyle w:val="ListParagraph"/>
        <w:numPr>
          <w:ilvl w:val="0"/>
          <w:numId w:val="9"/>
        </w:numPr>
        <w:spacing w:line="276" w:lineRule="auto"/>
        <w:contextualSpacing/>
        <w:jc w:val="both"/>
        <w:rPr>
          <w:rFonts w:ascii="Arial" w:hAnsi="Arial" w:cs="Arial"/>
          <w:sz w:val="24"/>
          <w:szCs w:val="24"/>
        </w:rPr>
      </w:pPr>
      <w:r>
        <w:rPr>
          <w:rFonts w:ascii="Arial" w:hAnsi="Arial" w:cs="Arial"/>
          <w:sz w:val="24"/>
          <w:szCs w:val="24"/>
        </w:rPr>
        <w:t xml:space="preserve">Transición: entendida como el cambio de estado, posición o situación de un individuo en un momento determinado durante una trayectoria, lo cual no es predeterminado ni necesariamente previsible, e implica un proceso de adaptación del ser humano al cambio realizado. </w:t>
      </w:r>
    </w:p>
    <w:p w14:paraId="2E3DC04D" w14:textId="77777777" w:rsidR="00AA5816" w:rsidRDefault="00AA5816" w:rsidP="00543F51">
      <w:pPr>
        <w:pStyle w:val="ListParagraph"/>
        <w:numPr>
          <w:ilvl w:val="0"/>
          <w:numId w:val="9"/>
        </w:numPr>
        <w:spacing w:line="276" w:lineRule="auto"/>
        <w:contextualSpacing/>
        <w:jc w:val="both"/>
        <w:rPr>
          <w:rFonts w:ascii="Arial" w:hAnsi="Arial" w:cs="Arial"/>
          <w:sz w:val="24"/>
          <w:szCs w:val="24"/>
        </w:rPr>
      </w:pPr>
      <w:r>
        <w:rPr>
          <w:rFonts w:ascii="Arial" w:hAnsi="Arial" w:cs="Arial"/>
          <w:sz w:val="24"/>
          <w:szCs w:val="24"/>
        </w:rPr>
        <w:t xml:space="preserve">Sucesos vitales: se definen como los “eventos que provocan fuertes modificaciones que, a su vez, se traducen en virajes en la dirección del curso de vida” (Blanco, 2011, p. 13). Son acontecimientos favorables o desfavorables, que cambian notablemente el curso de vida de un individuo y están articulados a las oportunidades de desarrollo de las personas y, en consecuencia, de varias de sus trayectorias vitales. </w:t>
      </w:r>
    </w:p>
    <w:p w14:paraId="2ABAC78C" w14:textId="77777777" w:rsidR="002C794B" w:rsidRDefault="002C794B" w:rsidP="00543F51">
      <w:pPr>
        <w:spacing w:line="276" w:lineRule="auto"/>
        <w:contextualSpacing/>
        <w:jc w:val="both"/>
        <w:rPr>
          <w:rFonts w:ascii="Arial" w:hAnsi="Arial" w:cs="Arial"/>
          <w:sz w:val="24"/>
          <w:szCs w:val="24"/>
        </w:rPr>
      </w:pPr>
    </w:p>
    <w:p w14:paraId="12071D39" w14:textId="168740F1" w:rsidR="00AA5816" w:rsidRDefault="002C794B" w:rsidP="00543F51">
      <w:pPr>
        <w:spacing w:line="276" w:lineRule="auto"/>
        <w:contextualSpacing/>
        <w:jc w:val="both"/>
        <w:rPr>
          <w:rFonts w:ascii="Arial" w:hAnsi="Arial" w:cs="Arial"/>
          <w:sz w:val="24"/>
          <w:szCs w:val="24"/>
        </w:rPr>
      </w:pPr>
      <w:r>
        <w:rPr>
          <w:rFonts w:ascii="Arial" w:hAnsi="Arial" w:cs="Arial"/>
          <w:sz w:val="24"/>
          <w:szCs w:val="24"/>
        </w:rPr>
        <w:t>Estos tres elementos centrales reflejan la naturaleza temporal de las vidas y captan la idea del movimiento a lo largo de los tiempos históricos y biográficos de las personas, familias y comunidades. El curso de vida como proceso multidimensional y multidireccional ocurre a lo largo de la vida que construyen las personas y las generaciones a través de trayectorias, eventos cruciales y transiciones, en relación con las oportunidades y barreras del contexto socioeconómico y en interacción con el entorno político, ambiental y cultural. El enfoque de curso de vida ha aportado a ampliar la comprensión de la expansión de la vida y el desarrollo humano, así como en la interpretación de las relaciones entre influencias tempranas, más su acumulación, con los resultados tardíos, en función de los recursos disponibles, las trayectorias percibidas, la capacidad de agencia humana y el contexto socioeconómico e histórico (Vega, 2014, como se citó en MSPS, 2015).</w:t>
      </w:r>
    </w:p>
    <w:p w14:paraId="0D9975B5" w14:textId="77777777" w:rsidR="00AA5816" w:rsidRDefault="00AA5816">
      <w:pPr>
        <w:spacing w:after="160" w:line="276" w:lineRule="auto"/>
        <w:jc w:val="both"/>
        <w:rPr>
          <w:rFonts w:ascii="Arial" w:hAnsi="Arial" w:cs="Arial"/>
          <w:sz w:val="24"/>
          <w:szCs w:val="24"/>
        </w:rPr>
      </w:pPr>
    </w:p>
    <w:p w14:paraId="0000002B" w14:textId="285C7584" w:rsidR="00250F56" w:rsidRPr="00064F34" w:rsidRDefault="00256BC9">
      <w:pPr>
        <w:pStyle w:val="Heading2"/>
        <w:spacing w:before="220" w:after="100"/>
        <w:rPr>
          <w:rFonts w:ascii="Arial" w:hAnsi="Arial" w:cs="Arial"/>
          <w:color w:val="000000"/>
        </w:rPr>
      </w:pPr>
      <w:r>
        <w:rPr>
          <w:rFonts w:ascii="Arial" w:hAnsi="Arial" w:cs="Arial"/>
          <w:color w:val="000000"/>
        </w:rPr>
        <w:t>4.2. Trayectorias formativas y dimensiones curriculares</w:t>
      </w:r>
    </w:p>
    <w:p w14:paraId="0000002C" w14:textId="098839F2" w:rsidR="00250F56" w:rsidRDefault="00000000">
      <w:pPr>
        <w:spacing w:after="160" w:line="276" w:lineRule="auto"/>
        <w:jc w:val="both"/>
        <w:rPr>
          <w:rFonts w:ascii="Arial" w:hAnsi="Arial" w:cs="Arial"/>
          <w:sz w:val="24"/>
          <w:szCs w:val="24"/>
        </w:rPr>
      </w:pPr>
      <w:r>
        <w:rPr>
          <w:rFonts w:ascii="Arial" w:hAnsi="Arial" w:cs="Arial"/>
          <w:sz w:val="24"/>
          <w:szCs w:val="24"/>
        </w:rPr>
        <w:t xml:space="preserve">La estructura curricular se articula mediante trayectorias formativas que garantizan la coherencia entre los propósitos de formación, las actividades de aprendizaje y la evaluación. El programa asume el principio del alineamiento constructivo, según el cual los resultados de aprendizaje, las estrategias de enseñanza y los procedimientos de evaluación deben guardar correspondencia (Biggs y Tang, 2011), y recurre a la integración progresiva de los saberes a lo largo del plan de estudios como criterio de diseño (Harden, 2000). Las dimensiones curriculares, asumidas desde el Estatuto Académico de la Universidad del Cauca (Acuerdo 036 de 2011 del Consejo Superior, modificado por el Acuerdo 013 de 2014; Universidad del Cauca, 2011) aseguran que los fundamentos conceptuales se expresen de manera consistente en los distintos niveles de la formación, evitando la fragmentación entre teoría y práctica.</w:t>
      </w:r>
    </w:p>
    <w:p w14:paraId="113E86A7" w14:textId="4A23AEB6" w:rsidR="00F51F10" w:rsidRPr="00064F34" w:rsidRDefault="00F51F10">
      <w:pPr>
        <w:spacing w:after="160" w:line="276" w:lineRule="auto"/>
        <w:jc w:val="both"/>
        <w:rPr>
          <w:rFonts w:ascii="Arial" w:hAnsi="Arial" w:cs="Arial"/>
          <w:sz w:val="24"/>
          <w:szCs w:val="24"/>
        </w:rPr>
      </w:pPr>
      <w:r>
        <w:rPr>
          <w:rFonts w:ascii="Arial" w:hAnsi="Arial" w:cs="Arial"/>
          <w:sz w:val="24"/>
          <w:szCs w:val="24"/>
        </w:rPr>
        <w:t>Según este Estatuto, los programas desarrollan en sus planes de estudios cinco (5) dimensiones curriculares: cultural-estética, científico-tecnológica, campo específico de formación, de problemática social y de innovación, emprendimiento e investigación. Para su desarrollo, estas deben recoger la especificidad referida a los propósitos de formación en cada programa y cada nivel con el objetivo de definir los aspectos de la competencia profesional que cada dimensión curricular debe enfocar, desarrollar y evaluar.</w:t>
      </w:r>
    </w:p>
    <w:p w14:paraId="0000002F" w14:textId="08E519F4" w:rsidR="00250F56" w:rsidRPr="00064F34" w:rsidRDefault="00256BC9">
      <w:pPr>
        <w:pStyle w:val="Heading1"/>
        <w:spacing w:before="320" w:after="140"/>
        <w:rPr>
          <w:rFonts w:ascii="Arial" w:hAnsi="Arial" w:cs="Arial"/>
          <w:color w:val="000000"/>
          <w:sz w:val="24"/>
          <w:szCs w:val="24"/>
        </w:rPr>
      </w:pPr>
      <w:r>
        <w:rPr>
          <w:rFonts w:ascii="Arial" w:hAnsi="Arial" w:cs="Arial"/>
          <w:color w:val="000000"/>
          <w:sz w:val="24"/>
          <w:szCs w:val="24"/>
        </w:rPr>
        <w:t>5. Estrategia de Atención Primaria en Salud, enfoques territorial, intercultural y políticas en salud</w:t>
      </w:r>
    </w:p>
    <w:p w14:paraId="06458BAF" w14:textId="54376FD7" w:rsidR="00A80502" w:rsidRDefault="00A80502">
      <w:pPr>
        <w:spacing w:after="160" w:line="276" w:lineRule="auto"/>
        <w:jc w:val="both"/>
        <w:rPr>
          <w:rFonts w:ascii="Arial" w:hAnsi="Arial" w:cs="Arial"/>
          <w:sz w:val="24"/>
          <w:szCs w:val="24"/>
        </w:rPr>
      </w:pPr>
      <w:r>
        <w:rPr>
          <w:rFonts w:ascii="Arial" w:hAnsi="Arial" w:cs="Arial"/>
          <w:sz w:val="24"/>
          <w:szCs w:val="24"/>
        </w:rPr>
        <w:t>La Atención Primaria de la Salud [APS] constitutiva de la Declaración de Alma-Ata de 1978, se planteó como una estrategia que a partir de la adopción de los valores de la seguridad social, de una serie de principios, nociones conceptuales y metodológicas, se ha convertido, a lo largo de sus casi 50 años, en un enfoque amplio basado en la salud como derecho fundamental, como una racionalidad de política de salud efectiva y como una serie de herramientas eficaces para promover la creación e implementación de sistemas de salud de cobertura y acceso universal, organizar y operar servicios de atención en salud integrales y centrados en la persona, la familia y la población, la formulación participativa e intersectorial de políticas públicas, y la promoción de liderazgos sociales y gubernamentales que sirvan al objetivo principal de contribuir al logro del nivel de salud más alto posible haciendo énfasis en el derecho a la salud, la equidad y la solidaridad social (OMS, 2008; Organización Panamericana de la Salud [OPS], 2003, 2007).</w:t>
      </w:r>
    </w:p>
    <w:p w14:paraId="16E3697A" w14:textId="3DF8FE19" w:rsidR="009839C1" w:rsidRDefault="009839C1" w:rsidP="002A7C24">
      <w:pPr>
        <w:tabs>
          <w:tab w:val="num" w:pos="720"/>
        </w:tabs>
        <w:spacing w:after="160" w:line="276" w:lineRule="auto"/>
        <w:jc w:val="both"/>
        <w:rPr>
          <w:rFonts w:ascii="Arial" w:hAnsi="Arial" w:cs="Arial"/>
          <w:sz w:val="24"/>
          <w:szCs w:val="24"/>
        </w:rPr>
      </w:pPr>
      <w:r>
        <w:rPr>
          <w:rFonts w:ascii="Arial" w:hAnsi="Arial" w:cs="Arial"/>
          <w:sz w:val="24"/>
          <w:szCs w:val="24"/>
        </w:rPr>
        <w:t xml:space="preserve">Desde 2021, la estrategia de APS plantea un marco operacional con el propósito de fortalecer los sistemas de salud y apoyar a los países en la intensificación de los esfuerzos nacionales para asegurar la atención primaria de la salud (OMS y Fondo de las Naciones Unidas para la Infancia [UNICEF], 2021). Este marco propone unos elementos estratégicos y otros operacionales. Entre los estratégicos es necesario mencionar, en primer lugar, el </w:t>
      </w:r>
      <w:r>
        <w:rPr>
          <w:rFonts w:ascii="Arial" w:hAnsi="Arial" w:cs="Arial"/>
          <w:i/>
          <w:iCs/>
          <w:sz w:val="24"/>
          <w:szCs w:val="24"/>
        </w:rPr>
        <w:t>compromiso y liderazgo políticos, que implica</w:t>
      </w:r>
      <w:r>
        <w:rPr>
          <w:rFonts w:ascii="Arial" w:hAnsi="Arial" w:cs="Arial"/>
          <w:sz w:val="24"/>
          <w:szCs w:val="24"/>
        </w:rPr>
        <w:t xml:space="preserve"> que los países prioricen en sus agendas de política pública la APS como el eje central para alcanzar la Cobertura Sanitaria Universal (CSU) y los Objetivos de Desarrollo Sostenible (ODS). Esto requiere el involucramiento activo de todos los actores políticos, sociales, comunitarios y no sólo del sector salud, para avanzar en la toma de decisiones audaces para redistribuir el presupuesto, reduciendo el privilegio histórico de la atención terciaria u hospitalaria frente a la atención primaria y la salud pública desde una comprensión de los determinantes sociales y económicos de la salud de las poblaciones. Este elemento se relaciona con el segundo, que plantea la necesidad inaplazable de contar con </w:t>
      </w:r>
      <w:r>
        <w:rPr>
          <w:rFonts w:ascii="Arial" w:hAnsi="Arial" w:cs="Arial"/>
          <w:i/>
          <w:iCs/>
          <w:sz w:val="24"/>
          <w:szCs w:val="24"/>
        </w:rPr>
        <w:t xml:space="preserve">Marcos de gobernanza y de políticas, </w:t>
      </w:r>
      <w:r>
        <w:rPr>
          <w:rFonts w:ascii="Arial" w:hAnsi="Arial" w:cs="Arial"/>
          <w:sz w:val="24"/>
          <w:szCs w:val="24"/>
        </w:rPr>
        <w:t xml:space="preserve">lo que supone fortalecer la autoridad sanitaria en su rol de protección del interés público, así como integrar la visión de salud en todas las políticas, legitimando la participación de representantes comunitarios en órganos institucionales de gestión y decisión. </w:t>
      </w:r>
    </w:p>
    <w:p w14:paraId="4FA3F132" w14:textId="3F208A69" w:rsidR="009839C1" w:rsidRPr="009839C1" w:rsidRDefault="00F60F2C" w:rsidP="009406C1">
      <w:pPr>
        <w:tabs>
          <w:tab w:val="num" w:pos="720"/>
        </w:tabs>
        <w:spacing w:after="160" w:line="276" w:lineRule="auto"/>
        <w:jc w:val="both"/>
        <w:rPr>
          <w:rFonts w:ascii="Arial" w:hAnsi="Arial" w:cs="Arial"/>
          <w:sz w:val="24"/>
          <w:szCs w:val="24"/>
        </w:rPr>
      </w:pPr>
      <w:r>
        <w:rPr>
          <w:rFonts w:ascii="Arial" w:hAnsi="Arial" w:cs="Arial"/>
          <w:sz w:val="24"/>
          <w:szCs w:val="24"/>
        </w:rPr>
        <w:t xml:space="preserve">En tercer lugar, la APS (OMS y UNICEF, 2021) exige que los Estados garanticen movilizar y asignar recursos suficientes a la APS dentro de las estrategias globales de financiación de la salud para avanzar hacia la equidad en la distribución de recursos a la salud pública frente a la asimétrica e histórica inversión que ha tenido la atención clínico-hospitalaria en la mayoría de los sistemas de salud del mundo. Un cuarto elemento, resalta la necesidad de garantizar la </w:t>
      </w:r>
      <w:r>
        <w:rPr>
          <w:rFonts w:ascii="Arial" w:hAnsi="Arial" w:cs="Arial"/>
          <w:i/>
          <w:iCs/>
          <w:sz w:val="24"/>
          <w:szCs w:val="24"/>
        </w:rPr>
        <w:t>participación de las comunidades y otras partes interesadas,</w:t>
      </w:r>
      <w:r>
        <w:rPr>
          <w:rFonts w:ascii="Arial" w:hAnsi="Arial" w:cs="Arial"/>
          <w:sz w:val="24"/>
          <w:szCs w:val="24"/>
        </w:rPr>
        <w:t xml:space="preserve"> para involucrar a las comunidades u organizaciones civiles en la identificación de problemas, el diseño de soluciones, la planificación local y el establecimiento de prioridades en materia de salud (OMS y UNICEF, 2021).</w:t>
      </w:r>
    </w:p>
    <w:p w14:paraId="208BAD02" w14:textId="5E6AC58B" w:rsidR="009406C1" w:rsidRDefault="007066EC">
      <w:pPr>
        <w:spacing w:after="160" w:line="276" w:lineRule="auto"/>
        <w:jc w:val="both"/>
        <w:rPr>
          <w:rFonts w:ascii="Arial" w:hAnsi="Arial" w:cs="Arial"/>
          <w:sz w:val="24"/>
          <w:szCs w:val="24"/>
        </w:rPr>
      </w:pPr>
      <w:r>
        <w:rPr>
          <w:rFonts w:ascii="Arial" w:hAnsi="Arial" w:cs="Arial"/>
          <w:sz w:val="24"/>
          <w:szCs w:val="24"/>
        </w:rPr>
        <w:t>Es por esto, que el programa de Fisioterapia de la Universidad del Cauca apuesta a que el enfoque de APS transversalice la formación de los futuros profesionales del suroccidente colombiano, en tanto amplía las posibilidades tanto de comprensión del movimiento corporal humano, de relacionamiento con personas, familias y comunidades por medio de la praxis formativa, así como de su futuro ejercicio profesional en el marco del sistema de salud colombiano.</w:t>
      </w:r>
    </w:p>
    <w:p w14:paraId="00000030" w14:textId="47797066" w:rsidR="00250F56" w:rsidRPr="00064F34" w:rsidRDefault="00716F88">
      <w:pPr>
        <w:spacing w:after="160" w:line="276" w:lineRule="auto"/>
        <w:jc w:val="both"/>
        <w:rPr>
          <w:rFonts w:ascii="Arial" w:hAnsi="Arial" w:cs="Arial"/>
          <w:sz w:val="24"/>
          <w:szCs w:val="24"/>
        </w:rPr>
      </w:pPr>
      <w:r>
        <w:rPr>
          <w:rFonts w:ascii="Arial" w:hAnsi="Arial" w:cs="Arial"/>
          <w:sz w:val="24"/>
          <w:szCs w:val="24"/>
        </w:rPr>
        <w:t>Por su parte, los fundamentos sociales y territoriales reconocen que el movimiento no ocurre en un espacio abstracto, sino en viviendas, escuelas, hospitales, comunidades, caminos, lugares de trabajo y territorios culturalmente determinados. Una persona puede recuperar fuerza muscular y continuar con su participación restringida porque carece de accesibilidad al transporte, vive en un territorio con barreras físicas o no dispone de servicios de rehabilitación; en tales casos, la limitación del movimiento no se explica únicamente desde la biología individual. Por ello, una Fisioterapia orientada por el movimiento vital se interesa no solo por modificar capacidades corporales, sino también por transformar las condiciones que posibilitan o restringen el movimiento.</w:t>
      </w:r>
    </w:p>
    <w:p w14:paraId="00000031" w14:textId="1A1D998E" w:rsidR="00250F56" w:rsidRPr="00064F34" w:rsidRDefault="00000000">
      <w:pPr>
        <w:spacing w:after="160" w:line="276" w:lineRule="auto"/>
        <w:jc w:val="both"/>
        <w:rPr>
          <w:rFonts w:ascii="Arial" w:hAnsi="Arial" w:cs="Arial"/>
          <w:sz w:val="24"/>
          <w:szCs w:val="24"/>
        </w:rPr>
      </w:pPr>
      <w:r>
        <w:rPr>
          <w:rFonts w:ascii="Arial" w:hAnsi="Arial" w:cs="Arial"/>
          <w:sz w:val="24"/>
          <w:szCs w:val="24"/>
        </w:rPr>
        <w:t>El territorio se asume, en consecuencia, como escenario de intervención y no como simple telón de fondo. La naturaleza y la cultura operan como agentes de cohesión social, y herramientas como la cartografía social permiten mapear cómo la geografía y la cultura influyen en las capacidades y en la participación de las personas y comunidades. Esta comprensión territorial dialoga con la noción de contexto como entorno material y simbólico que otorga sentido a las relaciones humanas, y sitúa a la disciplina ante las realidades sociales del país, marcadas por inequidades que interpelan a la formación profesional. En contextos de ruralidad dispersa y en municipios afectados por el conflicto armado, clasificados como PDET y ZOMAC, estas condiciones adquieren particular relevancia y exigen respuestas pertinentes y sostenibles.</w:t>
      </w:r>
    </w:p>
    <w:p w14:paraId="00000032" w14:textId="412958D0" w:rsidR="00250F56" w:rsidRPr="00064F34" w:rsidRDefault="00000000">
      <w:pPr>
        <w:spacing w:after="160" w:line="276" w:lineRule="auto"/>
        <w:jc w:val="both"/>
        <w:rPr>
          <w:rFonts w:ascii="Arial" w:hAnsi="Arial" w:cs="Arial"/>
          <w:sz w:val="24"/>
          <w:szCs w:val="24"/>
        </w:rPr>
      </w:pPr>
      <w:r>
        <w:rPr>
          <w:rFonts w:ascii="Arial" w:hAnsi="Arial" w:cs="Arial"/>
          <w:sz w:val="24"/>
          <w:szCs w:val="24"/>
        </w:rPr>
        <w:t xml:space="preserve">Comprender el movimiento en su dimensión social exige atender los determinantes sociales de la salud y actuar de manera intersectorial, mediante la acción coordinada entre los sectores de salud, protección social, educación, agricultura, comunidad, academia y gobierno local. Esta articulación resulta necesaria para garantizar la continuidad del cuidado y la rehabilitación de base comunitaria, especialmente allí donde la oferta de servicios es fragmentada o intermitente. En este marco, la mediación tecnológica se asume desde un enfoque de salud digital inclusiva, en el que la tecnología es un medio de coordinación y continuidad, no un sustituto del juicio profesional, y su incorporación debe evitar la ampliación de la brecha digital de las personas mayores y de las comunidades rurales, mediante arquitecturas accesibles, multicanales y de baja exigencia de conectividad, siempre bajo supervisión profesional.</w:t>
      </w:r>
    </w:p>
    <w:p w14:paraId="00000033" w14:textId="6A40EBF1" w:rsidR="00250F56" w:rsidRPr="00064F34" w:rsidRDefault="00000000">
      <w:pPr>
        <w:spacing w:after="160" w:line="276" w:lineRule="auto"/>
        <w:jc w:val="both"/>
        <w:rPr>
          <w:rFonts w:ascii="Arial" w:hAnsi="Arial" w:cs="Arial"/>
          <w:sz w:val="24"/>
          <w:szCs w:val="24"/>
        </w:rPr>
      </w:pPr>
      <w:r>
        <w:rPr>
          <w:rFonts w:ascii="Arial" w:hAnsi="Arial" w:cs="Arial"/>
          <w:sz w:val="24"/>
          <w:szCs w:val="24"/>
        </w:rPr>
        <w:t xml:space="preserve">En este marco, el programa orienta el perfil del egresado en la gestión del movimiento corporal humano desde el enfoque de APS, de modo que el futuro fisioterapeuta se conciba como un agente capaz de actuar en el territorio, articular acciones de promoción de la salud, prevención de la enfermedad y la gestión integral de los riesgos asociados a esta, tratamiento y rehabilitación, la paliación y la muerte digna, transitando entre lo personal/interpersonal, lo particular/colectivo y lo social/poblacional. La articulación entre resultados de aprendizaje, perfil del egresado orientado al movimiento corporal humano con una perspectiva desde la APS y un modelo de prácticas progresivas retorna al sentido de la espiral, la cual estará iterativamente cargada de sentidos, enriquecida y con lecciones aprendidas, desde la comprensión epistemológica del objeto de estudio hasta su concreción en la formación y en la respuesta a las necesidades de salud de la población. Las líneas de investigación del programa, que desarrollan modelos territoriales de atención integral a la persona mayor en municipios rurales del Cauca, materializan este referente y retroalimentan de manera continua la formación.</w:t>
      </w:r>
    </w:p>
    <w:p w14:paraId="00000034" w14:textId="77777777" w:rsidR="00250F56" w:rsidRPr="00064F34" w:rsidRDefault="00000000">
      <w:pPr>
        <w:pStyle w:val="Heading1"/>
        <w:spacing w:before="320" w:after="140"/>
        <w:rPr>
          <w:rFonts w:ascii="Arial" w:hAnsi="Arial" w:cs="Arial"/>
          <w:color w:val="000000"/>
          <w:sz w:val="24"/>
          <w:szCs w:val="24"/>
        </w:rPr>
      </w:pPr>
      <w:r>
        <w:rPr>
          <w:rFonts w:ascii="Arial" w:hAnsi="Arial" w:cs="Arial"/>
          <w:color w:val="000000"/>
          <w:sz w:val="24"/>
          <w:szCs w:val="24"/>
        </w:rPr>
        <w:t>Referencias</w:t>
      </w:r>
    </w:p>
    <w:p w14:paraId="5A56DFB3" w14:textId="77777777" w:rsidR="002645E0" w:rsidRDefault="00000000">
      <w:pPr>
        <w:spacing w:after="100" w:line="264" w:lineRule="auto"/>
        <w:ind w:left="480" w:hanging="480"/>
        <w:jc w:val="both"/>
      </w:pPr>
      <w:r>
        <w:rPr>
          <w:rFonts w:ascii="Arial" w:hAnsi="Arial" w:cs="Arial"/>
          <w:sz w:val="24"/>
          <w:szCs w:val="24"/>
        </w:rPr>
        <w:t xml:space="preserve">Agamez Triana, J., Arenas Quintana, B., Restrepo Barrero, H., Rodríguez Giraldo, J. E., Toro Díaz, J., Vanegas, J. H., y Vidarte Claros, J. A. (2002). </w:t>
      </w:r>
      <w:r>
        <w:rPr>
          <w:rFonts w:ascii="Arial" w:hAnsi="Arial" w:cs="Arial"/>
          <w:i/>
          <w:iCs/>
          <w:sz w:val="24"/>
          <w:szCs w:val="24"/>
        </w:rPr>
        <w:t>Cuerpo y movimiento: perspectiva funcional y fenomenológica</w:t>
      </w:r>
      <w:r>
        <w:rPr>
          <w:rFonts w:ascii="Arial" w:hAnsi="Arial" w:cs="Arial"/>
          <w:sz w:val="24"/>
          <w:szCs w:val="24"/>
        </w:rPr>
        <w:t>. Universidad Autónoma de Manizales.</w:t>
      </w:r>
    </w:p>
    <w:p w14:paraId="00000035" w14:textId="77777777" w:rsidR="00250F56" w:rsidRPr="00876767" w:rsidRDefault="00000000">
      <w:pPr>
        <w:spacing w:after="100" w:line="264" w:lineRule="auto"/>
        <w:ind w:left="480" w:hanging="480"/>
        <w:jc w:val="both"/>
        <w:rPr>
          <w:rFonts w:ascii="Arial" w:hAnsi="Arial" w:cs="Arial"/>
          <w:sz w:val="24"/>
          <w:szCs w:val="24"/>
          <w:lang w:val="en-US"/>
        </w:rPr>
      </w:pPr>
      <w:r>
        <w:rPr>
          <w:rFonts w:ascii="Arial" w:hAnsi="Arial" w:cs="Arial"/>
          <w:sz w:val="24"/>
          <w:szCs w:val="24"/>
        </w:rPr>
        <w:t xml:space="preserve">Ahola, S., Skjaerven, L. H., y Piirainen, A. (2022). </w:t>
      </w:r>
      <w:r>
        <w:rPr>
          <w:rFonts w:ascii="Arial" w:hAnsi="Arial" w:cs="Arial"/>
          <w:sz w:val="24"/>
          <w:szCs w:val="24"/>
          <w:lang w:val="en-US"/>
        </w:rPr>
        <w:t xml:space="preserve">Physiotherapists' conceptions of movement awareness: A phenomenographic study. </w:t>
      </w:r>
      <w:r>
        <w:rPr>
          <w:rFonts w:ascii="Arial" w:hAnsi="Arial" w:cs="Arial"/>
          <w:i/>
          <w:iCs/>
          <w:sz w:val="24"/>
          <w:szCs w:val="24"/>
          <w:lang w:val="en-US"/>
        </w:rPr>
        <w:t>Physiotherapy Theory and Practice, 38</w:t>
      </w:r>
      <w:r>
        <w:rPr>
          <w:rFonts w:ascii="Arial" w:hAnsi="Arial" w:cs="Arial"/>
          <w:sz w:val="24"/>
          <w:szCs w:val="24"/>
          <w:lang w:val="en-US"/>
        </w:rPr>
        <w:t>(10), 1438-1452. https://doi.org/10.1080/09593985.2020.1868028</w:t>
      </w:r>
    </w:p>
    <w:p w14:paraId="0A5711F4" w14:textId="57A86839" w:rsidR="00C86C1C" w:rsidRPr="00064F34" w:rsidRDefault="00C86C1C">
      <w:pPr>
        <w:spacing w:after="100" w:line="264" w:lineRule="auto"/>
        <w:ind w:left="480" w:hanging="480"/>
        <w:jc w:val="both"/>
        <w:rPr>
          <w:rFonts w:ascii="Arial" w:hAnsi="Arial" w:cs="Arial"/>
          <w:sz w:val="24"/>
          <w:szCs w:val="24"/>
          <w:lang w:val="en-US"/>
        </w:rPr>
      </w:pPr>
      <w:r>
        <w:rPr>
          <w:rFonts w:ascii="Arial" w:hAnsi="Arial" w:cs="Arial"/>
          <w:sz w:val="24"/>
          <w:szCs w:val="24"/>
          <w:lang w:val="en-US"/>
        </w:rPr>
        <w:t xml:space="preserve">Almonacid Díaz, C. (2019). </w:t>
      </w:r>
      <w:r>
        <w:rPr>
          <w:rFonts w:ascii="Arial" w:hAnsi="Arial" w:cs="Arial"/>
          <w:sz w:val="24"/>
          <w:szCs w:val="24"/>
        </w:rPr>
        <w:t xml:space="preserve">El sentido de la razón cordial. Entre la norma y el sentir, una ética en situación. En E. González-Esteban, J. C. Siurana, J. L. López González y M. García-Granero Gascó (Coords.), </w:t>
      </w:r>
      <w:r>
        <w:rPr>
          <w:rFonts w:ascii="Arial" w:hAnsi="Arial" w:cs="Arial"/>
          <w:i/>
          <w:iCs/>
          <w:sz w:val="24"/>
          <w:szCs w:val="24"/>
        </w:rPr>
        <w:t>Ética y democracia: desde la razón cordial</w:t>
      </w:r>
      <w:r>
        <w:rPr>
          <w:rFonts w:ascii="Arial" w:hAnsi="Arial" w:cs="Arial"/>
          <w:sz w:val="24"/>
          <w:szCs w:val="24"/>
        </w:rPr>
        <w:t xml:space="preserve"> (pp. 49–55). </w:t>
      </w:r>
      <w:r>
        <w:rPr>
          <w:rFonts w:ascii="Arial" w:hAnsi="Arial" w:cs="Arial"/>
          <w:sz w:val="24"/>
          <w:szCs w:val="24"/>
          <w:lang w:val="en-US"/>
        </w:rPr>
        <w:t>Editorial Comares.</w:t>
      </w:r>
    </w:p>
    <w:p w14:paraId="00000036" w14:textId="77777777" w:rsidR="00250F56" w:rsidRDefault="00000000">
      <w:pPr>
        <w:spacing w:after="100" w:line="264" w:lineRule="auto"/>
        <w:ind w:left="480" w:hanging="480"/>
        <w:jc w:val="both"/>
        <w:rPr>
          <w:rFonts w:ascii="Arial" w:hAnsi="Arial" w:cs="Arial"/>
          <w:sz w:val="24"/>
          <w:szCs w:val="24"/>
        </w:rPr>
      </w:pPr>
      <w:r>
        <w:rPr>
          <w:rFonts w:ascii="Arial" w:hAnsi="Arial" w:cs="Arial"/>
          <w:sz w:val="24"/>
          <w:szCs w:val="24"/>
          <w:lang w:val="en-US"/>
        </w:rPr>
        <w:t xml:space="preserve">Biggs, J., y Tang, C. (2011). </w:t>
      </w:r>
      <w:r>
        <w:rPr>
          <w:rFonts w:ascii="Arial" w:hAnsi="Arial" w:cs="Arial"/>
          <w:i/>
          <w:iCs/>
          <w:sz w:val="24"/>
          <w:szCs w:val="24"/>
          <w:lang w:val="en-US"/>
        </w:rPr>
        <w:t>Teaching for quality learning at university</w:t>
      </w:r>
      <w:r>
        <w:rPr>
          <w:rFonts w:ascii="Arial" w:hAnsi="Arial" w:cs="Arial"/>
          <w:sz w:val="24"/>
          <w:szCs w:val="24"/>
          <w:lang w:val="en-US"/>
        </w:rPr>
        <w:t xml:space="preserve"> (4.ª ed.). </w:t>
      </w:r>
      <w:r>
        <w:rPr>
          <w:rFonts w:ascii="Arial" w:hAnsi="Arial" w:cs="Arial"/>
          <w:sz w:val="24"/>
          <w:szCs w:val="24"/>
        </w:rPr>
        <w:t>Open University Press.</w:t>
      </w:r>
    </w:p>
    <w:p w14:paraId="370EB994" w14:textId="70690159" w:rsidR="00543F51" w:rsidRPr="00064F34" w:rsidRDefault="00543F51">
      <w:pPr>
        <w:spacing w:after="100" w:line="264" w:lineRule="auto"/>
        <w:ind w:left="480" w:hanging="480"/>
        <w:jc w:val="both"/>
        <w:rPr>
          <w:rFonts w:ascii="Arial" w:hAnsi="Arial" w:cs="Arial"/>
          <w:sz w:val="24"/>
          <w:szCs w:val="24"/>
        </w:rPr>
      </w:pPr>
      <w:r>
        <w:rPr>
          <w:rFonts w:ascii="Arial" w:hAnsi="Arial" w:cs="Arial"/>
          <w:sz w:val="24"/>
          <w:szCs w:val="24"/>
        </w:rPr>
        <w:t xml:space="preserve">Blanco, M. (2011). El enfoque del curso de vida: orígenes y desarrollo. </w:t>
      </w:r>
      <w:r>
        <w:rPr>
          <w:rFonts w:ascii="Arial" w:hAnsi="Arial" w:cs="Arial"/>
          <w:i/>
          <w:iCs/>
          <w:sz w:val="24"/>
          <w:szCs w:val="24"/>
        </w:rPr>
        <w:t>Revista Latinoamericana de Población</w:t>
      </w:r>
      <w:r>
        <w:rPr>
          <w:rFonts w:ascii="Arial" w:hAnsi="Arial" w:cs="Arial"/>
          <w:sz w:val="24"/>
          <w:szCs w:val="24"/>
        </w:rPr>
        <w:t xml:space="preserve">, </w:t>
      </w:r>
      <w:r>
        <w:rPr>
          <w:rFonts w:ascii="Arial" w:hAnsi="Arial" w:cs="Arial"/>
          <w:i/>
          <w:iCs/>
          <w:sz w:val="24"/>
          <w:szCs w:val="24"/>
        </w:rPr>
        <w:t>5</w:t>
      </w:r>
      <w:r>
        <w:rPr>
          <w:rFonts w:ascii="Arial" w:hAnsi="Arial" w:cs="Arial"/>
          <w:sz w:val="24"/>
          <w:szCs w:val="24"/>
        </w:rPr>
        <w:t>(8), 5-31. https://doi.org/10.31406/relap2011.v5.i1.n8.1</w:t>
      </w:r>
    </w:p>
    <w:p w14:paraId="00000038" w14:textId="77777777" w:rsidR="00250F56" w:rsidRPr="00876767" w:rsidRDefault="00000000">
      <w:pPr>
        <w:spacing w:after="100" w:line="264" w:lineRule="auto"/>
        <w:ind w:left="480" w:hanging="480"/>
        <w:jc w:val="both"/>
        <w:rPr>
          <w:rFonts w:ascii="Arial" w:hAnsi="Arial" w:cs="Arial"/>
          <w:sz w:val="24"/>
          <w:szCs w:val="24"/>
          <w:lang w:val="es-MX"/>
        </w:rPr>
      </w:pPr>
      <w:r>
        <w:rPr>
          <w:rFonts w:ascii="Arial" w:hAnsi="Arial" w:cs="Arial"/>
          <w:sz w:val="24"/>
          <w:szCs w:val="24"/>
          <w:lang w:val="en-US"/>
        </w:rPr>
        <w:t xml:space="preserve">Bruner, J. (1960). </w:t>
      </w:r>
      <w:r>
        <w:rPr>
          <w:rFonts w:ascii="Arial" w:hAnsi="Arial" w:cs="Arial"/>
          <w:i/>
          <w:iCs/>
          <w:sz w:val="24"/>
          <w:szCs w:val="24"/>
          <w:lang w:val="en-US"/>
        </w:rPr>
        <w:t>The process of education</w:t>
      </w:r>
      <w:r>
        <w:rPr>
          <w:rFonts w:ascii="Arial" w:hAnsi="Arial" w:cs="Arial"/>
          <w:sz w:val="24"/>
          <w:szCs w:val="24"/>
          <w:lang w:val="en-US"/>
        </w:rPr>
        <w:t xml:space="preserve">. </w:t>
      </w:r>
      <w:r>
        <w:rPr>
          <w:rFonts w:ascii="Arial" w:hAnsi="Arial" w:cs="Arial"/>
          <w:sz w:val="24"/>
          <w:szCs w:val="24"/>
          <w:lang w:val="es-MX"/>
        </w:rPr>
        <w:t>Harvard University Press.</w:t>
      </w:r>
    </w:p>
    <w:p w14:paraId="51D0C36C" w14:textId="77777777" w:rsidR="002645E0" w:rsidRDefault="00000000">
      <w:pPr>
        <w:spacing w:after="100" w:line="264" w:lineRule="auto"/>
        <w:ind w:left="480" w:hanging="480"/>
        <w:jc w:val="both"/>
      </w:pPr>
      <w:r>
        <w:rPr>
          <w:rFonts w:ascii="Arial" w:hAnsi="Arial" w:cs="Arial"/>
          <w:sz w:val="24"/>
          <w:szCs w:val="24"/>
          <w:lang w:val="es-MX"/>
        </w:rPr>
        <w:t xml:space="preserve">Calvo Soto, A. P., Daza Arana, J. E., y Gómez Ramírez, E. (2020). Teorías generales que explican el movimiento corporal humano. En A. P. Calvo Soto, E. Gómez Ramírez, J. E. Daza Arana y C. A. Ordóñez Hernández (Coords.), </w:t>
      </w:r>
      <w:r>
        <w:rPr>
          <w:rFonts w:ascii="Arial" w:hAnsi="Arial" w:cs="Arial"/>
          <w:i/>
          <w:iCs/>
          <w:sz w:val="24"/>
          <w:szCs w:val="24"/>
          <w:lang w:val="es-MX"/>
        </w:rPr>
        <w:t>Modelos teóricos para fisioterapia</w:t>
      </w:r>
      <w:r>
        <w:rPr>
          <w:rFonts w:ascii="Arial" w:hAnsi="Arial" w:cs="Arial"/>
          <w:sz w:val="24"/>
          <w:szCs w:val="24"/>
          <w:lang w:val="es-MX"/>
        </w:rPr>
        <w:t xml:space="preserve"> (pp. 35-52). Editorial Universidad Santiago de Cali.</w:t>
      </w:r>
    </w:p>
    <w:p w14:paraId="66EAF89B" w14:textId="77777777" w:rsidR="00250F56" w:rsidRPr="00064F34" w:rsidRDefault="00000000">
      <w:pPr>
        <w:spacing w:after="100" w:line="264" w:lineRule="auto"/>
        <w:ind w:left="480" w:hanging="480"/>
        <w:jc w:val="both"/>
        <w:rPr>
          <w:rFonts w:ascii="Arial" w:hAnsi="Arial" w:cs="Arial"/>
          <w:sz w:val="24"/>
          <w:szCs w:val="24"/>
          <w:lang w:val="en-US"/>
        </w:rPr>
      </w:pPr>
      <w:r>
        <w:rPr>
          <w:rFonts w:ascii="Arial" w:hAnsi="Arial" w:cs="Arial"/>
          <w:sz w:val="24"/>
          <w:szCs w:val="24"/>
        </w:rPr>
        <w:t xml:space="preserve">Cortina, A. (2007). </w:t>
      </w:r>
      <w:r>
        <w:rPr>
          <w:rFonts w:ascii="Arial" w:hAnsi="Arial" w:cs="Arial"/>
          <w:i/>
          <w:iCs/>
          <w:sz w:val="24"/>
          <w:szCs w:val="24"/>
        </w:rPr>
        <w:t>Ética de la razón cordial: Educar en la ciudadanía en el siglo XXI</w:t>
      </w:r>
      <w:r>
        <w:rPr>
          <w:rFonts w:ascii="Arial" w:hAnsi="Arial" w:cs="Arial"/>
          <w:sz w:val="24"/>
          <w:szCs w:val="24"/>
        </w:rPr>
        <w:t xml:space="preserve">. </w:t>
      </w:r>
      <w:r>
        <w:rPr>
          <w:rFonts w:ascii="Arial" w:hAnsi="Arial" w:cs="Arial"/>
          <w:sz w:val="24"/>
          <w:szCs w:val="24"/>
          <w:lang w:val="en-US"/>
        </w:rPr>
        <w:t>Ediciones Nobel.</w:t>
      </w:r>
    </w:p>
    <w:p w14:paraId="00000039" w14:textId="77777777" w:rsidR="00250F56" w:rsidRPr="0028397E" w:rsidRDefault="00000000">
      <w:pPr>
        <w:spacing w:after="100" w:line="264" w:lineRule="auto"/>
        <w:ind w:left="480" w:hanging="480"/>
        <w:jc w:val="both"/>
        <w:rPr>
          <w:rFonts w:ascii="Arial" w:hAnsi="Arial" w:cs="Arial"/>
          <w:sz w:val="24"/>
          <w:szCs w:val="24"/>
          <w:lang w:val="es-MX"/>
        </w:rPr>
      </w:pPr>
      <w:r>
        <w:rPr>
          <w:rFonts w:ascii="Arial" w:hAnsi="Arial" w:cs="Arial"/>
          <w:sz w:val="24"/>
          <w:szCs w:val="24"/>
          <w:lang w:val="en-US"/>
        </w:rPr>
        <w:t xml:space="preserve">Cott, C. A., Finch, E., Gasner, D., Yoshida, K., Thomas, S. G., y Verrier, M. C. (1995). The movement continuum theory of physical therapy. </w:t>
      </w:r>
      <w:r>
        <w:rPr>
          <w:rFonts w:ascii="Arial" w:hAnsi="Arial" w:cs="Arial"/>
          <w:i/>
          <w:iCs/>
          <w:sz w:val="24"/>
          <w:szCs w:val="24"/>
          <w:lang w:val="es-MX"/>
        </w:rPr>
        <w:t>Physiotherapy Canada, 47</w:t>
      </w:r>
      <w:r>
        <w:rPr>
          <w:rFonts w:ascii="Arial" w:hAnsi="Arial" w:cs="Arial"/>
          <w:sz w:val="24"/>
          <w:szCs w:val="24"/>
          <w:lang w:val="es-MX"/>
        </w:rPr>
        <w:t>(2), 87-95.</w:t>
      </w:r>
    </w:p>
    <w:p>
      <w:pPr>
        <w:spacing w:after="100" w:line="264" w:lineRule="auto"/>
        <w:ind w:left="480" w:hanging="480"/>
        <w:jc w:val="both"/>
      </w:pPr>
      <w:r>
        <w:rPr>
          <w:rFonts w:ascii="Arial" w:hAnsi="Arial" w:cs="Arial"/>
          <w:sz w:val="24"/>
          <w:szCs w:val="24"/>
          <w:lang w:val="en-US"/>
        </w:rPr>
        <w:t xml:space="preserve">Decreto 1599 de 2022. (2022, 5 de agosto). Ministerio de Salud y Protección Social. </w:t>
      </w:r>
      <w:r>
        <w:rPr>
          <w:rFonts w:ascii="Arial" w:hAnsi="Arial" w:cs="Arial"/>
          <w:i/>
          <w:iCs/>
          <w:sz w:val="24"/>
          <w:szCs w:val="24"/>
          <w:lang w:val="en-US"/>
        </w:rPr>
        <w:t xml:space="preserve">Diario Oficial</w:t>
      </w:r>
      <w:r>
        <w:rPr>
          <w:rFonts w:ascii="Arial" w:hAnsi="Arial" w:cs="Arial"/>
          <w:sz w:val="24"/>
          <w:szCs w:val="24"/>
          <w:lang w:val="en-US"/>
        </w:rPr>
        <w:t xml:space="preserve"> 52.117.</w:t>
      </w:r>
    </w:p>
    <w:p>
      <w:pPr>
        <w:spacing w:after="100" w:line="264" w:lineRule="auto"/>
        <w:ind w:left="480" w:hanging="480"/>
        <w:jc w:val="both"/>
      </w:pPr>
      <w:r>
        <w:rPr>
          <w:rFonts w:ascii="Arial" w:hAnsi="Arial" w:cs="Arial"/>
          <w:sz w:val="24"/>
          <w:szCs w:val="24"/>
          <w:lang w:val="en-US"/>
        </w:rPr>
        <w:t xml:space="preserve">Decreto 858 de 2025. (2025, 30 de julio). Ministerio de Salud y Protección Social. </w:t>
      </w:r>
      <w:r>
        <w:rPr>
          <w:rFonts w:ascii="Arial" w:hAnsi="Arial" w:cs="Arial"/>
          <w:i/>
          <w:iCs/>
          <w:sz w:val="24"/>
          <w:szCs w:val="24"/>
          <w:lang w:val="en-US"/>
        </w:rPr>
        <w:t xml:space="preserve">Diario Oficial</w:t>
      </w:r>
      <w:r>
        <w:rPr>
          <w:rFonts w:ascii="Arial" w:hAnsi="Arial" w:cs="Arial"/>
          <w:sz w:val="24"/>
          <w:szCs w:val="24"/>
          <w:lang w:val="en-US"/>
        </w:rPr>
        <w:t xml:space="preserve"> 53.198.</w:t>
      </w:r>
    </w:p>
    <w:p w14:paraId="262E4439" w14:textId="76E776E6" w:rsidR="00C86C1C" w:rsidRPr="00876767" w:rsidRDefault="00C86C1C">
      <w:pPr>
        <w:spacing w:after="100" w:line="264" w:lineRule="auto"/>
        <w:ind w:left="480" w:hanging="480"/>
        <w:jc w:val="both"/>
        <w:rPr>
          <w:rFonts w:ascii="Arial" w:hAnsi="Arial" w:cs="Arial"/>
          <w:sz w:val="24"/>
          <w:szCs w:val="24"/>
          <w:lang w:val="es-MX"/>
        </w:rPr>
      </w:pPr>
      <w:r>
        <w:rPr>
          <w:rFonts w:ascii="Arial" w:hAnsi="Arial" w:cs="Arial"/>
          <w:sz w:val="24"/>
          <w:szCs w:val="24"/>
        </w:rPr>
        <w:t xml:space="preserve">De Tienda Palop, L. (2019). La compasión y la razón comunicativa como núcleo de la "Ethica cordis" de Adela Cortina. En E. González-Esteban, J. C. Siurana, J. L. López González y M. García-Granero Gascó (Coords.), </w:t>
      </w:r>
      <w:r>
        <w:rPr>
          <w:rFonts w:ascii="Arial" w:hAnsi="Arial" w:cs="Arial"/>
          <w:i/>
          <w:iCs/>
          <w:sz w:val="24"/>
          <w:szCs w:val="24"/>
        </w:rPr>
        <w:t>Ética y democracia: desde la razón cordial</w:t>
      </w:r>
      <w:r>
        <w:rPr>
          <w:rFonts w:ascii="Arial" w:hAnsi="Arial" w:cs="Arial"/>
          <w:sz w:val="24"/>
          <w:szCs w:val="24"/>
        </w:rPr>
        <w:t xml:space="preserve"> (pp. 41–47). </w:t>
      </w:r>
      <w:r>
        <w:rPr>
          <w:rFonts w:ascii="Arial" w:hAnsi="Arial" w:cs="Arial"/>
          <w:sz w:val="24"/>
          <w:szCs w:val="24"/>
          <w:lang w:val="es-MX"/>
        </w:rPr>
        <w:t>Editorial Comares.</w:t>
      </w:r>
    </w:p>
    <w:p w14:paraId="50E5E791" w14:textId="2FE372B2" w:rsidR="002645E0" w:rsidRPr="00876767" w:rsidRDefault="002645E0">
      <w:pPr>
        <w:spacing w:after="100" w:line="264" w:lineRule="auto"/>
        <w:ind w:left="480" w:hanging="480"/>
        <w:jc w:val="both"/>
        <w:rPr>
          <w:lang w:val="en-US"/>
        </w:rPr>
      </w:pPr>
      <w:hyperlink r:id="rId13" w:history="1"/>
      <w:r>
        <w:rPr>
          <w:rFonts w:ascii="Arial" w:hAnsi="Arial" w:cs="Arial"/>
          <w:sz w:val="24"/>
          <w:szCs w:val="24"/>
          <w:lang w:val="es-MX"/>
        </w:rPr>
        <w:t xml:space="preserve">Guerrero Peralta, A. L., Quiñones Landazuri, M., y Baquero Sastre, G. A. (2012). La patokinesis como forma de estructurar y favorecer el desarrollo de los procesos de práctica profesional del fisioterapeuta. </w:t>
      </w:r>
      <w:r>
        <w:rPr>
          <w:rFonts w:ascii="Arial" w:hAnsi="Arial" w:cs="Arial"/>
          <w:i/>
          <w:iCs/>
          <w:sz w:val="24"/>
          <w:szCs w:val="24"/>
          <w:lang w:val="en-US"/>
        </w:rPr>
        <w:t>Movimiento Científico, 6</w:t>
      </w:r>
      <w:r>
        <w:rPr>
          <w:rFonts w:ascii="Arial" w:hAnsi="Arial" w:cs="Arial"/>
          <w:sz w:val="24"/>
          <w:szCs w:val="24"/>
          <w:lang w:val="en-US"/>
        </w:rPr>
        <w:t>(1), 175-183.</w:t>
      </w:r>
    </w:p>
    <w:p w14:paraId="0000003C" w14:textId="77777777" w:rsidR="00250F56" w:rsidRPr="00876767" w:rsidRDefault="00000000">
      <w:pPr>
        <w:spacing w:after="100" w:line="264" w:lineRule="auto"/>
        <w:ind w:left="480" w:hanging="480"/>
        <w:jc w:val="both"/>
        <w:rPr>
          <w:rFonts w:ascii="Arial" w:hAnsi="Arial" w:cs="Arial"/>
          <w:sz w:val="24"/>
          <w:szCs w:val="24"/>
          <w:lang w:val="en-US"/>
        </w:rPr>
      </w:pPr>
      <w:r>
        <w:rPr>
          <w:rFonts w:ascii="Arial" w:hAnsi="Arial" w:cs="Arial"/>
          <w:sz w:val="24"/>
          <w:szCs w:val="24"/>
          <w:lang w:val="en-US"/>
        </w:rPr>
        <w:t xml:space="preserve">Harden, R. M. (2000). The integration ladder: A tool for curriculum planning and evaluation. </w:t>
      </w:r>
      <w:r>
        <w:rPr>
          <w:rFonts w:ascii="Arial" w:hAnsi="Arial" w:cs="Arial"/>
          <w:i/>
          <w:iCs/>
          <w:sz w:val="24"/>
          <w:szCs w:val="24"/>
          <w:lang w:val="en-US"/>
        </w:rPr>
        <w:t>Medical Education, 34</w:t>
      </w:r>
      <w:r>
        <w:rPr>
          <w:rFonts w:ascii="Arial" w:hAnsi="Arial" w:cs="Arial"/>
          <w:sz w:val="24"/>
          <w:szCs w:val="24"/>
          <w:lang w:val="en-US"/>
        </w:rPr>
        <w:t>(7), 551-557.</w:t>
      </w:r>
    </w:p>
    <w:p w14:paraId="1EF17DA5" w14:textId="77777777" w:rsidR="002645E0" w:rsidRPr="00876767" w:rsidRDefault="00000000">
      <w:pPr>
        <w:spacing w:after="100" w:line="264" w:lineRule="auto"/>
        <w:ind w:left="480" w:hanging="480"/>
        <w:jc w:val="both"/>
        <w:rPr>
          <w:lang w:val="en-US"/>
        </w:rPr>
      </w:pPr>
      <w:r>
        <w:rPr>
          <w:rFonts w:ascii="Arial" w:hAnsi="Arial" w:cs="Arial"/>
          <w:sz w:val="24"/>
          <w:szCs w:val="24"/>
          <w:lang w:val="en-US"/>
        </w:rPr>
        <w:t xml:space="preserve">Hislop, H. J. (1975). The not-so-impossible dream. </w:t>
      </w:r>
      <w:r>
        <w:rPr>
          <w:rFonts w:ascii="Arial" w:hAnsi="Arial" w:cs="Arial"/>
          <w:i/>
          <w:iCs/>
          <w:sz w:val="24"/>
          <w:szCs w:val="24"/>
          <w:lang w:val="en-US"/>
        </w:rPr>
        <w:t>Physical Therapy, 55</w:t>
      </w:r>
      <w:r>
        <w:rPr>
          <w:rFonts w:ascii="Arial" w:hAnsi="Arial" w:cs="Arial"/>
          <w:sz w:val="24"/>
          <w:szCs w:val="24"/>
          <w:lang w:val="en-US"/>
        </w:rPr>
        <w:t>(10), 1069-1080. https://doi.org/10.1093/ptj/55.10.1069</w:t>
      </w:r>
    </w:p>
    <w:p w14:paraId="7FDB181A" w14:textId="3E0E2C6F" w:rsidR="00E565EF" w:rsidRPr="001E79A0" w:rsidRDefault="00E565EF">
      <w:pPr>
        <w:spacing w:after="100" w:line="264" w:lineRule="auto"/>
        <w:ind w:left="480" w:hanging="480"/>
        <w:jc w:val="both"/>
        <w:rPr>
          <w:rFonts w:ascii="Arial" w:hAnsi="Arial" w:cs="Arial"/>
          <w:sz w:val="24"/>
          <w:szCs w:val="24"/>
          <w:lang w:val="en-US"/>
        </w:rPr>
      </w:pPr>
      <w:r>
        <w:rPr>
          <w:rFonts w:ascii="Arial" w:hAnsi="Arial" w:cs="Arial"/>
          <w:sz w:val="24"/>
          <w:szCs w:val="24"/>
        </w:rPr>
        <w:t xml:space="preserve">Jácome Velasco, S. J., Jaramillo Echeverri, L. G., y Bohórquez Góngora, F. F. (2020). Sentidos en educación y salud: Prácticas que enriquecen los currículos universitarios. </w:t>
      </w:r>
      <w:r>
        <w:rPr>
          <w:rFonts w:ascii="Arial" w:hAnsi="Arial" w:cs="Arial"/>
          <w:i/>
          <w:iCs/>
          <w:sz w:val="24"/>
          <w:szCs w:val="24"/>
          <w:lang w:val="en-US"/>
        </w:rPr>
        <w:t>Revista Educare</w:t>
      </w:r>
      <w:r>
        <w:rPr>
          <w:rFonts w:ascii="Arial" w:hAnsi="Arial" w:cs="Arial"/>
          <w:sz w:val="24"/>
          <w:szCs w:val="24"/>
          <w:lang w:val="en-US"/>
        </w:rPr>
        <w:t xml:space="preserve">, </w:t>
      </w:r>
      <w:r>
        <w:rPr>
          <w:rFonts w:ascii="Arial" w:hAnsi="Arial" w:cs="Arial"/>
          <w:i/>
          <w:iCs/>
          <w:sz w:val="24"/>
          <w:szCs w:val="24"/>
          <w:lang w:val="en-US"/>
        </w:rPr>
        <w:t>24</w:t>
      </w:r>
      <w:r>
        <w:rPr>
          <w:rFonts w:ascii="Arial" w:hAnsi="Arial" w:cs="Arial"/>
          <w:sz w:val="24"/>
          <w:szCs w:val="24"/>
          <w:lang w:val="en-US"/>
        </w:rPr>
        <w:t>(3), 73-88. https://doi.org/10.46498/reduipb.v24i3.1366</w:t>
      </w:r>
    </w:p>
    <w:p w14:paraId="0000003D" w14:textId="77777777" w:rsidR="00250F56" w:rsidRPr="00876767" w:rsidRDefault="00000000">
      <w:pPr>
        <w:spacing w:after="100" w:line="264" w:lineRule="auto"/>
        <w:ind w:left="480" w:hanging="480"/>
        <w:jc w:val="both"/>
        <w:rPr>
          <w:rFonts w:ascii="Arial" w:hAnsi="Arial" w:cs="Arial"/>
          <w:sz w:val="24"/>
          <w:szCs w:val="24"/>
          <w:lang w:val="en-US"/>
        </w:rPr>
      </w:pPr>
      <w:r>
        <w:rPr>
          <w:rFonts w:ascii="Arial" w:hAnsi="Arial" w:cs="Arial"/>
          <w:sz w:val="24"/>
          <w:szCs w:val="24"/>
          <w:lang w:val="en-US"/>
        </w:rPr>
        <w:t xml:space="preserve">Kuh, D., Ben-Shlomo, Y., Lynch, J., Hallqvist, J., y Power, C. (2003). Life course epidemiology. </w:t>
      </w:r>
      <w:r>
        <w:rPr>
          <w:rFonts w:ascii="Arial" w:hAnsi="Arial" w:cs="Arial"/>
          <w:i/>
          <w:iCs/>
          <w:sz w:val="24"/>
          <w:szCs w:val="24"/>
          <w:lang w:val="en-US"/>
        </w:rPr>
        <w:t>Journal of Epidemiology &amp; Community Health, 57</w:t>
      </w:r>
      <w:r>
        <w:rPr>
          <w:rFonts w:ascii="Arial" w:hAnsi="Arial" w:cs="Arial"/>
          <w:sz w:val="24"/>
          <w:szCs w:val="24"/>
          <w:lang w:val="en-US"/>
        </w:rPr>
        <w:t>(10), 778-783. https://doi.org/10.1136/jech.57.10.778</w:t>
      </w:r>
    </w:p>
    <w:p w14:paraId="0000003E" w14:textId="43B3E15E" w:rsidR="00250F56" w:rsidRPr="00876767" w:rsidRDefault="00000000">
      <w:pPr>
        <w:spacing w:after="100" w:line="264" w:lineRule="auto"/>
        <w:ind w:left="480" w:hanging="480"/>
        <w:jc w:val="both"/>
        <w:rPr>
          <w:rFonts w:ascii="Arial" w:hAnsi="Arial" w:cs="Arial"/>
          <w:sz w:val="24"/>
          <w:szCs w:val="24"/>
          <w:lang w:val="es-MX"/>
        </w:rPr>
      </w:pPr>
      <w:r>
        <w:rPr>
          <w:rFonts w:ascii="Arial" w:hAnsi="Arial" w:cs="Arial"/>
          <w:sz w:val="24"/>
          <w:szCs w:val="24"/>
          <w:lang w:val="en-US"/>
        </w:rPr>
        <w:t xml:space="preserve">Le Breton, D. (2011). </w:t>
      </w:r>
      <w:r>
        <w:rPr>
          <w:rFonts w:ascii="Arial" w:hAnsi="Arial" w:cs="Arial"/>
          <w:i/>
          <w:iCs/>
          <w:sz w:val="24"/>
          <w:szCs w:val="24"/>
        </w:rPr>
        <w:t>Adiós al cuerpo: una teoría del cuerpo en el extremo contemporáneo</w:t>
      </w:r>
      <w:r>
        <w:rPr>
          <w:rFonts w:ascii="Arial" w:hAnsi="Arial" w:cs="Arial"/>
          <w:sz w:val="24"/>
          <w:szCs w:val="24"/>
        </w:rPr>
        <w:t xml:space="preserve">. </w:t>
      </w:r>
      <w:r>
        <w:rPr>
          <w:rFonts w:ascii="Arial" w:hAnsi="Arial" w:cs="Arial"/>
          <w:sz w:val="24"/>
          <w:szCs w:val="24"/>
          <w:lang w:val="es-MX"/>
        </w:rPr>
        <w:t>La Cifra.</w:t>
      </w:r>
    </w:p>
    <w:p w14:paraId="5F31C83F" w14:textId="77777777" w:rsidR="002645E0" w:rsidRDefault="00000000">
      <w:pPr>
        <w:spacing w:after="100" w:line="264" w:lineRule="auto"/>
        <w:ind w:left="480" w:hanging="480"/>
        <w:jc w:val="both"/>
      </w:pPr>
      <w:r>
        <w:rPr>
          <w:rFonts w:ascii="Arial" w:hAnsi="Arial" w:cs="Arial"/>
          <w:sz w:val="24"/>
          <w:szCs w:val="24"/>
        </w:rPr>
        <w:t xml:space="preserve">Luhmann, N. (1998). </w:t>
      </w:r>
      <w:r>
        <w:rPr>
          <w:rFonts w:ascii="Arial" w:hAnsi="Arial" w:cs="Arial"/>
          <w:i/>
          <w:iCs/>
          <w:sz w:val="24"/>
          <w:szCs w:val="24"/>
        </w:rPr>
        <w:t>Sistemas sociales: lineamientos para una teoría general</w:t>
      </w:r>
      <w:r>
        <w:rPr>
          <w:rFonts w:ascii="Arial" w:hAnsi="Arial" w:cs="Arial"/>
          <w:sz w:val="24"/>
          <w:szCs w:val="24"/>
        </w:rPr>
        <w:t xml:space="preserve"> (2.ª ed.). Anthropos; Universidad Iberoamericana; CEJA.</w:t>
      </w:r>
    </w:p>
    <w:p>
      <w:pPr>
        <w:spacing w:after="100" w:line="264" w:lineRule="auto"/>
        <w:ind w:left="480" w:hanging="480"/>
        <w:jc w:val="both"/>
      </w:pPr>
      <w:r>
        <w:rPr>
          <w:rFonts w:ascii="Arial" w:hAnsi="Arial" w:cs="Arial"/>
          <w:sz w:val="24"/>
          <w:szCs w:val="24"/>
        </w:rPr>
        <w:t xml:space="preserve">Maturana, H., y Varela, F. (1973). </w:t>
      </w:r>
      <w:r>
        <w:rPr>
          <w:rFonts w:ascii="Arial" w:hAnsi="Arial" w:cs="Arial"/>
          <w:i/>
          <w:iCs/>
          <w:sz w:val="24"/>
          <w:szCs w:val="24"/>
        </w:rPr>
        <w:t xml:space="preserve">De máquinas y seres vivos: una teoría sobre la organización biológica</w:t>
      </w:r>
      <w:r>
        <w:rPr>
          <w:rFonts w:ascii="Arial" w:hAnsi="Arial" w:cs="Arial"/>
          <w:sz w:val="24"/>
          <w:szCs w:val="24"/>
        </w:rPr>
        <w:t xml:space="preserve">. Editorial Universitaria.</w:t>
      </w:r>
    </w:p>
    <w:p w14:paraId="13DC041D" w14:textId="77777777" w:rsidR="002645E0" w:rsidRDefault="00000000">
      <w:pPr>
        <w:spacing w:after="100" w:line="264" w:lineRule="auto"/>
        <w:ind w:left="480" w:hanging="480"/>
        <w:jc w:val="both"/>
      </w:pPr>
      <w:r>
        <w:rPr>
          <w:rFonts w:ascii="Arial" w:hAnsi="Arial" w:cs="Arial"/>
          <w:sz w:val="24"/>
          <w:szCs w:val="24"/>
        </w:rPr>
        <w:t xml:space="preserve">Ministerio de Salud y Protección Social. (2015). </w:t>
      </w:r>
      <w:r>
        <w:rPr>
          <w:rFonts w:ascii="Arial" w:hAnsi="Arial" w:cs="Arial"/>
          <w:i/>
          <w:iCs/>
          <w:sz w:val="24"/>
          <w:szCs w:val="24"/>
        </w:rPr>
        <w:t>Política Colombiana de Envejecimiento Humano y Vejez 2015-2024</w:t>
      </w:r>
      <w:r>
        <w:rPr>
          <w:rFonts w:ascii="Arial" w:hAnsi="Arial" w:cs="Arial"/>
          <w:sz w:val="24"/>
          <w:szCs w:val="24"/>
        </w:rPr>
        <w:t>. https://www.minsalud.gov.co/sites/rid/Lists/BibliotecaDigital/RIDE/DE/PS/Pol%C3%ADtica-colombiana-envejecimiento-humano-vejez-2015-2024.pdf</w:t>
      </w:r>
    </w:p>
    <w:p w14:paraId="2E235E1D" w14:textId="1E0C4486" w:rsidR="00A94B46" w:rsidRPr="00064F34" w:rsidRDefault="00A94B46">
      <w:pPr>
        <w:spacing w:after="100" w:line="264" w:lineRule="auto"/>
        <w:ind w:left="480" w:hanging="480"/>
        <w:jc w:val="both"/>
        <w:rPr>
          <w:rFonts w:ascii="Arial" w:hAnsi="Arial" w:cs="Arial"/>
          <w:sz w:val="24"/>
          <w:szCs w:val="24"/>
        </w:rPr>
      </w:pPr>
      <w:r>
        <w:rPr>
          <w:rFonts w:ascii="Arial" w:hAnsi="Arial" w:cs="Arial"/>
          <w:sz w:val="24"/>
          <w:szCs w:val="24"/>
        </w:rPr>
        <w:t xml:space="preserve">Ministerio de Salud y Protección Social. (2016). </w:t>
      </w:r>
      <w:r>
        <w:rPr>
          <w:rFonts w:ascii="Arial" w:hAnsi="Arial" w:cs="Arial"/>
          <w:i/>
          <w:iCs/>
          <w:sz w:val="24"/>
          <w:szCs w:val="24"/>
        </w:rPr>
        <w:t>Política de Atención Integral en Salud: Un sistema de salud al servicio de la gente</w:t>
      </w:r>
      <w:r>
        <w:rPr>
          <w:rFonts w:ascii="Arial" w:hAnsi="Arial" w:cs="Arial"/>
          <w:sz w:val="24"/>
          <w:szCs w:val="24"/>
        </w:rPr>
        <w:t xml:space="preserve"> [Documento técnico]. Ministerio de Salud y Protección Social. https://www.minsalud.gov.co/sites/rid/lists/bibliotecadigital/ride/de/modelo-pais-2016.pdf</w:t>
      </w:r>
    </w:p>
    <w:p w14:paraId="00000041"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Morales-Caro, M. S., y Torres-Baquero, M. (2013). Acercamiento y comprensión del cuerpo-sujeto en la kinesiterapia: una experiencia académica. </w:t>
      </w:r>
      <w:r>
        <w:rPr>
          <w:rFonts w:ascii="Arial" w:hAnsi="Arial" w:cs="Arial"/>
          <w:i/>
          <w:iCs/>
          <w:sz w:val="24"/>
          <w:szCs w:val="24"/>
        </w:rPr>
        <w:t>Revista de la Facultad de Medicina, 61</w:t>
      </w:r>
      <w:r>
        <w:rPr>
          <w:rFonts w:ascii="Arial" w:hAnsi="Arial" w:cs="Arial"/>
          <w:sz w:val="24"/>
          <w:szCs w:val="24"/>
        </w:rPr>
        <w:t>(4), 477-482.</w:t>
      </w:r>
    </w:p>
    <w:p w14:paraId="00000044" w14:textId="786B3646"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Normann, B. (2020). Facilitation of movement: New perspectives provide expanded insights to guide clinical practice. </w:t>
      </w:r>
      <w:r>
        <w:rPr>
          <w:rFonts w:ascii="Arial" w:hAnsi="Arial" w:cs="Arial"/>
          <w:i/>
          <w:iCs/>
          <w:sz w:val="24"/>
          <w:szCs w:val="24"/>
        </w:rPr>
        <w:t>Physiotherapy Theory and Practice, 36</w:t>
      </w:r>
      <w:r>
        <w:rPr>
          <w:rFonts w:ascii="Arial" w:hAnsi="Arial" w:cs="Arial"/>
          <w:sz w:val="24"/>
          <w:szCs w:val="24"/>
        </w:rPr>
        <w:t>(7), 769-778. https://doi.org/10.1080/09593985.2018.1493165</w:t>
      </w:r>
    </w:p>
    <w:p w14:paraId="00000045"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Organización Mundial de la Salud. (2001). </w:t>
      </w:r>
      <w:r>
        <w:rPr>
          <w:rFonts w:ascii="Arial" w:hAnsi="Arial" w:cs="Arial"/>
          <w:i/>
          <w:iCs/>
          <w:sz w:val="24"/>
          <w:szCs w:val="24"/>
        </w:rPr>
        <w:t>Clasificación Internacional del Funcionamiento, de la Discapacidad y de la Salud (CIF)</w:t>
      </w:r>
      <w:r>
        <w:rPr>
          <w:rFonts w:ascii="Arial" w:hAnsi="Arial" w:cs="Arial"/>
          <w:sz w:val="24"/>
          <w:szCs w:val="24"/>
        </w:rPr>
        <w:t>. OMS.</w:t>
      </w:r>
    </w:p>
    <w:p w14:paraId="7A4F698B" w14:textId="77777777" w:rsidR="002645E0" w:rsidRDefault="00000000">
      <w:pPr>
        <w:spacing w:after="100" w:line="264" w:lineRule="auto"/>
        <w:ind w:left="480" w:hanging="480"/>
        <w:jc w:val="both"/>
      </w:pPr>
      <w:r>
        <w:rPr>
          <w:rFonts w:ascii="Arial" w:hAnsi="Arial" w:cs="Arial"/>
          <w:sz w:val="24"/>
          <w:szCs w:val="24"/>
        </w:rPr>
        <w:t xml:space="preserve">Organización Mundial de la Salud. (2008). </w:t>
      </w:r>
      <w:r>
        <w:rPr>
          <w:rFonts w:ascii="Arial" w:hAnsi="Arial" w:cs="Arial"/>
          <w:i/>
          <w:iCs/>
          <w:sz w:val="24"/>
          <w:szCs w:val="24"/>
        </w:rPr>
        <w:t>Informe sobre la salud en el mundo 2008: la atención primaria de salud, más necesaria que nunca</w:t>
      </w:r>
      <w:r>
        <w:rPr>
          <w:rFonts w:ascii="Arial" w:hAnsi="Arial" w:cs="Arial"/>
          <w:sz w:val="24"/>
          <w:szCs w:val="24"/>
        </w:rPr>
        <w:t>. OMS.</w:t>
      </w:r>
    </w:p>
    <w:p w14:paraId="00000046" w14:textId="77777777" w:rsidR="00250F56"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Organización Mundial de la Salud. (2015). </w:t>
      </w:r>
      <w:r>
        <w:rPr>
          <w:rFonts w:ascii="Arial" w:hAnsi="Arial" w:cs="Arial"/>
          <w:i/>
          <w:iCs/>
          <w:sz w:val="24"/>
          <w:szCs w:val="24"/>
        </w:rPr>
        <w:t>Informe mundial sobre el envejecimiento y la salud</w:t>
      </w:r>
      <w:r>
        <w:rPr>
          <w:rFonts w:ascii="Arial" w:hAnsi="Arial" w:cs="Arial"/>
          <w:sz w:val="24"/>
          <w:szCs w:val="24"/>
        </w:rPr>
        <w:t>. OMS.</w:t>
      </w:r>
    </w:p>
    <w:p w14:paraId="7196F35C" w14:textId="440E1231" w:rsidR="001E79A0" w:rsidRPr="00064F34" w:rsidRDefault="001E79A0">
      <w:pPr>
        <w:spacing w:after="100" w:line="264" w:lineRule="auto"/>
        <w:ind w:left="480" w:hanging="480"/>
        <w:jc w:val="both"/>
        <w:rPr>
          <w:rFonts w:ascii="Arial" w:hAnsi="Arial" w:cs="Arial"/>
          <w:sz w:val="24"/>
          <w:szCs w:val="24"/>
        </w:rPr>
      </w:pPr>
      <w:r>
        <w:rPr>
          <w:rFonts w:ascii="Arial" w:hAnsi="Arial" w:cs="Arial"/>
          <w:sz w:val="24"/>
          <w:szCs w:val="24"/>
        </w:rPr>
        <w:t xml:space="preserve">Organización Mundial de la Salud y Fondo de las Naciones Unidas para la Infancia. (2021). </w:t>
      </w:r>
      <w:r>
        <w:rPr>
          <w:rFonts w:ascii="Arial" w:hAnsi="Arial" w:cs="Arial"/>
          <w:i/>
          <w:iCs/>
          <w:sz w:val="24"/>
          <w:szCs w:val="24"/>
        </w:rPr>
        <w:t>Marco operacional para la atención primaria de salud: transformar la visión en acción</w:t>
      </w:r>
      <w:r>
        <w:rPr>
          <w:rFonts w:ascii="Arial" w:hAnsi="Arial" w:cs="Arial"/>
          <w:sz w:val="24"/>
          <w:szCs w:val="24"/>
        </w:rPr>
        <w:t>. Organización Mundial de la Salud. https://www.who.int/es/publications/b/56502</w:t>
      </w:r>
    </w:p>
    <w:p w14:paraId="5390F859" w14:textId="77777777" w:rsidR="002645E0" w:rsidRDefault="00000000">
      <w:pPr>
        <w:spacing w:after="100" w:line="264" w:lineRule="auto"/>
        <w:ind w:left="480" w:hanging="480"/>
        <w:jc w:val="both"/>
      </w:pPr>
      <w:r>
        <w:rPr>
          <w:rFonts w:ascii="Arial" w:hAnsi="Arial" w:cs="Arial"/>
          <w:sz w:val="24"/>
          <w:szCs w:val="24"/>
        </w:rPr>
        <w:t xml:space="preserve">Organización Panamericana de la Salud. (2003). </w:t>
      </w:r>
      <w:r>
        <w:rPr>
          <w:rFonts w:ascii="Arial" w:hAnsi="Arial" w:cs="Arial"/>
          <w:i/>
          <w:iCs/>
          <w:sz w:val="24"/>
          <w:szCs w:val="24"/>
        </w:rPr>
        <w:t>Atención primaria de salud en las Américas: las enseñanzas extraídas a lo largo de 25 años y los retos futuros</w:t>
      </w:r>
      <w:r>
        <w:rPr>
          <w:rFonts w:ascii="Arial" w:hAnsi="Arial" w:cs="Arial"/>
          <w:sz w:val="24"/>
          <w:szCs w:val="24"/>
        </w:rPr>
        <w:t xml:space="preserve"> (Resolución CD44.R6). 44.º Consejo Directivo.</w:t>
      </w:r>
    </w:p>
    <w:p w14:paraId="7B945C19" w14:textId="77777777" w:rsidR="002645E0" w:rsidRDefault="00000000">
      <w:pPr>
        <w:spacing w:after="100" w:line="264" w:lineRule="auto"/>
        <w:ind w:left="480" w:hanging="480"/>
        <w:jc w:val="both"/>
      </w:pPr>
      <w:r>
        <w:rPr>
          <w:rFonts w:ascii="Arial" w:hAnsi="Arial" w:cs="Arial"/>
          <w:sz w:val="24"/>
          <w:szCs w:val="24"/>
        </w:rPr>
        <w:t xml:space="preserve">Organización Panamericana de la Salud. (2007). </w:t>
      </w:r>
      <w:r>
        <w:rPr>
          <w:rFonts w:ascii="Arial" w:hAnsi="Arial" w:cs="Arial"/>
          <w:i/>
          <w:iCs/>
          <w:sz w:val="24"/>
          <w:szCs w:val="24"/>
        </w:rPr>
        <w:t>La renovación de la atención primaria de salud en las Américas: documento de posición de la Organización Panamericana de la Salud/Organización Mundial de la Salud (OPS/OMS)</w:t>
      </w:r>
      <w:r>
        <w:rPr>
          <w:rFonts w:ascii="Arial" w:hAnsi="Arial" w:cs="Arial"/>
          <w:sz w:val="24"/>
          <w:szCs w:val="24"/>
        </w:rPr>
        <w:t>. OPS.</w:t>
      </w:r>
    </w:p>
    <w:p w14:paraId="00000047" w14:textId="5D47461B" w:rsidR="00250F56" w:rsidRPr="001E79A0"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Pedraza, Z. (2005). Cuerpo y movimiento: sobre la reconciliación de la condición corpórea de la vida. En A. Prieto Rodríguez, S. P. Naranjo Polanía y L. V. García Sánchez (Comps.), </w:t>
      </w:r>
      <w:r>
        <w:rPr>
          <w:rFonts w:ascii="Arial" w:hAnsi="Arial" w:cs="Arial"/>
          <w:i/>
          <w:iCs/>
          <w:sz w:val="24"/>
          <w:szCs w:val="24"/>
        </w:rPr>
        <w:t>Cuerpo-movimiento: perspectivas</w:t>
      </w:r>
      <w:r>
        <w:rPr>
          <w:rFonts w:ascii="Arial" w:hAnsi="Arial" w:cs="Arial"/>
          <w:sz w:val="24"/>
          <w:szCs w:val="24"/>
        </w:rPr>
        <w:t xml:space="preserve"> (pp. 85-95). Editorial Universidad del Rosario.</w:t>
      </w:r>
    </w:p>
    <w:p w14:paraId="059E2F42" w14:textId="77777777" w:rsidR="002645E0" w:rsidRDefault="00000000">
      <w:pPr>
        <w:spacing w:after="100" w:line="264" w:lineRule="auto"/>
        <w:ind w:left="480" w:hanging="480"/>
        <w:jc w:val="both"/>
      </w:pPr>
      <w:r>
        <w:rPr>
          <w:rFonts w:ascii="Arial" w:hAnsi="Arial" w:cs="Arial"/>
          <w:sz w:val="24"/>
          <w:szCs w:val="24"/>
        </w:rPr>
        <w:t xml:space="preserve">Prieto Rodríguez, A., Naranjo Polanía, S. P., y García Sánchez, L. V. (Comps.). (2005). </w:t>
      </w:r>
      <w:r>
        <w:rPr>
          <w:rFonts w:ascii="Arial" w:hAnsi="Arial" w:cs="Arial"/>
          <w:i/>
          <w:iCs/>
          <w:sz w:val="24"/>
          <w:szCs w:val="24"/>
        </w:rPr>
        <w:t>Cuerpo-movimiento: perspectivas</w:t>
      </w:r>
      <w:r>
        <w:rPr>
          <w:rFonts w:ascii="Arial" w:hAnsi="Arial" w:cs="Arial"/>
          <w:sz w:val="24"/>
          <w:szCs w:val="24"/>
        </w:rPr>
        <w:t>. Editorial Universidad del Rosario.</w:t>
      </w:r>
    </w:p>
    <w:p>
      <w:pPr>
        <w:spacing w:after="100" w:line="264" w:lineRule="auto"/>
        <w:ind w:left="480" w:hanging="480"/>
        <w:jc w:val="both"/>
      </w:pPr>
      <w:r>
        <w:rPr>
          <w:rFonts w:ascii="Arial" w:hAnsi="Arial" w:cs="Arial"/>
          <w:sz w:val="24"/>
          <w:szCs w:val="24"/>
        </w:rPr>
        <w:t xml:space="preserve">Resolución 429 de 2016. (2016, 17 de febrero). Ministerio de Salud y Protección Social. Por medio de la cual se adopta la Política de Atención Integral en Salud.</w:t>
      </w:r>
    </w:p>
    <w:p>
      <w:pPr>
        <w:spacing w:after="100" w:line="264" w:lineRule="auto"/>
        <w:ind w:left="480" w:hanging="480"/>
        <w:jc w:val="both"/>
      </w:pPr>
      <w:r>
        <w:rPr>
          <w:rFonts w:ascii="Arial" w:hAnsi="Arial" w:cs="Arial"/>
          <w:sz w:val="24"/>
          <w:szCs w:val="24"/>
        </w:rPr>
        <w:t xml:space="preserve">Resolución 2626 de 2019. (2019, 27 de septiembre). Ministerio de Salud y Protección Social. Por la cual se modifica la Política de Atención Integral en Salud (PAIS) y se adopta el Modelo de Acción Integral Territorial (MAITE). </w:t>
      </w:r>
      <w:r>
        <w:rPr>
          <w:rFonts w:ascii="Arial" w:hAnsi="Arial" w:cs="Arial"/>
          <w:i/>
          <w:iCs/>
          <w:sz w:val="24"/>
          <w:szCs w:val="24"/>
        </w:rPr>
        <w:t xml:space="preserve">Diario Oficial</w:t>
      </w:r>
      <w:r>
        <w:rPr>
          <w:rFonts w:ascii="Arial" w:hAnsi="Arial" w:cs="Arial"/>
          <w:sz w:val="24"/>
          <w:szCs w:val="24"/>
        </w:rPr>
        <w:t xml:space="preserve"> 51.092.</w:t>
      </w:r>
    </w:p>
    <w:p w14:paraId="5A7B5CB7" w14:textId="044A3656" w:rsidR="000C2E3F" w:rsidRPr="001E79A0" w:rsidRDefault="000C2E3F">
      <w:pPr>
        <w:spacing w:after="100" w:line="264" w:lineRule="auto"/>
        <w:ind w:left="480" w:hanging="480"/>
        <w:jc w:val="both"/>
        <w:rPr>
          <w:rFonts w:ascii="Arial" w:hAnsi="Arial" w:cs="Arial"/>
          <w:sz w:val="24"/>
          <w:szCs w:val="24"/>
        </w:rPr>
      </w:pPr>
      <w:r>
        <w:rPr>
          <w:rFonts w:ascii="Arial" w:hAnsi="Arial" w:cs="Arial"/>
          <w:sz w:val="24"/>
          <w:szCs w:val="24"/>
        </w:rPr>
        <w:t xml:space="preserve">Sánchez Pachón, J. (2015). Adela Cortina: el reto de la ética cordial. </w:t>
      </w:r>
      <w:r>
        <w:rPr>
          <w:rFonts w:ascii="Arial" w:hAnsi="Arial" w:cs="Arial"/>
          <w:i/>
          <w:iCs/>
          <w:sz w:val="24"/>
          <w:szCs w:val="24"/>
        </w:rPr>
        <w:t>Brocar. Cuadernos de Investigación Histórica</w:t>
      </w:r>
      <w:r>
        <w:rPr>
          <w:rFonts w:ascii="Arial" w:hAnsi="Arial" w:cs="Arial"/>
          <w:sz w:val="24"/>
          <w:szCs w:val="24"/>
        </w:rPr>
        <w:t>, (39), 397–422. https://doi.org/10.18172/brocar.2901</w:t>
      </w:r>
    </w:p>
    <w:p>
      <w:pPr>
        <w:spacing w:after="100" w:line="264" w:lineRule="auto"/>
        <w:ind w:left="480" w:hanging="480"/>
        <w:jc w:val="both"/>
      </w:pPr>
      <w:r>
        <w:rPr>
          <w:rFonts w:ascii="Arial" w:hAnsi="Arial" w:cs="Arial"/>
          <w:sz w:val="24"/>
          <w:szCs w:val="24"/>
        </w:rPr>
        <w:t xml:space="preserve">Tobón, S. (2010). </w:t>
      </w:r>
      <w:r>
        <w:rPr>
          <w:rFonts w:ascii="Arial" w:hAnsi="Arial" w:cs="Arial"/>
          <w:i/>
          <w:iCs/>
          <w:sz w:val="24"/>
          <w:szCs w:val="24"/>
        </w:rPr>
        <w:t xml:space="preserve">Formación integral y competencias: pensamiento complejo, currículo, didáctica y evaluación</w:t>
      </w:r>
      <w:r>
        <w:rPr>
          <w:rFonts w:ascii="Arial" w:hAnsi="Arial" w:cs="Arial"/>
          <w:sz w:val="24"/>
          <w:szCs w:val="24"/>
        </w:rPr>
        <w:t xml:space="preserve"> (3.ª ed.). Ecoe Ediciones.</w:t>
      </w:r>
    </w:p>
    <w:p w14:paraId="0000004A"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Torres Andrade, M. V. (2017). </w:t>
      </w:r>
      <w:r>
        <w:rPr>
          <w:rFonts w:ascii="Arial" w:hAnsi="Arial" w:cs="Arial"/>
          <w:i/>
          <w:iCs/>
          <w:sz w:val="24"/>
          <w:szCs w:val="24"/>
        </w:rPr>
        <w:t>Hacia una pedagogía del contacto en fisioterapia</w:t>
      </w:r>
      <w:r>
        <w:rPr>
          <w:rFonts w:ascii="Arial" w:hAnsi="Arial" w:cs="Arial"/>
          <w:sz w:val="24"/>
          <w:szCs w:val="24"/>
        </w:rPr>
        <w:t>. Editorial Universidad del Cauca.</w:t>
      </w:r>
    </w:p>
    <w:p w14:paraId="0000004B"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rPr>
        <w:t xml:space="preserve">Torres Andrade, M. V., y Jaramillo Echeverri, L. G. (2016). Por los intersticios del contacto: procesos relacionales en estudiantes universitarios. </w:t>
      </w:r>
      <w:r>
        <w:rPr>
          <w:rFonts w:ascii="Arial" w:hAnsi="Arial" w:cs="Arial"/>
          <w:i/>
          <w:iCs/>
          <w:sz w:val="24"/>
          <w:szCs w:val="24"/>
        </w:rPr>
        <w:t>Nómadas</w:t>
      </w:r>
      <w:r>
        <w:rPr>
          <w:rFonts w:ascii="Arial" w:hAnsi="Arial" w:cs="Arial"/>
          <w:sz w:val="24"/>
          <w:szCs w:val="24"/>
        </w:rPr>
        <w:t>, (44), 185-199.</w:t>
      </w:r>
    </w:p>
    <w:p w14:paraId="2087BA57" w14:textId="1EB249E2" w:rsidR="002645E0" w:rsidRDefault="002645E0">
      <w:pPr>
        <w:spacing w:after="100" w:line="264" w:lineRule="auto"/>
        <w:ind w:left="480" w:hanging="480"/>
        <w:jc w:val="both"/>
      </w:pPr>
      <w:hyperlink r:id="rId14" w:tgtFrame="_blank" w:history="1"/>
      <w:r>
        <w:rPr>
          <w:rFonts w:ascii="Arial" w:hAnsi="Arial" w:cs="Arial"/>
          <w:sz w:val="24"/>
          <w:szCs w:val="24"/>
        </w:rPr>
        <w:t xml:space="preserve">Universidad del Cauca. (2011). </w:t>
      </w:r>
      <w:r>
        <w:rPr>
          <w:rFonts w:ascii="Arial" w:hAnsi="Arial" w:cs="Arial"/>
          <w:i/>
          <w:iCs/>
          <w:sz w:val="24"/>
          <w:szCs w:val="24"/>
        </w:rPr>
        <w:t>Acuerdo 036 de 2011, por el cual se adopta el Estatuto Académico de la Universidad del Cauca</w:t>
      </w:r>
      <w:r>
        <w:rPr>
          <w:rFonts w:ascii="Arial" w:hAnsi="Arial" w:cs="Arial"/>
          <w:sz w:val="24"/>
          <w:szCs w:val="24"/>
        </w:rPr>
        <w:t>. Consejo Superior. https://www.unicauca.edu.co/archivos/publicos/DOC_66b4092be1a5e8_21287448.pdf</w:t>
      </w:r>
    </w:p>
    <w:p w14:paraId="0000004D" w14:textId="77777777" w:rsidR="00250F56" w:rsidRPr="0028397E" w:rsidRDefault="00000000">
      <w:pPr>
        <w:spacing w:after="100" w:line="264" w:lineRule="auto"/>
        <w:ind w:left="480" w:hanging="480"/>
        <w:jc w:val="both"/>
        <w:rPr>
          <w:rFonts w:ascii="Arial" w:hAnsi="Arial" w:cs="Arial"/>
          <w:sz w:val="24"/>
          <w:szCs w:val="24"/>
          <w:lang w:val="es-MX"/>
        </w:rPr>
      </w:pPr>
      <w:r>
        <w:rPr>
          <w:rFonts w:ascii="Arial" w:hAnsi="Arial" w:cs="Arial"/>
          <w:sz w:val="24"/>
          <w:szCs w:val="24"/>
        </w:rPr>
        <w:t xml:space="preserve">Van Manen, M. (1998). </w:t>
      </w:r>
      <w:r>
        <w:rPr>
          <w:rFonts w:ascii="Arial" w:hAnsi="Arial" w:cs="Arial"/>
          <w:i/>
          <w:iCs/>
          <w:sz w:val="24"/>
          <w:szCs w:val="24"/>
        </w:rPr>
        <w:t>El tacto en la enseñanza: el significado de la sensibilidad pedagógica</w:t>
      </w:r>
      <w:r>
        <w:rPr>
          <w:rFonts w:ascii="Arial" w:hAnsi="Arial" w:cs="Arial"/>
          <w:sz w:val="24"/>
          <w:szCs w:val="24"/>
        </w:rPr>
        <w:t xml:space="preserve">. </w:t>
      </w:r>
      <w:r>
        <w:rPr>
          <w:rFonts w:ascii="Arial" w:hAnsi="Arial" w:cs="Arial"/>
          <w:sz w:val="24"/>
          <w:szCs w:val="24"/>
          <w:lang w:val="es-MX"/>
        </w:rPr>
        <w:t>Paidós.</w:t>
      </w:r>
    </w:p>
    <w:p w14:paraId="12045A66" w14:textId="77777777" w:rsidR="002645E0" w:rsidRDefault="00000000">
      <w:pPr>
        <w:spacing w:after="100" w:line="264" w:lineRule="auto"/>
        <w:ind w:left="480" w:hanging="480"/>
        <w:jc w:val="both"/>
      </w:pPr>
      <w:r>
        <w:rPr>
          <w:rFonts w:ascii="Arial" w:hAnsi="Arial" w:cs="Arial"/>
          <w:sz w:val="24"/>
          <w:szCs w:val="24"/>
        </w:rPr>
        <w:t xml:space="preserve">Vernaza-Pinzón, P. (2025). </w:t>
      </w:r>
      <w:r>
        <w:rPr>
          <w:rFonts w:ascii="Arial" w:hAnsi="Arial" w:cs="Arial"/>
          <w:i/>
          <w:iCs/>
          <w:sz w:val="24"/>
          <w:szCs w:val="24"/>
        </w:rPr>
        <w:t>Descubriendo diferentes capacidades en el mundo de la vida: desde las profundidades empáticas de la experiencia</w:t>
      </w:r>
      <w:r>
        <w:rPr>
          <w:rFonts w:ascii="Arial" w:hAnsi="Arial" w:cs="Arial"/>
          <w:sz w:val="24"/>
          <w:szCs w:val="24"/>
        </w:rPr>
        <w:t xml:space="preserve"> [Tesis doctoral, Universidad del Cauca-RUDECOLOMBIA].</w:t>
      </w:r>
    </w:p>
    <w:p w14:paraId="0000004E" w14:textId="77777777" w:rsidR="00250F56" w:rsidRPr="00064F34" w:rsidRDefault="00000000">
      <w:pPr>
        <w:spacing w:after="100" w:line="264" w:lineRule="auto"/>
        <w:ind w:left="480" w:hanging="480"/>
        <w:jc w:val="both"/>
        <w:rPr>
          <w:rFonts w:ascii="Arial" w:hAnsi="Arial" w:cs="Arial"/>
          <w:sz w:val="24"/>
          <w:szCs w:val="24"/>
        </w:rPr>
      </w:pPr>
      <w:r>
        <w:rPr>
          <w:rFonts w:ascii="Arial" w:hAnsi="Arial" w:cs="Arial"/>
          <w:sz w:val="24"/>
          <w:szCs w:val="24"/>
          <w:lang w:val="en-US"/>
        </w:rPr>
        <w:t xml:space="preserve">Wikström-Grotell, C., y Eriksson, K. (2012). Movement as a basic concept in physiotherapy: A human science approach. </w:t>
      </w:r>
      <w:r>
        <w:rPr>
          <w:rFonts w:ascii="Arial" w:hAnsi="Arial" w:cs="Arial"/>
          <w:i/>
          <w:iCs/>
          <w:sz w:val="24"/>
          <w:szCs w:val="24"/>
        </w:rPr>
        <w:t>Physiotherapy Theory and Practice, 28</w:t>
      </w:r>
      <w:r>
        <w:rPr>
          <w:rFonts w:ascii="Arial" w:hAnsi="Arial" w:cs="Arial"/>
          <w:sz w:val="24"/>
          <w:szCs w:val="24"/>
        </w:rPr>
        <w:t>(6), 428-438. https://doi.org/10.3109/09593985.2012.692582</w:t>
      </w:r>
    </w:p>
    <w:sectPr w:rsidR="00250F56" w:rsidRPr="00064F34">
      <w:footerReference w:type="default" r:id="rId15"/>
      <w:pgSz w:w="11906" w:h="16838"/>
      <w:pgMar w:top="1260" w:right="1260" w:bottom="126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2F3E9" w14:textId="77777777" w:rsidR="00453467" w:rsidRDefault="00453467">
      <w:r>
        <w:separator/>
      </w:r>
    </w:p>
  </w:endnote>
  <w:endnote w:type="continuationSeparator" w:id="0">
    <w:p w14:paraId="76B38F45" w14:textId="77777777" w:rsidR="00453467" w:rsidRDefault="0045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D9CD7D3-D73E-45EB-AEA8-28735371BC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3569AA46-D31B-4FF8-A9D3-305492E43364}"/>
    <w:embedBold r:id="rId3" w:fontKey="{3B279A44-AA73-40D6-9070-3806014641DD}"/>
    <w:embedItalic r:id="rId4" w:fontKey="{E5E68264-BFA6-46FB-A15D-66D55A49ECED}"/>
    <w:embedBoldItalic r:id="rId5" w:fontKey="{C7DBF1E0-D705-4506-AF49-3CD442B88653}"/>
  </w:font>
  <w:font w:name="Georgia">
    <w:panose1 w:val="02040502050405020303"/>
    <w:charset w:val="00"/>
    <w:family w:val="roman"/>
    <w:pitch w:val="variable"/>
    <w:sig w:usb0="00000287" w:usb1="00000000" w:usb2="00000000" w:usb3="00000000" w:csb0="0000009F" w:csb1="00000000"/>
    <w:embedItalic r:id="rId6" w:fontKey="{36051F66-DB8F-4114-A8AF-107B07B8F115}"/>
  </w:font>
  <w:font w:name="Aptos Display">
    <w:charset w:val="00"/>
    <w:family w:val="swiss"/>
    <w:pitch w:val="variable"/>
    <w:sig w:usb0="20000287" w:usb1="00000003" w:usb2="00000000" w:usb3="00000000" w:csb0="0000019F" w:csb1="00000000"/>
    <w:embedRegular r:id="rId7" w:fontKey="{38D258DD-4822-4EC5-9335-034571DA2A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250F56" w:rsidRDefault="00250F56">
    <w:pPr>
      <w:rPr>
        <w:color w:val="808080"/>
        <w:sz w:val="16"/>
        <w:szCs w:val="16"/>
      </w:rPr>
    </w:pPr>
  </w:p>
  <w:p w14:paraId="0000005A" w14:textId="77777777" w:rsidR="00250F56" w:rsidRDefault="00250F56">
    <w:pPr>
      <w:rPr>
        <w:color w:val="808080"/>
        <w:sz w:val="16"/>
        <w:szCs w:val="16"/>
      </w:rPr>
    </w:pPr>
  </w:p>
  <w:p w14:paraId="0000005B" w14:textId="408CA008" w:rsidR="00250F56" w:rsidRDefault="00000000">
    <w:r>
      <w:rPr>
        <w:color w:val="808080"/>
        <w:sz w:val="16"/>
        <w:szCs w:val="16"/>
      </w:rPr>
      <w:t xml:space="preserve"> </w:t>
    </w:r>
    <w:r>
      <w:rPr>
        <w:color w:val="808080"/>
        <w:sz w:val="16"/>
        <w:szCs w:val="16"/>
      </w:rPr>
      <w:fldChar w:fldCharType="begin"/>
    </w:r>
    <w:r>
      <w:rPr>
        <w:color w:val="808080"/>
        <w:sz w:val="16"/>
        <w:szCs w:val="16"/>
      </w:rPr>
      <w:instrText>PAGE</w:instrText>
    </w:r>
    <w:r>
      <w:rPr>
        <w:color w:val="808080"/>
        <w:sz w:val="16"/>
        <w:szCs w:val="16"/>
      </w:rPr>
      <w:fldChar w:fldCharType="separate"/>
    </w:r>
    <w:r w:rsidR="00F250D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F417" w14:textId="77777777" w:rsidR="00453467" w:rsidRDefault="00453467">
      <w:r>
        <w:separator/>
      </w:r>
    </w:p>
  </w:footnote>
  <w:footnote w:type="continuationSeparator" w:id="0">
    <w:p w14:paraId="7D595859" w14:textId="77777777" w:rsidR="00453467" w:rsidRDefault="00453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3F86"/>
    <w:multiLevelType w:val="hybridMultilevel"/>
    <w:tmpl w:val="8CAC07EA"/>
    <w:lvl w:ilvl="0" w:tplc="F41C60A2">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5EF1841"/>
    <w:multiLevelType w:val="hybridMultilevel"/>
    <w:tmpl w:val="567093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6250FF"/>
    <w:multiLevelType w:val="multilevel"/>
    <w:tmpl w:val="6FE6566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6ED2D0F"/>
    <w:multiLevelType w:val="multilevel"/>
    <w:tmpl w:val="877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70756"/>
    <w:multiLevelType w:val="multilevel"/>
    <w:tmpl w:val="348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C0421"/>
    <w:multiLevelType w:val="hybridMultilevel"/>
    <w:tmpl w:val="11E6F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90F2E5F"/>
    <w:multiLevelType w:val="hybridMultilevel"/>
    <w:tmpl w:val="6A70D064"/>
    <w:lvl w:ilvl="0" w:tplc="2086F56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A32E84"/>
    <w:multiLevelType w:val="hybridMultilevel"/>
    <w:tmpl w:val="F246FD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A4E3CAC"/>
    <w:multiLevelType w:val="multilevel"/>
    <w:tmpl w:val="A80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254BF"/>
    <w:multiLevelType w:val="multilevel"/>
    <w:tmpl w:val="E9F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61E6E"/>
    <w:multiLevelType w:val="multilevel"/>
    <w:tmpl w:val="46D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F7DC4"/>
    <w:multiLevelType w:val="hybridMultilevel"/>
    <w:tmpl w:val="23BEA4A4"/>
    <w:lvl w:ilvl="0" w:tplc="2086F56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3DD3300"/>
    <w:multiLevelType w:val="multilevel"/>
    <w:tmpl w:val="646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A0690"/>
    <w:multiLevelType w:val="multilevel"/>
    <w:tmpl w:val="D27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080439">
    <w:abstractNumId w:val="2"/>
  </w:num>
  <w:num w:numId="2" w16cid:durableId="527063174">
    <w:abstractNumId w:val="1"/>
  </w:num>
  <w:num w:numId="3" w16cid:durableId="224533371">
    <w:abstractNumId w:val="8"/>
  </w:num>
  <w:num w:numId="4" w16cid:durableId="778989664">
    <w:abstractNumId w:val="12"/>
  </w:num>
  <w:num w:numId="5" w16cid:durableId="1193572829">
    <w:abstractNumId w:val="7"/>
  </w:num>
  <w:num w:numId="6" w16cid:durableId="606960668">
    <w:abstractNumId w:val="5"/>
  </w:num>
  <w:num w:numId="7" w16cid:durableId="909001076">
    <w:abstractNumId w:val="6"/>
  </w:num>
  <w:num w:numId="8" w16cid:durableId="1067843956">
    <w:abstractNumId w:val="11"/>
  </w:num>
  <w:num w:numId="9" w16cid:durableId="1308970342">
    <w:abstractNumId w:val="0"/>
  </w:num>
  <w:num w:numId="10" w16cid:durableId="1488326775">
    <w:abstractNumId w:val="4"/>
  </w:num>
  <w:num w:numId="11" w16cid:durableId="2072003180">
    <w:abstractNumId w:val="3"/>
  </w:num>
  <w:num w:numId="12" w16cid:durableId="1123616056">
    <w:abstractNumId w:val="10"/>
  </w:num>
  <w:num w:numId="13" w16cid:durableId="376904133">
    <w:abstractNumId w:val="13"/>
  </w:num>
  <w:num w:numId="14" w16cid:durableId="730546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F56"/>
    <w:rsid w:val="0000660B"/>
    <w:rsid w:val="0001189A"/>
    <w:rsid w:val="00026DA8"/>
    <w:rsid w:val="00035852"/>
    <w:rsid w:val="00037624"/>
    <w:rsid w:val="00052FF7"/>
    <w:rsid w:val="00060BD8"/>
    <w:rsid w:val="00064F34"/>
    <w:rsid w:val="00071954"/>
    <w:rsid w:val="00086FD0"/>
    <w:rsid w:val="00097854"/>
    <w:rsid w:val="000B192E"/>
    <w:rsid w:val="000C2E3F"/>
    <w:rsid w:val="000C41A5"/>
    <w:rsid w:val="000C4CAB"/>
    <w:rsid w:val="000D4274"/>
    <w:rsid w:val="00132C80"/>
    <w:rsid w:val="001A5C59"/>
    <w:rsid w:val="001B3BD3"/>
    <w:rsid w:val="001E79A0"/>
    <w:rsid w:val="001E7E8D"/>
    <w:rsid w:val="002013B1"/>
    <w:rsid w:val="002059EA"/>
    <w:rsid w:val="002059FD"/>
    <w:rsid w:val="00233549"/>
    <w:rsid w:val="0023562E"/>
    <w:rsid w:val="00250F56"/>
    <w:rsid w:val="00256BC9"/>
    <w:rsid w:val="002645E0"/>
    <w:rsid w:val="0028397E"/>
    <w:rsid w:val="002A4CEF"/>
    <w:rsid w:val="002A7C24"/>
    <w:rsid w:val="002B796B"/>
    <w:rsid w:val="002C4A05"/>
    <w:rsid w:val="002C4F3C"/>
    <w:rsid w:val="002C53E3"/>
    <w:rsid w:val="002C6146"/>
    <w:rsid w:val="002C794B"/>
    <w:rsid w:val="002E30B7"/>
    <w:rsid w:val="002F7360"/>
    <w:rsid w:val="0031408C"/>
    <w:rsid w:val="003263D8"/>
    <w:rsid w:val="00337209"/>
    <w:rsid w:val="003513D3"/>
    <w:rsid w:val="003522D0"/>
    <w:rsid w:val="0035574A"/>
    <w:rsid w:val="00392B81"/>
    <w:rsid w:val="003B438A"/>
    <w:rsid w:val="003C3C32"/>
    <w:rsid w:val="003C52F6"/>
    <w:rsid w:val="003D58B4"/>
    <w:rsid w:val="003E309E"/>
    <w:rsid w:val="003F31D7"/>
    <w:rsid w:val="00402551"/>
    <w:rsid w:val="0041571A"/>
    <w:rsid w:val="00425400"/>
    <w:rsid w:val="00443BF3"/>
    <w:rsid w:val="00453467"/>
    <w:rsid w:val="00470DCE"/>
    <w:rsid w:val="0048174A"/>
    <w:rsid w:val="00483D34"/>
    <w:rsid w:val="00484A51"/>
    <w:rsid w:val="004878E0"/>
    <w:rsid w:val="0049138C"/>
    <w:rsid w:val="004A3957"/>
    <w:rsid w:val="004C58DC"/>
    <w:rsid w:val="004F2AB6"/>
    <w:rsid w:val="00502DA3"/>
    <w:rsid w:val="0053601C"/>
    <w:rsid w:val="00543F51"/>
    <w:rsid w:val="00550838"/>
    <w:rsid w:val="00560634"/>
    <w:rsid w:val="00564CB5"/>
    <w:rsid w:val="0056512F"/>
    <w:rsid w:val="00572DF6"/>
    <w:rsid w:val="00577A64"/>
    <w:rsid w:val="00584AA3"/>
    <w:rsid w:val="00591F5C"/>
    <w:rsid w:val="005B467A"/>
    <w:rsid w:val="005C0CA7"/>
    <w:rsid w:val="005C4036"/>
    <w:rsid w:val="005D3127"/>
    <w:rsid w:val="005D57E4"/>
    <w:rsid w:val="005E0DB1"/>
    <w:rsid w:val="005E3F0A"/>
    <w:rsid w:val="005F5B3E"/>
    <w:rsid w:val="006455F3"/>
    <w:rsid w:val="006706E3"/>
    <w:rsid w:val="0068300A"/>
    <w:rsid w:val="0069176F"/>
    <w:rsid w:val="006B07A4"/>
    <w:rsid w:val="007066EC"/>
    <w:rsid w:val="00716F88"/>
    <w:rsid w:val="00717170"/>
    <w:rsid w:val="00750507"/>
    <w:rsid w:val="007613F1"/>
    <w:rsid w:val="0076706D"/>
    <w:rsid w:val="007D07F9"/>
    <w:rsid w:val="007D2F86"/>
    <w:rsid w:val="007E0190"/>
    <w:rsid w:val="007F210C"/>
    <w:rsid w:val="00801AB2"/>
    <w:rsid w:val="00825452"/>
    <w:rsid w:val="00826B21"/>
    <w:rsid w:val="00841D33"/>
    <w:rsid w:val="008428E5"/>
    <w:rsid w:val="00847A59"/>
    <w:rsid w:val="00853D1E"/>
    <w:rsid w:val="008628FF"/>
    <w:rsid w:val="008727B7"/>
    <w:rsid w:val="00875C3B"/>
    <w:rsid w:val="00876767"/>
    <w:rsid w:val="0089206B"/>
    <w:rsid w:val="00894025"/>
    <w:rsid w:val="008965FD"/>
    <w:rsid w:val="008B5B47"/>
    <w:rsid w:val="009054E5"/>
    <w:rsid w:val="009406C1"/>
    <w:rsid w:val="00962AE1"/>
    <w:rsid w:val="00964E0B"/>
    <w:rsid w:val="00973948"/>
    <w:rsid w:val="00982938"/>
    <w:rsid w:val="009839C1"/>
    <w:rsid w:val="00990FF9"/>
    <w:rsid w:val="009A090B"/>
    <w:rsid w:val="009B1892"/>
    <w:rsid w:val="009B3BC0"/>
    <w:rsid w:val="009C0A98"/>
    <w:rsid w:val="009C2BD6"/>
    <w:rsid w:val="009D5CA1"/>
    <w:rsid w:val="009F6F80"/>
    <w:rsid w:val="00A016BC"/>
    <w:rsid w:val="00A02A12"/>
    <w:rsid w:val="00A03696"/>
    <w:rsid w:val="00A12B40"/>
    <w:rsid w:val="00A30236"/>
    <w:rsid w:val="00A450EF"/>
    <w:rsid w:val="00A4636E"/>
    <w:rsid w:val="00A55D36"/>
    <w:rsid w:val="00A635F4"/>
    <w:rsid w:val="00A80502"/>
    <w:rsid w:val="00A81D58"/>
    <w:rsid w:val="00A94B46"/>
    <w:rsid w:val="00A95E0F"/>
    <w:rsid w:val="00A972CB"/>
    <w:rsid w:val="00A97E71"/>
    <w:rsid w:val="00A97EA1"/>
    <w:rsid w:val="00AA5265"/>
    <w:rsid w:val="00AA5816"/>
    <w:rsid w:val="00AB6840"/>
    <w:rsid w:val="00AC0787"/>
    <w:rsid w:val="00AD1F70"/>
    <w:rsid w:val="00AF146D"/>
    <w:rsid w:val="00AF2C65"/>
    <w:rsid w:val="00B0191F"/>
    <w:rsid w:val="00B12276"/>
    <w:rsid w:val="00B12D0F"/>
    <w:rsid w:val="00B166CC"/>
    <w:rsid w:val="00B26215"/>
    <w:rsid w:val="00B31040"/>
    <w:rsid w:val="00B442F2"/>
    <w:rsid w:val="00B50FA8"/>
    <w:rsid w:val="00B6281B"/>
    <w:rsid w:val="00B96070"/>
    <w:rsid w:val="00BB75EA"/>
    <w:rsid w:val="00BF634F"/>
    <w:rsid w:val="00C0161A"/>
    <w:rsid w:val="00C20697"/>
    <w:rsid w:val="00C21A51"/>
    <w:rsid w:val="00C53F79"/>
    <w:rsid w:val="00C6358D"/>
    <w:rsid w:val="00C64B75"/>
    <w:rsid w:val="00C661D2"/>
    <w:rsid w:val="00C86C1C"/>
    <w:rsid w:val="00C95F1F"/>
    <w:rsid w:val="00CA5CE7"/>
    <w:rsid w:val="00CC2FA1"/>
    <w:rsid w:val="00CD2EFE"/>
    <w:rsid w:val="00CE468F"/>
    <w:rsid w:val="00D01AF1"/>
    <w:rsid w:val="00D26E2F"/>
    <w:rsid w:val="00D33AA5"/>
    <w:rsid w:val="00D34534"/>
    <w:rsid w:val="00D62897"/>
    <w:rsid w:val="00D62DFD"/>
    <w:rsid w:val="00D777E7"/>
    <w:rsid w:val="00D8291B"/>
    <w:rsid w:val="00DA4128"/>
    <w:rsid w:val="00DA5D89"/>
    <w:rsid w:val="00DB0D20"/>
    <w:rsid w:val="00DD0283"/>
    <w:rsid w:val="00DD4A09"/>
    <w:rsid w:val="00E12087"/>
    <w:rsid w:val="00E565EF"/>
    <w:rsid w:val="00E629F0"/>
    <w:rsid w:val="00E66A75"/>
    <w:rsid w:val="00E72ABE"/>
    <w:rsid w:val="00E74A00"/>
    <w:rsid w:val="00EA577A"/>
    <w:rsid w:val="00ED4F9F"/>
    <w:rsid w:val="00EE50D2"/>
    <w:rsid w:val="00F00FBF"/>
    <w:rsid w:val="00F12925"/>
    <w:rsid w:val="00F250D5"/>
    <w:rsid w:val="00F425E8"/>
    <w:rsid w:val="00F51F10"/>
    <w:rsid w:val="00F56CB4"/>
    <w:rsid w:val="00F60F2C"/>
    <w:rsid w:val="00F7117E"/>
    <w:rsid w:val="00FB2FAC"/>
    <w:rsid w:val="00FC28BB"/>
    <w:rsid w:val="00FF74AA"/>
    <w:rsid w:val="00FF77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41A3C"/>
  <w15:docId w15:val="{9F3BEFB7-346F-44B3-A539-AD26D77C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2E549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6AA0"/>
    <w:pPr>
      <w:tabs>
        <w:tab w:val="center" w:pos="4419"/>
        <w:tab w:val="right" w:pos="8838"/>
      </w:tabs>
    </w:pPr>
  </w:style>
  <w:style w:type="character" w:customStyle="1" w:styleId="HeaderChar">
    <w:name w:val="Header Char"/>
    <w:basedOn w:val="DefaultParagraphFont"/>
    <w:link w:val="Header"/>
    <w:uiPriority w:val="99"/>
    <w:rsid w:val="00646AA0"/>
  </w:style>
  <w:style w:type="paragraph" w:styleId="Footer">
    <w:name w:val="footer"/>
    <w:basedOn w:val="Normal"/>
    <w:link w:val="FooterChar"/>
    <w:uiPriority w:val="99"/>
    <w:unhideWhenUsed/>
    <w:rsid w:val="00646AA0"/>
    <w:pPr>
      <w:tabs>
        <w:tab w:val="center" w:pos="4419"/>
        <w:tab w:val="right" w:pos="8838"/>
      </w:tabs>
    </w:pPr>
  </w:style>
  <w:style w:type="character" w:customStyle="1" w:styleId="FooterChar">
    <w:name w:val="Footer Char"/>
    <w:basedOn w:val="DefaultParagraphFont"/>
    <w:link w:val="Footer"/>
    <w:uiPriority w:val="99"/>
    <w:rsid w:val="00646AA0"/>
  </w:style>
  <w:style w:type="character" w:styleId="CommentReference">
    <w:name w:val="annotation reference"/>
    <w:basedOn w:val="DefaultParagraphFont"/>
    <w:uiPriority w:val="99"/>
    <w:semiHidden/>
    <w:unhideWhenUsed/>
    <w:rsid w:val="00B16EC8"/>
    <w:rPr>
      <w:sz w:val="16"/>
      <w:szCs w:val="16"/>
    </w:rPr>
  </w:style>
  <w:style w:type="paragraph" w:styleId="CommentText">
    <w:name w:val="annotation text"/>
    <w:basedOn w:val="Normal"/>
    <w:link w:val="CommentTextChar"/>
    <w:uiPriority w:val="99"/>
    <w:unhideWhenUsed/>
    <w:rsid w:val="00B16EC8"/>
    <w:rPr>
      <w:sz w:val="20"/>
      <w:szCs w:val="20"/>
    </w:rPr>
  </w:style>
  <w:style w:type="character" w:customStyle="1" w:styleId="CommentTextChar">
    <w:name w:val="Comment Text Char"/>
    <w:basedOn w:val="DefaultParagraphFont"/>
    <w:link w:val="CommentText"/>
    <w:uiPriority w:val="99"/>
    <w:rsid w:val="00B16EC8"/>
    <w:rPr>
      <w:sz w:val="20"/>
      <w:szCs w:val="20"/>
    </w:rPr>
  </w:style>
  <w:style w:type="paragraph" w:styleId="CommentSubject">
    <w:name w:val="annotation subject"/>
    <w:basedOn w:val="CommentText"/>
    <w:next w:val="CommentText"/>
    <w:link w:val="CommentSubjectChar"/>
    <w:uiPriority w:val="99"/>
    <w:semiHidden/>
    <w:unhideWhenUsed/>
    <w:rsid w:val="00B16EC8"/>
    <w:rPr>
      <w:b/>
      <w:bCs/>
    </w:rPr>
  </w:style>
  <w:style w:type="character" w:customStyle="1" w:styleId="CommentSubjectChar">
    <w:name w:val="Comment Subject Char"/>
    <w:basedOn w:val="CommentTextChar"/>
    <w:link w:val="CommentSubject"/>
    <w:uiPriority w:val="99"/>
    <w:semiHidden/>
    <w:rsid w:val="00B16EC8"/>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2C4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577A"/>
    <w:rPr>
      <w:color w:val="605E5C"/>
      <w:shd w:val="clear" w:color="auto" w:fill="E1DFDD"/>
    </w:rPr>
  </w:style>
  <w:style w:type="paragraph" w:styleId="Revision">
    <w:name w:val="Revision"/>
    <w:hidden/>
    <w:uiPriority w:val="99"/>
    <w:semiHidden/>
    <w:rsid w:val="00876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libro-net.acceso.unicauca.edu.co/es/ereader/unicauca/162790?page=56" TargetMode="Externa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yperlink" Target="https://facsalud.unicauca.edu.co/salud/fisioterapi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CCJbpHmw3ouw9fYfk5ay6jsvHQ==">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4612</TotalTime>
  <Pages>1</Pages>
  <Words>8563</Words>
  <Characters>47100</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 Viviana Campos Bermudez</dc:creator>
  <cp:keywords/>
  <dc:description/>
  <cp:lastModifiedBy>DIEGO FERNANDO AFANADOR RESTREPO</cp:lastModifiedBy>
  <cp:revision>137</cp:revision>
  <dcterms:created xsi:type="dcterms:W3CDTF">2026-08-14T22:19:00Z</dcterms:created>
  <dcterms:modified xsi:type="dcterms:W3CDTF">2026-10-18T18:09:00Z</dcterms:modified>
</cp:coreProperties>
</file>