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ESG Sustainability Framework</w:t>
      </w:r>
    </w:p>
    <w:p>
      <w:pPr>
        <w:jc w:val="center"/>
      </w:pPr>
      <w:r>
        <w:rPr>
          <w:b w:val="0"/>
          <w:i/>
          <w:color w:val="C8A04A"/>
          <w:sz w:val="26"/>
        </w:rPr>
        <w:t>GRI · SASB · TCFD · UN SDGs · Net Zero by 2050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2026-06-16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Vision</w:t>
      </w:r>
    </w:p>
    <w:p>
      <w:r>
        <w:rPr>
          <w:b w:val="0"/>
          <w:i w:val="0"/>
        </w:rPr>
        <w:t>AFANO Group Holdings commits to operating as a responsible multinational, achieving net-zero Scope 1 and 2 emissions by 2045 and Scope 3 by 2050, with science-based targets validated under the SBTi framework.</w:t>
      </w:r>
    </w:p>
    <w:p>
      <w:pPr>
        <w:pStyle w:val="Heading1"/>
      </w:pPr>
      <w:r>
        <w:rPr>
          <w:b/>
          <w:color w:val="0B1F3A"/>
        </w:rPr>
        <w:t>2. Reporting Standards</w:t>
      </w:r>
    </w:p>
    <w:p>
      <w:pPr>
        <w:pStyle w:val="ListBullet"/>
      </w:pPr>
      <w:r>
        <w:t>Global Reporting Initiative (GRI) Universal Standards — annual report.</w:t>
      </w:r>
    </w:p>
    <w:p>
      <w:pPr>
        <w:pStyle w:val="ListBullet"/>
      </w:pPr>
      <w:r>
        <w:t>SASB sector standards mapped per SBG.</w:t>
      </w:r>
    </w:p>
    <w:p>
      <w:pPr>
        <w:pStyle w:val="ListBullet"/>
      </w:pPr>
      <w:r>
        <w:t>TCFD climate disclosures — physical &amp; transition risk.</w:t>
      </w:r>
    </w:p>
    <w:p>
      <w:pPr>
        <w:pStyle w:val="ListBullet"/>
      </w:pPr>
      <w:r>
        <w:t>UN Sustainable Development Goals — priority SDGs 4, 7, 8, 9, 11, 13, 17.</w:t>
      </w:r>
    </w:p>
    <w:p>
      <w:pPr>
        <w:pStyle w:val="ListBullet"/>
      </w:pPr>
      <w:r>
        <w:t>CDP Climate, Water, Forests questionnaires annually.</w:t>
      </w:r>
    </w:p>
    <w:p>
      <w:pPr>
        <w:pStyle w:val="ListBullet"/>
      </w:pPr>
      <w:r>
        <w:t>EU Corporate Sustainability Reporting Directive (CSRD) — for EU-trading subsidiaries.</w:t>
      </w:r>
    </w:p>
    <w:p>
      <w:pPr>
        <w:pStyle w:val="Heading1"/>
      </w:pPr>
      <w:r>
        <w:rPr>
          <w:b/>
          <w:color w:val="0B1F3A"/>
        </w:rPr>
        <w:t>3. Material Topics by SBG</w:t>
      </w:r>
    </w:p>
    <w:p>
      <w:pPr>
        <w:pStyle w:val="Heading2"/>
      </w:pPr>
      <w:r>
        <w:rPr>
          <w:b/>
          <w:color w:val="0E3A5F"/>
          <w:sz w:val="24"/>
        </w:rPr>
        <w:t>SBG 1 — AFANO Financial Services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1F6E3E"/>
          <w:sz w:val="24"/>
        </w:rPr>
        <w:t>SBG 2 — AFANO Energy &amp; Natural Resources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3B2E8C"/>
          <w:sz w:val="24"/>
        </w:rPr>
        <w:t>SBG 3 — AFANO Technology &amp; Digital Innovation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7A3D1C"/>
          <w:sz w:val="24"/>
        </w:rPr>
        <w:t>SBG 4 — AFANO Infrastructure, Real Estate &amp; Development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4F7A1F"/>
          <w:sz w:val="24"/>
        </w:rPr>
        <w:t>SBG 5 — AFANO Agriculture &amp; Agribusiness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A4173B"/>
          <w:sz w:val="24"/>
        </w:rPr>
        <w:t>SBG 6 — AFANO Healthcare &amp; Life Sciences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0F6E7A"/>
          <w:sz w:val="24"/>
        </w:rPr>
        <w:t>SBG 7 — AFANO Tourism, Hospitality &amp; Mobility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5B4E96"/>
          <w:sz w:val="24"/>
        </w:rPr>
        <w:t>SBG 8 — AFANO Education, Training &amp; Workforce Development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B23A4A"/>
          <w:sz w:val="24"/>
        </w:rPr>
        <w:t>SBG 9 — AFANO Media, Communications &amp; Entertainment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1F4F8C"/>
          <w:sz w:val="24"/>
        </w:rPr>
        <w:t>SBG 10 — AFANO Trade, Commerce &amp; Consumer Services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1C2E3E"/>
          <w:sz w:val="24"/>
        </w:rPr>
        <w:t>SBG 11 — AFANO Government, Defense &amp; National Security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5F4B1E"/>
          <w:sz w:val="24"/>
        </w:rPr>
        <w:t>SBG 12 — AFANO Industrial Manufacturing &amp; Supply Chain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2E4A3A"/>
          <w:sz w:val="24"/>
        </w:rPr>
        <w:t>SBG 13 — AFANO Professional &amp; Business Services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1B6E5E"/>
          <w:sz w:val="24"/>
        </w:rPr>
        <w:t>SBG 14 — AFANO Social Impact &amp; International Development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2"/>
      </w:pPr>
      <w:r>
        <w:rPr>
          <w:b/>
          <w:color w:val="C45A18"/>
          <w:sz w:val="24"/>
        </w:rPr>
        <w:t>SBG 15 — AFANO Sports, Recreation &amp; Youth Development Group</w:t>
      </w:r>
    </w:p>
    <w:p>
      <w:r>
        <w:rPr>
          <w:b w:val="0"/>
          <w:i/>
          <w:color w:val="555555"/>
          <w:sz w:val="18"/>
        </w:rPr>
        <w:t>Material topics tracked by the ESG team; specifics maintained in the SASB-mapped materiality matrix updated annually.</w:t>
      </w:r>
    </w:p>
    <w:p>
      <w:pPr>
        <w:pStyle w:val="Heading1"/>
      </w:pPr>
      <w:r>
        <w:rPr>
          <w:b/>
          <w:color w:val="0B1F3A"/>
        </w:rPr>
        <w:t>4. Governance</w:t>
      </w:r>
    </w:p>
    <w:p>
      <w:r>
        <w:rPr>
          <w:b w:val="0"/>
          <w:i w:val="0"/>
        </w:rPr>
        <w:t>ESG strategy is owned by the Chief Sustainability Officer (CSO) reporting to the CEO and to the Nominating &amp; ESG Committee. Compensation for the CEO and named officers includes ESG-linked performance metrics representing 15% of long-term incentive.</w:t>
      </w:r>
    </w:p>
    <w:p>
      <w:pPr>
        <w:pStyle w:val="Heading1"/>
      </w:pPr>
      <w:r>
        <w:rPr>
          <w:b/>
          <w:color w:val="0B1F3A"/>
        </w:rPr>
        <w:t>5. Climate Transition Plan</w:t>
      </w:r>
    </w:p>
    <w:p>
      <w:pPr>
        <w:pStyle w:val="ListBullet"/>
      </w:pPr>
      <w:r>
        <w:t>Baseline: Scope 1+2+3 inventory completed Year 1.</w:t>
      </w:r>
    </w:p>
    <w:p>
      <w:pPr>
        <w:pStyle w:val="ListBullet"/>
      </w:pPr>
      <w:r>
        <w:t>Years 2-5: 30% reduction in Scope 1+2 emissions intensity.</w:t>
      </w:r>
    </w:p>
    <w:p>
      <w:pPr>
        <w:pStyle w:val="ListBullet"/>
      </w:pPr>
      <w:r>
        <w:t>Years 5-10: 50% reduction; renewable energy in operations &gt;70%.</w:t>
      </w:r>
    </w:p>
    <w:p>
      <w:pPr>
        <w:pStyle w:val="ListBullet"/>
      </w:pPr>
      <w:r>
        <w:t>Years 10-20: Scope 3 supply-chain decarbonization; net-zero Scope 1+2.</w:t>
      </w:r>
    </w:p>
    <w:p>
      <w:pPr>
        <w:pStyle w:val="ListBullet"/>
      </w:pPr>
      <w:r>
        <w:t>Years 20-25: Net-zero Scope 3; residual offsets via certified removals only.</w:t>
      </w:r>
    </w:p>
    <w:p>
      <w:pPr>
        <w:pStyle w:val="Heading1"/>
      </w:pPr>
      <w:r>
        <w:rPr>
          <w:b/>
          <w:color w:val="0B1F3A"/>
        </w:rPr>
        <w:t>6. Social and Human Rights</w:t>
      </w:r>
    </w:p>
    <w:p>
      <w:r>
        <w:rPr>
          <w:b w:val="0"/>
          <w:i w:val="0"/>
        </w:rPr>
        <w:t>Group commits to the UN Guiding Principles on Business and Human Rights. Annual human-rights due diligence audit covering Tier-1 and material Tier-2 suppliers across the 15 SBGs.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