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B1F3A"/>
          <w:sz w:val="56"/>
        </w:rPr>
        <w:t>AFANO GROUP HOLDINGS</w:t>
      </w:r>
    </w:p>
    <w:p>
      <w:pPr>
        <w:jc w:val="center"/>
      </w:pPr>
      <w:r>
        <w:rPr>
          <w:b/>
          <w:i w:val="0"/>
          <w:color w:val="0B1F3A"/>
          <w:sz w:val="44"/>
        </w:rPr>
        <w:t>Group Marketing and Brand Standards</w:t>
      </w:r>
    </w:p>
    <w:p>
      <w:pPr>
        <w:jc w:val="center"/>
      </w:pPr>
      <w:r>
        <w:rPr>
          <w:b w:val="0"/>
          <w:i/>
          <w:color w:val="C8A04A"/>
          <w:sz w:val="26"/>
        </w:rPr>
        <w:t>House of Brands · Endorsement Lockup · Voice &amp; Visual System</w:t>
      </w:r>
    </w:p>
    <w:p>
      <w:pPr>
        <w:jc w:val="center"/>
      </w:pPr>
      <w:r>
        <w:rPr>
          <w:b w:val="0"/>
          <w:i w:val="0"/>
          <w:color w:val="555555"/>
          <w:sz w:val="20"/>
        </w:rPr>
        <w:t>Effective: 2026-06-16  ·  Version 1.0</w:t>
      </w:r>
    </w:p>
    <w:p>
      <w:r>
        <w:br w:type="page"/>
      </w:r>
    </w:p>
    <w:p>
      <w:pPr>
        <w:pStyle w:val="Heading1"/>
      </w:pPr>
      <w:r>
        <w:rPr>
          <w:b/>
          <w:color w:val="0B1F3A"/>
        </w:rPr>
        <w:t>1. House of Brands Architecture</w:t>
      </w:r>
    </w:p>
    <w:p>
      <w:r>
        <w:rPr>
          <w:b w:val="0"/>
          <w:i w:val="0"/>
        </w:rPr>
        <w:t>AFANO Group Holdings operates a House of Brands. The AFANO master mark is reserved for the holding company; operating subsidiaries trade under independent brands. See 02_Visual-Identity/AFANO-Brand-Guidelines.docx for the full visual system.</w:t>
      </w:r>
    </w:p>
    <w:p>
      <w:pPr>
        <w:pStyle w:val="Heading1"/>
      </w:pPr>
      <w:r>
        <w:rPr>
          <w:b/>
          <w:color w:val="0B1F3A"/>
        </w:rPr>
        <w:t>2. Endorsement Lockup</w:t>
      </w:r>
    </w:p>
    <w:p>
      <w:r>
        <w:rPr>
          <w:b w:val="0"/>
          <w:i w:val="0"/>
        </w:rPr>
        <w:t>Every operating subsidiary website carries an 'An AFANO Group Company' endorsement footer with the Network Node mark, linking to afanogroup.com. This is the only AFANO co-branding permitted in customer-facing contexts.</w:t>
      </w:r>
    </w:p>
    <w:p>
      <w:pPr>
        <w:pStyle w:val="Heading1"/>
      </w:pPr>
      <w:r>
        <w:rPr>
          <w:b/>
          <w:color w:val="0B1F3A"/>
        </w:rPr>
        <w:t>3. Brand Stewardship Function</w:t>
      </w:r>
    </w:p>
    <w:p>
      <w:r>
        <w:rPr>
          <w:b w:val="0"/>
          <w:i w:val="0"/>
        </w:rPr>
        <w:t>Located within the Holdings Office. Reviews all subsidiary creative above USD 50,000 in spend, all new product names, all domain purchases. Operates with a 5-business-day turnaround SLA.</w:t>
      </w:r>
    </w:p>
    <w:p>
      <w:pPr>
        <w:pStyle w:val="Heading1"/>
      </w:pPr>
      <w:r>
        <w:rPr>
          <w:b/>
          <w:color w:val="0B1F3A"/>
        </w:rPr>
        <w:t>4. Voice and Tone</w:t>
      </w:r>
    </w:p>
    <w:p>
      <w:r>
        <w:rPr>
          <w:b w:val="0"/>
          <w:i w:val="0"/>
        </w:rPr>
        <w:t>Group voice: authoritative, restrained, multinational. Avoid superlatives. Refer to subsidiaries by their independent name first; AFANO endorsement is footnote-level.</w:t>
      </w:r>
    </w:p>
    <w:p>
      <w:pPr>
        <w:pStyle w:val="Heading1"/>
      </w:pPr>
      <w:r>
        <w:rPr>
          <w:b/>
          <w:color w:val="0B1F3A"/>
        </w:rPr>
        <w:t>5. Approved Channels and Budgets</w:t>
      </w:r>
    </w:p>
    <w:p>
      <w:r>
        <w:rPr>
          <w:b w:val="0"/>
          <w:i w:val="0"/>
        </w:rPr>
        <w:t>Each SBG maintains its own marketing budget. Group-level marketing spend covers: IR communications, ESG report distribution, sovereign-investor outreach, master-brand awareness in Tier-1 financial press (FT, Wall Street Journal, Economist, Nikkei, Bloomberg).</w:t>
      </w:r>
    </w:p>
    <w:p>
      <w:pPr>
        <w:pStyle w:val="Heading1"/>
      </w:pPr>
      <w:r>
        <w:rPr>
          <w:b/>
          <w:color w:val="0B1F3A"/>
        </w:rPr>
        <w:t>6. Trademark Registration</w:t>
      </w:r>
    </w:p>
    <w:p>
      <w:r>
        <w:rPr>
          <w:b w:val="0"/>
          <w:i w:val="0"/>
        </w:rPr>
        <w:t>Group Brand Stewardship maintains a global trademark portfolio. Every primary domain and brand is filed in: USPTO, EUIPO, UKIPO, JPO, Nigerian Trade Marks Registry, OAPI, ARIPO. Defensive filings extended to the top 20 host markets.</w:t>
      </w:r>
    </w:p>
    <w:p>
      <w:pPr>
        <w:pStyle w:val="Heading1"/>
      </w:pPr>
      <w:r>
        <w:rPr>
          <w:b/>
          <w:color w:val="0B1F3A"/>
        </w:rPr>
        <w:t>7. Crisis Communications</w:t>
      </w:r>
    </w:p>
    <w:p>
      <w:r>
        <w:rPr>
          <w:b w:val="0"/>
          <w:i w:val="0"/>
        </w:rPr>
        <w:t>Single Group spokesperson; subsidiaries do not comment on Group-level matters. Subsidiary crises are handled by the subsidiary's own communications function with Group oversight.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