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Investor Relations Playbook</w:t>
      </w:r>
    </w:p>
    <w:p>
      <w:pPr>
        <w:jc w:val="center"/>
      </w:pPr>
      <w:r>
        <w:rPr>
          <w:b w:val="0"/>
          <w:i/>
          <w:color w:val="C8A04A"/>
          <w:sz w:val="26"/>
        </w:rPr>
        <w:t>Pre-IPO · IPO · Post-Listing · Sovereign &amp; Institutional Outreach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2026-06-16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IR Function Charter</w:t>
      </w:r>
    </w:p>
    <w:p>
      <w:r>
        <w:rPr>
          <w:b w:val="0"/>
          <w:i w:val="0"/>
        </w:rPr>
        <w:t>The IR function is the Group's single voice to the capital markets. Reports to the CFO; works with the General Counsel on Regulation FD, Reg D, market-abuse, and inside-information protocols.</w:t>
      </w:r>
    </w:p>
    <w:p>
      <w:pPr>
        <w:pStyle w:val="Heading1"/>
      </w:pPr>
      <w:r>
        <w:rPr>
          <w:b/>
          <w:color w:val="0B1F3A"/>
        </w:rPr>
        <w:t>2. Annual IR Calendar</w:t>
      </w:r>
    </w:p>
    <w:p>
      <w:r>
        <w:rPr>
          <w:b w:val="0"/>
          <w:i w:val="0"/>
        </w:rPr>
        <w:t>Q1: Annual report, AGM, post-AGM roadshow (NY, London, Singapore, Dubai, Lagos). Q2: H1 trading update; Capital Markets Day. Q3: ESG report; sovereign-investor outreach. Q4: budget guidance; ratings-agency annual reviews.</w:t>
      </w:r>
    </w:p>
    <w:p>
      <w:pPr>
        <w:pStyle w:val="Heading1"/>
      </w:pPr>
      <w:r>
        <w:rPr>
          <w:b/>
          <w:color w:val="0B1F3A"/>
        </w:rPr>
        <w:t>3. Pre-IPO Stakeholder Mapping</w:t>
      </w:r>
    </w:p>
    <w:p>
      <w:r>
        <w:rPr>
          <w:b w:val="0"/>
          <w:i w:val="0"/>
        </w:rPr>
        <w:t>Tier 1 — Top 30 global institutional investors. Tier 2 — Top 15 sovereign wealth funds (GIC, Temasek, ADIA, Mubadala, NSIA, PIC, PIF, ADQ, NIC, etc.). Tier 3 — Top 20 Africa-focused funds. Tier 4 — DFIs (IFC, AfDB, EBRD, BII, FMO, DEG, Proparco).</w:t>
      </w:r>
    </w:p>
    <w:p>
      <w:pPr>
        <w:pStyle w:val="Heading1"/>
      </w:pPr>
      <w:r>
        <w:rPr>
          <w:b/>
          <w:color w:val="0B1F3A"/>
        </w:rPr>
        <w:t>4. Disclosure Framework</w:t>
      </w:r>
    </w:p>
    <w:p>
      <w:r>
        <w:rPr>
          <w:b w:val="0"/>
          <w:i w:val="0"/>
        </w:rPr>
        <w:t>Aligned with NYSE/NASDAQ listing standards even pre-listing. Material non-public information is restricted to the insider list; blackout windows enforced 30 days before quarterly results.</w:t>
      </w:r>
    </w:p>
    <w:p>
      <w:pPr>
        <w:pStyle w:val="Heading1"/>
      </w:pPr>
      <w:r>
        <w:rPr>
          <w:b/>
          <w:color w:val="0B1F3A"/>
        </w:rPr>
        <w:t>5. Ratings-Agency Relationships</w:t>
      </w:r>
    </w:p>
    <w:p>
      <w:r>
        <w:rPr>
          <w:b w:val="0"/>
          <w:i w:val="0"/>
        </w:rPr>
        <w:t>Maintain dialogue with Moody's, S&amp;P, Fitch and (for sukuk) IIRA. Annual review cycle even before debt issuance to build the credit story.</w:t>
      </w:r>
    </w:p>
    <w:p>
      <w:pPr>
        <w:pStyle w:val="Heading1"/>
      </w:pPr>
      <w:r>
        <w:rPr>
          <w:b/>
          <w:color w:val="0B1F3A"/>
        </w:rPr>
        <w:t>6. Activist and Hostile Defense</w:t>
      </w:r>
    </w:p>
    <w:p>
      <w:r>
        <w:rPr>
          <w:b w:val="0"/>
          <w:i w:val="0"/>
        </w:rPr>
        <w:t>Standby relationships with two M&amp;A advisory firms, two PR firms, and one proxy-solicitor. Annual board education on activist defense tactics.</w:t>
      </w:r>
    </w:p>
    <w:p>
      <w:pPr>
        <w:pStyle w:val="Heading1"/>
      </w:pPr>
      <w:r>
        <w:rPr>
          <w:b/>
          <w:color w:val="0B1F3A"/>
        </w:rPr>
        <w:t>7. ESG-Specific Outreach</w:t>
      </w:r>
    </w:p>
    <w:p>
      <w:r>
        <w:rPr>
          <w:b w:val="0"/>
          <w:i w:val="0"/>
        </w:rPr>
        <w:t>Annual call with the PRI Steward signatories most heavily invested in conglomerate-discount stocks. Materiality refresh aligned with SASB sector standards across the 15 SBGs.</w:t>
      </w:r>
    </w:p>
    <w:p>
      <w:pPr>
        <w:pStyle w:val="Heading1"/>
      </w:pPr>
      <w:r>
        <w:rPr>
          <w:b/>
          <w:color w:val="0B1F3A"/>
        </w:rPr>
        <w:t>8. Subsidiary IPO Choreography</w:t>
      </w:r>
    </w:p>
    <w:p>
      <w:r>
        <w:rPr>
          <w:b w:val="0"/>
          <w:i w:val="0"/>
        </w:rPr>
        <w:t>When a Business Unit is IPO-ready, the Group decides between (a) spin-off (tax-free distribution), (b) carve-out (partial IPO, Group retains majority), or (c) trade sale. The Carve-Out Playbook covers operational separation.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