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Shared-Services SOPs</w:t>
      </w:r>
    </w:p>
    <w:p>
      <w:pPr>
        <w:jc w:val="center"/>
      </w:pPr>
      <w:r>
        <w:rPr>
          <w:b w:val="0"/>
          <w:i/>
          <w:color w:val="C8A04A"/>
          <w:sz w:val="26"/>
        </w:rPr>
        <w:t>Finance · HR · IT · Procurement · Legal — the Keiretsu Model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2026-06-16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Operating Model</w:t>
      </w:r>
    </w:p>
    <w:p>
      <w:r>
        <w:rPr>
          <w:b w:val="0"/>
          <w:i w:val="0"/>
        </w:rPr>
        <w:t>Following the Mitsubishi keiretsu pattern: each subsidiary retains operating autonomy and P&amp;L responsibility, but consumes shared services from Holdings on a transfer-pricing basis. This preserves scale economics, governance consistency, and audit trail without burdening operating leaders with back-office overhead.</w:t>
      </w:r>
    </w:p>
    <w:p>
      <w:pPr>
        <w:pStyle w:val="Heading1"/>
      </w:pPr>
      <w:r>
        <w:rPr>
          <w:b/>
          <w:color w:val="0B1F3A"/>
        </w:rPr>
        <w:t>Group Finance &amp; Treasury</w:t>
      </w:r>
    </w:p>
    <w:p>
      <w:r>
        <w:rPr>
          <w:b w:val="0"/>
          <w:i w:val="0"/>
        </w:rPr>
        <w:t>Consolidated financial reporting, cash-pooling, FX hedging, intercompany lending, debt issuance, tax planning. Sub-units bill for service on a published rate card; rates updated annually.</w:t>
      </w:r>
    </w:p>
    <w:p>
      <w:pPr>
        <w:pStyle w:val="Heading1"/>
      </w:pPr>
      <w:r>
        <w:rPr>
          <w:b/>
          <w:color w:val="0B1F3A"/>
        </w:rPr>
        <w:t>Group HR</w:t>
      </w:r>
    </w:p>
    <w:p>
      <w:r>
        <w:rPr>
          <w:b w:val="0"/>
          <w:i w:val="0"/>
        </w:rPr>
        <w:t>Executive search for subsidiary CEOs and named officers, equity plan administration, expat mobility, compensation benchmarking, Group-wide DEI program. Subsidiaries run their own day-to-day HR.</w:t>
      </w:r>
    </w:p>
    <w:p>
      <w:pPr>
        <w:pStyle w:val="Heading1"/>
      </w:pPr>
      <w:r>
        <w:rPr>
          <w:b/>
          <w:color w:val="0B1F3A"/>
        </w:rPr>
        <w:t>Group IT</w:t>
      </w:r>
    </w:p>
    <w:p>
      <w:r>
        <w:rPr>
          <w:b w:val="0"/>
          <w:i w:val="0"/>
        </w:rPr>
        <w:t>Identity (Entra ID), endpoint management, SOC, network backbone, ERP (consolidated), email &amp; collaboration platform. Subsidiaries pay a per-seat allocation.</w:t>
      </w:r>
    </w:p>
    <w:p>
      <w:pPr>
        <w:pStyle w:val="Heading1"/>
      </w:pPr>
      <w:r>
        <w:rPr>
          <w:b/>
          <w:color w:val="0B1F3A"/>
        </w:rPr>
        <w:t>Group Procurement</w:t>
      </w:r>
    </w:p>
    <w:p>
      <w:r>
        <w:rPr>
          <w:b w:val="0"/>
          <w:i w:val="0"/>
        </w:rPr>
        <w:t>Master agreements (cloud, telco, insurance, professional services, vehicles). Subsidiaries draw from master agreements; bypass requires CFO approval.</w:t>
      </w:r>
    </w:p>
    <w:p>
      <w:pPr>
        <w:pStyle w:val="Heading1"/>
      </w:pPr>
      <w:r>
        <w:rPr>
          <w:b/>
          <w:color w:val="0B1F3A"/>
        </w:rPr>
        <w:t>Group Legal</w:t>
      </w:r>
    </w:p>
    <w:p>
      <w:r>
        <w:rPr>
          <w:b w:val="0"/>
          <w:i w:val="0"/>
        </w:rPr>
        <w:t>M&amp;A, financing, regulatory, IP, litigation oversight. Subsidiaries retain their own commercial counsel.</w:t>
      </w:r>
    </w:p>
    <w:p>
      <w:pPr>
        <w:pStyle w:val="Heading1"/>
      </w:pPr>
      <w:r>
        <w:rPr>
          <w:b/>
          <w:color w:val="0B1F3A"/>
        </w:rPr>
        <w:t>Group Internal Audit</w:t>
      </w:r>
    </w:p>
    <w:p>
      <w:r>
        <w:rPr>
          <w:b w:val="0"/>
          <w:i w:val="0"/>
        </w:rPr>
        <w:t>Reports directly to Audit Committee. Risk-based three-year audit cycle covering every operating subsidiary.</w:t>
      </w:r>
    </w:p>
    <w:p>
      <w:pPr>
        <w:pStyle w:val="Heading1"/>
      </w:pPr>
      <w:r>
        <w:rPr>
          <w:b/>
          <w:color w:val="0B1F3A"/>
        </w:rPr>
        <w:t>Group ESG</w:t>
      </w:r>
    </w:p>
    <w:p>
      <w:r>
        <w:rPr>
          <w:b w:val="0"/>
          <w:i w:val="0"/>
        </w:rPr>
        <w:t>GRI / SASB / TCFD reporting, materiality assessment, climate transition plan, supplier human-rights diligence.</w:t>
      </w:r>
    </w:p>
    <w:p>
      <w:pPr>
        <w:pStyle w:val="Heading1"/>
      </w:pPr>
      <w:r>
        <w:rPr>
          <w:b/>
          <w:color w:val="0B1F3A"/>
        </w:rPr>
        <w:t>Brand Stewardship</w:t>
      </w:r>
    </w:p>
    <w:p>
      <w:r>
        <w:rPr>
          <w:b w:val="0"/>
          <w:i w:val="0"/>
        </w:rPr>
        <w:t>See Group-Marketing-and-Brand-Standards.docx.</w:t>
      </w:r>
    </w:p>
    <w:p>
      <w:pPr>
        <w:pStyle w:val="Heading1"/>
      </w:pPr>
      <w:r>
        <w:rPr>
          <w:b/>
          <w:color w:val="0B1F3A"/>
        </w:rPr>
        <w:t>Investor Relations</w:t>
      </w:r>
    </w:p>
    <w:p>
      <w:r>
        <w:rPr>
          <w:b w:val="0"/>
          <w:i w:val="0"/>
        </w:rPr>
        <w:t>Quarterly results, annual report, AGM, ratings agencies, ESG investor calls. Subsidiaries route all IR inquiries through Group IR.</w:t>
      </w:r>
    </w:p>
    <w:p>
      <w:pPr>
        <w:pStyle w:val="Heading1"/>
      </w:pPr>
      <w:r>
        <w:rPr>
          <w:b/>
          <w:color w:val="0B1F3A"/>
        </w:rPr>
        <w:t>Transfer-Pricing Methodology</w:t>
      </w:r>
    </w:p>
    <w:p>
      <w:r>
        <w:rPr>
          <w:b w:val="0"/>
          <w:i w:val="0"/>
        </w:rPr>
        <w:t>Cost-plus 5-10% on direct service costs; benchmarked annually against independent comparable studies to satisfy OECD BEPS and host-country transfer-pricing rules.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