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color w:val="0B1F3A"/>
          <w:sz w:val="56"/>
        </w:rPr>
        <w:t>AFANO GROUP HOLDINGS</w:t>
      </w:r>
    </w:p>
    <w:p>
      <w:pPr>
        <w:jc w:val="center"/>
      </w:pPr>
      <w:r>
        <w:rPr>
          <w:b/>
          <w:i w:val="0"/>
          <w:color w:val="0B1F3A"/>
          <w:sz w:val="44"/>
        </w:rPr>
        <w:t>Board Charter and Committee Charters</w:t>
      </w:r>
    </w:p>
    <w:p>
      <w:pPr>
        <w:jc w:val="center"/>
      </w:pPr>
      <w:r>
        <w:rPr>
          <w:b w:val="0"/>
          <w:i/>
          <w:color w:val="C8A04A"/>
          <w:sz w:val="26"/>
        </w:rPr>
        <w:t>Audit · Risk · Nominating &amp; ESG · Compensation · Investment</w:t>
      </w:r>
    </w:p>
    <w:p>
      <w:pPr>
        <w:jc w:val="center"/>
      </w:pPr>
      <w:r>
        <w:rPr>
          <w:b w:val="0"/>
          <w:i w:val="0"/>
          <w:color w:val="555555"/>
          <w:sz w:val="20"/>
        </w:rPr>
        <w:t>Effective: 2026-06-15  ·  Version 1.0</w:t>
      </w:r>
    </w:p>
    <w:p>
      <w:r>
        <w:br w:type="page"/>
      </w:r>
    </w:p>
    <w:p>
      <w:pPr>
        <w:pStyle w:val="Heading1"/>
      </w:pPr>
      <w:r>
        <w:rPr>
          <w:b/>
          <w:color w:val="0B1F3A"/>
        </w:rPr>
        <w:t>Part 1 — Board Charter</w:t>
      </w:r>
    </w:p>
    <w:p>
      <w:r>
        <w:rPr>
          <w:b w:val="0"/>
          <w:i w:val="0"/>
        </w:rPr>
        <w:t>Purpose. The Board exists to set strategy, allocate capital, oversee management and risk, and steward the long-term value of AFANO Group Holdings on behalf of all stakeholders.</w:t>
      </w:r>
    </w:p>
    <w:p>
      <w:r>
        <w:rPr>
          <w:b/>
          <w:i w:val="0"/>
        </w:rPr>
        <w:t>Composition.</w:t>
      </w:r>
    </w:p>
    <w:p>
      <w:pPr>
        <w:pStyle w:val="ListBullet"/>
      </w:pPr>
      <w:r>
        <w:t>7-15 directors; at least one-third independent.</w:t>
      </w:r>
    </w:p>
    <w:p>
      <w:pPr>
        <w:pStyle w:val="ListBullet"/>
      </w:pPr>
      <w:r>
        <w:t>Independent Lead Director if Chair is non-independent.</w:t>
      </w:r>
    </w:p>
    <w:p>
      <w:pPr>
        <w:pStyle w:val="ListBullet"/>
      </w:pPr>
      <w:r>
        <w:t>Geographic diversity across the Group's footprint regions.</w:t>
      </w:r>
    </w:p>
    <w:p>
      <w:pPr>
        <w:pStyle w:val="ListBullet"/>
      </w:pPr>
      <w:r>
        <w:t>Sector expertise covering at least 5 of the 15 SBGs.</w:t>
      </w:r>
    </w:p>
    <w:p>
      <w:r>
        <w:rPr>
          <w:b/>
          <w:i w:val="0"/>
        </w:rPr>
        <w:t>Meetings.</w:t>
      </w:r>
    </w:p>
    <w:p>
      <w:pPr>
        <w:pStyle w:val="ListBullet"/>
      </w:pPr>
      <w:r>
        <w:t>Minimum 6 regular meetings per year; quarterly executive sessions of independent directors.</w:t>
      </w:r>
    </w:p>
    <w:p>
      <w:pPr>
        <w:pStyle w:val="ListBullet"/>
      </w:pPr>
      <w:r>
        <w:t>Annual strategy off-site with executive committee.</w:t>
      </w:r>
    </w:p>
    <w:p>
      <w:pPr>
        <w:pStyle w:val="ListBullet"/>
      </w:pPr>
      <w:r>
        <w:t>Annual board effectiveness review by external facilitator every third year.</w:t>
      </w:r>
    </w:p>
    <w:p>
      <w:pPr>
        <w:pStyle w:val="Heading1"/>
      </w:pPr>
      <w:r>
        <w:rPr>
          <w:b/>
          <w:color w:val="0B1F3A"/>
        </w:rPr>
        <w:t>Part 2 — Audit Committee Charter</w:t>
      </w:r>
    </w:p>
    <w:p>
      <w:r>
        <w:rPr>
          <w:b w:val="0"/>
          <w:i w:val="0"/>
        </w:rPr>
        <w:t>Composition: minimum 3 independent directors, all financially literate, at least one with formal accounting credentials. Responsibilities: oversight of financial reporting, internal controls, internal audit function, external auditor appointment and independence, whistleblower hotline.</w:t>
      </w:r>
    </w:p>
    <w:p>
      <w:pPr>
        <w:pStyle w:val="Heading1"/>
      </w:pPr>
      <w:r>
        <w:rPr>
          <w:b/>
          <w:color w:val="0B1F3A"/>
        </w:rPr>
        <w:t>Part 3 — Risk Committee Charter</w:t>
      </w:r>
    </w:p>
    <w:p>
      <w:r>
        <w:rPr>
          <w:b w:val="0"/>
          <w:i w:val="0"/>
        </w:rPr>
        <w:t>Composition: minimum 3 directors, one independent chair. Responsibilities: enterprise risk framework, geopolitical risk register, cyber risk oversight, insurance program review, climate transition risk.</w:t>
      </w:r>
    </w:p>
    <w:p>
      <w:pPr>
        <w:pStyle w:val="Heading1"/>
      </w:pPr>
      <w:r>
        <w:rPr>
          <w:b/>
          <w:color w:val="0B1F3A"/>
        </w:rPr>
        <w:t>Part 4 — Nominating &amp; ESG Committee Charter</w:t>
      </w:r>
    </w:p>
    <w:p>
      <w:r>
        <w:rPr>
          <w:b w:val="0"/>
          <w:i w:val="0"/>
        </w:rPr>
        <w:t>Responsibilities: director nominations, succession planning, board evaluation, ESG strategy, sustainability reporting (GRI / SASB / TCFD), human-rights due diligence in the Group's supply chain.</w:t>
      </w:r>
    </w:p>
    <w:p>
      <w:pPr>
        <w:pStyle w:val="Heading1"/>
      </w:pPr>
      <w:r>
        <w:rPr>
          <w:b/>
          <w:color w:val="0B1F3A"/>
        </w:rPr>
        <w:t>Part 5 — Compensation Committee Charter</w:t>
      </w:r>
    </w:p>
    <w:p>
      <w:r>
        <w:rPr>
          <w:b w:val="0"/>
          <w:i w:val="0"/>
        </w:rPr>
        <w:t>Responsibilities: CEO and named-officer compensation, equity incentive plan, clawback policy, pay-ratio disclosure, performance-equity targets tied to ESG metrics.</w:t>
      </w:r>
    </w:p>
    <w:p>
      <w:pPr>
        <w:pStyle w:val="Heading1"/>
      </w:pPr>
      <w:r>
        <w:rPr>
          <w:b/>
          <w:color w:val="0B1F3A"/>
        </w:rPr>
        <w:t>Part 6 — Investment Committee Charter</w:t>
      </w:r>
    </w:p>
    <w:p>
      <w:r>
        <w:rPr>
          <w:b w:val="0"/>
          <w:i w:val="0"/>
        </w:rPr>
        <w:t>Responsibilities: review and approve acquisitions, divestitures, and material capital commitments above CEO authority. Reports monthly to the Board on M&amp;A pipeline, exit pipeline, and the Capital Partners portfolio.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