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color w:val="0B1F3A"/>
          <w:sz w:val="56"/>
        </w:rPr>
        <w:t>AFANO GROUP HOLDINGS</w:t>
      </w:r>
    </w:p>
    <w:p>
      <w:pPr>
        <w:jc w:val="center"/>
      </w:pPr>
      <w:r>
        <w:rPr>
          <w:b/>
          <w:i w:val="0"/>
          <w:color w:val="0B1F3A"/>
          <w:sz w:val="44"/>
        </w:rPr>
        <w:t>Buy-Sell Agreement</w:t>
      </w:r>
    </w:p>
    <w:p>
      <w:pPr>
        <w:jc w:val="center"/>
      </w:pPr>
      <w:r>
        <w:rPr>
          <w:b w:val="0"/>
          <w:i/>
          <w:color w:val="C8A04A"/>
          <w:sz w:val="26"/>
        </w:rPr>
        <w:t>Triggering Events, Valuation, and Funding Mechanism</w:t>
      </w:r>
    </w:p>
    <w:p>
      <w:pPr>
        <w:jc w:val="center"/>
      </w:pPr>
      <w:r>
        <w:rPr>
          <w:b w:val="0"/>
          <w:i w:val="0"/>
          <w:color w:val="555555"/>
          <w:sz w:val="20"/>
        </w:rPr>
        <w:t>Effective: 2026-06-15  ·  Version 1.0</w:t>
      </w:r>
    </w:p>
    <w:p>
      <w:r>
        <w:br w:type="page"/>
      </w:r>
    </w:p>
    <w:p>
      <w:pPr>
        <w:pStyle w:val="Heading1"/>
      </w:pPr>
      <w:r>
        <w:rPr>
          <w:b/>
          <w:color w:val="0B1F3A"/>
        </w:rPr>
        <w:t>Article I — Triggering Events</w:t>
      </w:r>
    </w:p>
    <w:p>
      <w:r>
        <w:rPr>
          <w:b w:val="0"/>
          <w:i w:val="0"/>
        </w:rPr>
        <w:t>Trigger events: (a) death or disability of a holder, (b) involuntary transfer, (c) termination of employment for cause, (d) bankruptcy of a holder, (e) divorce settlement attempting to transfer shares, and (f) voluntary departure subject to the lock-up schedule.</w:t>
      </w:r>
    </w:p>
    <w:p>
      <w:pPr>
        <w:pStyle w:val="Heading1"/>
      </w:pPr>
      <w:r>
        <w:rPr>
          <w:b/>
          <w:color w:val="0B1F3A"/>
        </w:rPr>
        <w:t>Article II — Right and Obligation to Purchase</w:t>
      </w:r>
    </w:p>
    <w:p>
      <w:r>
        <w:rPr>
          <w:b w:val="0"/>
          <w:i w:val="0"/>
        </w:rPr>
        <w:t>Upon a trigger event the Corporation has a first-position option to purchase; if declined, remaining holders have a pro-rata option; if declined, the trigger holder's shares may be transferred subject to Article II of the Shareholders Agreement.</w:t>
      </w:r>
    </w:p>
    <w:p>
      <w:pPr>
        <w:pStyle w:val="Heading1"/>
      </w:pPr>
      <w:r>
        <w:rPr>
          <w:b/>
          <w:color w:val="0B1F3A"/>
        </w:rPr>
        <w:t>Article III — Valuation</w:t>
      </w:r>
    </w:p>
    <w:p>
      <w:r>
        <w:rPr>
          <w:b w:val="0"/>
          <w:i w:val="0"/>
        </w:rPr>
        <w:t>Fair market value is determined by (a) most recent agreed annual valuation if within 12 months, (b) failing that, the average of two independent valuations by Big Four firms appointed one by each side, and (c) failing convergence within 10%, a third 'baseball arbitration' valuer selects the closer of the two.</w:t>
      </w:r>
    </w:p>
    <w:p>
      <w:pPr>
        <w:pStyle w:val="Heading1"/>
      </w:pPr>
      <w:r>
        <w:rPr>
          <w:b/>
          <w:color w:val="0B1F3A"/>
        </w:rPr>
        <w:t>Article IV — Funding</w:t>
      </w:r>
    </w:p>
    <w:p>
      <w:r>
        <w:rPr>
          <w:b w:val="0"/>
          <w:i w:val="0"/>
        </w:rPr>
        <w:t>The Corporation maintains key-person life insurance on the Founder and CEO sufficient to fund a buyout on death. Other buyouts may be funded by cash, a five-year promissory note at SOFR + 300 bps, or a combination at the Corporation's election.</w:t>
      </w:r>
    </w:p>
    <w:p>
      <w:pPr>
        <w:pStyle w:val="Heading1"/>
      </w:pPr>
      <w:r>
        <w:rPr>
          <w:b/>
          <w:color w:val="0B1F3A"/>
        </w:rPr>
        <w:t>Article V — Founder Successor Plan</w:t>
      </w:r>
    </w:p>
    <w:p>
      <w:r>
        <w:rPr>
          <w:b w:val="0"/>
          <w:i w:val="0"/>
        </w:rPr>
        <w:t>On the Founder's death, disability, or retirement, the Class B supermajority converts to Class A on a 1:1 basis unless the Board (by 75% vote) confirms a successor who shall hold the Class B.</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