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Code of Conduct and Ethics</w:t>
      </w:r>
    </w:p>
    <w:p>
      <w:pPr>
        <w:jc w:val="center"/>
      </w:pPr>
      <w:r>
        <w:rPr>
          <w:b w:val="0"/>
          <w:i/>
          <w:color w:val="C8A04A"/>
          <w:sz w:val="26"/>
        </w:rPr>
        <w:t>Standards for Directors, Officers, Employees, and Partners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Our Standards</w:t>
      </w:r>
    </w:p>
    <w:p>
      <w:r>
        <w:rPr>
          <w:b w:val="0"/>
          <w:i w:val="0"/>
        </w:rPr>
        <w:t>AFANO Group Holdings expects every director, officer, employee, contractor and partner to act with integrity, honesty and respect in every jurisdiction in which the Group operates.</w:t>
      </w:r>
    </w:p>
    <w:p>
      <w:pPr>
        <w:pStyle w:val="Heading1"/>
      </w:pPr>
      <w:r>
        <w:rPr>
          <w:b/>
          <w:color w:val="0B1F3A"/>
        </w:rPr>
        <w:t>2. Anti-Bribery and Anti-Corruption</w:t>
      </w:r>
    </w:p>
    <w:p>
      <w:r>
        <w:rPr>
          <w:b w:val="0"/>
          <w:i w:val="0"/>
        </w:rPr>
        <w:t>The Group complies with the US Foreign Corrupt Practices Act, the UK Bribery Act 2010, and equivalent laws in every host country. No facilitation payments, no gifts above the de-minimis threshold, no political contributions without Board approval.</w:t>
      </w:r>
    </w:p>
    <w:p>
      <w:pPr>
        <w:pStyle w:val="Heading1"/>
      </w:pPr>
      <w:r>
        <w:rPr>
          <w:b/>
          <w:color w:val="0B1F3A"/>
        </w:rPr>
        <w:t>3. Sanctions and Trade Compliance</w:t>
      </w:r>
    </w:p>
    <w:p>
      <w:r>
        <w:rPr>
          <w:b w:val="0"/>
          <w:i w:val="0"/>
        </w:rPr>
        <w:t>The Group complies with OFAC, EU, UK and UN sanctions. Every counterparty above the screening threshold is cleared against the Group's third-party due-diligence platform before onboarding.</w:t>
      </w:r>
    </w:p>
    <w:p>
      <w:pPr>
        <w:pStyle w:val="Heading1"/>
      </w:pPr>
      <w:r>
        <w:rPr>
          <w:b/>
          <w:color w:val="0B1F3A"/>
        </w:rPr>
        <w:t>4. Human Rights and Labor</w:t>
      </w:r>
    </w:p>
    <w:p>
      <w:r>
        <w:rPr>
          <w:b w:val="0"/>
          <w:i w:val="0"/>
        </w:rPr>
        <w:t>Aligned with the UN Guiding Principles on Business and Human Rights. Zero tolerance for forced labor, child labor, and unsafe working conditions across the supply chain.</w:t>
      </w:r>
    </w:p>
    <w:p>
      <w:pPr>
        <w:pStyle w:val="Heading1"/>
      </w:pPr>
      <w:r>
        <w:rPr>
          <w:b/>
          <w:color w:val="0B1F3A"/>
        </w:rPr>
        <w:t>5. Data Protection and Privacy</w:t>
      </w:r>
    </w:p>
    <w:p>
      <w:r>
        <w:rPr>
          <w:b w:val="0"/>
          <w:i w:val="0"/>
        </w:rPr>
        <w:t>Compliance with GDPR, NDPR (Nigeria Data Protection Regulation), CCPA, PDPA, and equivalent regimes in every operating market.</w:t>
      </w:r>
    </w:p>
    <w:p>
      <w:pPr>
        <w:pStyle w:val="Heading1"/>
      </w:pPr>
      <w:r>
        <w:rPr>
          <w:b/>
          <w:color w:val="0B1F3A"/>
        </w:rPr>
        <w:t>6. Conflicts of Interest</w:t>
      </w:r>
    </w:p>
    <w:p>
      <w:r>
        <w:rPr>
          <w:b w:val="0"/>
          <w:i w:val="0"/>
        </w:rPr>
        <w:t>Directors, officers and senior employees disclose conflicts annually and as they arise; outside boards, investments and family relationships are recorded in the conflicts register.</w:t>
      </w:r>
    </w:p>
    <w:p>
      <w:pPr>
        <w:pStyle w:val="Heading1"/>
      </w:pPr>
      <w:r>
        <w:rPr>
          <w:b/>
          <w:color w:val="0B1F3A"/>
        </w:rPr>
        <w:t>7. Whistleblower Protection</w:t>
      </w:r>
    </w:p>
    <w:p>
      <w:r>
        <w:rPr>
          <w:b w:val="0"/>
          <w:i w:val="0"/>
        </w:rPr>
        <w:t>An independent, confidential third-party hotline operates 24/7 in the languages of all operating markets. Retaliation is grounds for immediate dismissal.</w:t>
      </w:r>
    </w:p>
    <w:p>
      <w:pPr>
        <w:pStyle w:val="Heading1"/>
      </w:pPr>
      <w:r>
        <w:rPr>
          <w:b/>
          <w:color w:val="0B1F3A"/>
        </w:rPr>
        <w:t>8. Environmental Stewardship</w:t>
      </w:r>
    </w:p>
    <w:p>
      <w:r>
        <w:rPr>
          <w:b w:val="0"/>
          <w:i w:val="0"/>
        </w:rPr>
        <w:t>Aligned with the Group's ESG Sustainability Framework and TCFD-consistent climate transition plan.</w:t>
      </w:r>
    </w:p>
    <w:p>
      <w:pPr>
        <w:pStyle w:val="Heading1"/>
      </w:pPr>
      <w:r>
        <w:rPr>
          <w:b/>
          <w:color w:val="0B1F3A"/>
        </w:rPr>
        <w:t>9. Sanctions for Breach</w:t>
      </w:r>
    </w:p>
    <w:p>
      <w:r>
        <w:rPr>
          <w:b w:val="0"/>
          <w:i w:val="0"/>
        </w:rPr>
        <w:t>Breach is grounds for disciplinary action up to and including termination, civil claim and referral to law-enforcement.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