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Corporate Secretariat Playbook</w:t>
      </w:r>
    </w:p>
    <w:p>
      <w:pPr>
        <w:jc w:val="center"/>
      </w:pPr>
      <w:r>
        <w:rPr>
          <w:b w:val="0"/>
          <w:i/>
          <w:color w:val="C8A04A"/>
          <w:sz w:val="26"/>
        </w:rPr>
        <w:t>Board Mechanics · Subsidiary Governance · Statutory Filings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Role of the Corporate Secretary</w:t>
      </w:r>
    </w:p>
    <w:p>
      <w:r>
        <w:rPr>
          <w:b w:val="0"/>
          <w:i w:val="0"/>
        </w:rPr>
        <w:t>The Corporate Secretary is the steward of the Group's governance machinery. The Secretary reports administratively to the General Counsel and substantively to the Board Chair.</w:t>
      </w:r>
    </w:p>
    <w:p>
      <w:pPr>
        <w:pStyle w:val="Heading1"/>
      </w:pPr>
      <w:r>
        <w:rPr>
          <w:b/>
          <w:color w:val="0B1F3A"/>
        </w:rPr>
        <w:t>2. Annual Governance Calendar</w:t>
      </w:r>
    </w:p>
    <w:p>
      <w:pPr>
        <w:pStyle w:val="ListBullet"/>
      </w:pPr>
      <w:r>
        <w:t>Jan: Board strategy off-site; prior-year audit kickoff.</w:t>
      </w:r>
    </w:p>
    <w:p>
      <w:pPr>
        <w:pStyle w:val="ListBullet"/>
      </w:pPr>
      <w:r>
        <w:t>Feb: Audit Committee review of draft annual financials.</w:t>
      </w:r>
    </w:p>
    <w:p>
      <w:pPr>
        <w:pStyle w:val="ListBullet"/>
      </w:pPr>
      <w:r>
        <w:t>Mar: Annual report; Form 10-K (if listed); ESG report draft.</w:t>
      </w:r>
    </w:p>
    <w:p>
      <w:pPr>
        <w:pStyle w:val="ListBullet"/>
      </w:pPr>
      <w:r>
        <w:t>Apr: AGM notice and proxy materials issued.</w:t>
      </w:r>
    </w:p>
    <w:p>
      <w:pPr>
        <w:pStyle w:val="ListBullet"/>
      </w:pPr>
      <w:r>
        <w:t>May: Annual General Meeting.</w:t>
      </w:r>
    </w:p>
    <w:p>
      <w:pPr>
        <w:pStyle w:val="ListBullet"/>
      </w:pPr>
      <w:r>
        <w:t>Jun: Mid-year capital allocation review.</w:t>
      </w:r>
    </w:p>
    <w:p>
      <w:pPr>
        <w:pStyle w:val="ListBullet"/>
      </w:pPr>
      <w:r>
        <w:t>Jul: H1 results; subsidiary AGM cycle begins.</w:t>
      </w:r>
    </w:p>
    <w:p>
      <w:pPr>
        <w:pStyle w:val="ListBullet"/>
      </w:pPr>
      <w:r>
        <w:t>Aug: Risk register annual refresh.</w:t>
      </w:r>
    </w:p>
    <w:p>
      <w:pPr>
        <w:pStyle w:val="ListBullet"/>
      </w:pPr>
      <w:r>
        <w:t>Sep: Director nominations and re-election cycle.</w:t>
      </w:r>
    </w:p>
    <w:p>
      <w:pPr>
        <w:pStyle w:val="ListBullet"/>
      </w:pPr>
      <w:r>
        <w:t>Oct: 5-year capital plan refresh; budget kickoff.</w:t>
      </w:r>
    </w:p>
    <w:p>
      <w:pPr>
        <w:pStyle w:val="ListBullet"/>
      </w:pPr>
      <w:r>
        <w:t>Nov: Compensation Committee equity grant cycle.</w:t>
      </w:r>
    </w:p>
    <w:p>
      <w:pPr>
        <w:pStyle w:val="ListBullet"/>
      </w:pPr>
      <w:r>
        <w:t>Dec: Board self-evaluation; statutory filing close.</w:t>
      </w:r>
    </w:p>
    <w:p>
      <w:pPr>
        <w:pStyle w:val="Heading1"/>
      </w:pPr>
      <w:r>
        <w:rPr>
          <w:b/>
          <w:color w:val="0B1F3A"/>
        </w:rPr>
        <w:t>3. Subsidiary Governance Standards</w:t>
      </w:r>
    </w:p>
    <w:p>
      <w:r>
        <w:rPr>
          <w:b w:val="0"/>
          <w:i w:val="0"/>
        </w:rPr>
        <w:t>Every operating subsidiary, regardless of jurisdiction, maintains:</w:t>
      </w:r>
    </w:p>
    <w:p>
      <w:pPr>
        <w:pStyle w:val="ListBullet"/>
      </w:pPr>
      <w:r>
        <w:t>Local board of at least 3 directors including one Holdings appointee.</w:t>
      </w:r>
    </w:p>
    <w:p>
      <w:pPr>
        <w:pStyle w:val="ListBullet"/>
      </w:pPr>
      <w:r>
        <w:t>Quarterly management accounts filed with Holdings Treasury.</w:t>
      </w:r>
    </w:p>
    <w:p>
      <w:pPr>
        <w:pStyle w:val="ListBullet"/>
      </w:pPr>
      <w:r>
        <w:t>Annual statutory accounts filed locally and copied to Holdings.</w:t>
      </w:r>
    </w:p>
    <w:p>
      <w:pPr>
        <w:pStyle w:val="ListBullet"/>
      </w:pPr>
      <w:r>
        <w:t>Local Company Secretary or equivalent with direct line to Group Corporate Secretary.</w:t>
      </w:r>
    </w:p>
    <w:p>
      <w:pPr>
        <w:pStyle w:val="ListBullet"/>
      </w:pPr>
      <w:r>
        <w:t>Resolutions register, minute book, share register, statutory registers.</w:t>
      </w:r>
    </w:p>
    <w:p>
      <w:pPr>
        <w:pStyle w:val="ListBullet"/>
      </w:pPr>
      <w:r>
        <w:t>Annual Group governance attestation signed by local Chair and Managing Director.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