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pPr>
        <w:jc w:val="center"/>
      </w:pPr>
      <w:r>
        <w:rPr>
          <w:b/>
          <w:i w:val="0"/>
          <w:color w:val="0B1F3A"/>
          <w:sz w:val="56"/>
        </w:rPr>
        <w:t>AFANO GROUP HOLDINGS</w:t>
      </w:r>
    </w:p>
    <w:p>
      <w:pPr>
        <w:jc w:val="center"/>
      </w:pPr>
      <w:r>
        <w:rPr>
          <w:b/>
          <w:i w:val="0"/>
          <w:color w:val="0B1F3A"/>
          <w:sz w:val="44"/>
        </w:rPr>
        <w:t>Holdings Operating Agreement</w:t>
      </w:r>
    </w:p>
    <w:p>
      <w:pPr>
        <w:jc w:val="center"/>
      </w:pPr>
      <w:r>
        <w:rPr>
          <w:b w:val="0"/>
          <w:i/>
          <w:color w:val="C8A04A"/>
          <w:sz w:val="26"/>
        </w:rPr>
        <w:t>AFANO Group Holdings, Inc. — Delaware C-Corporation</w:t>
      </w:r>
    </w:p>
    <w:p>
      <w:pPr>
        <w:jc w:val="center"/>
      </w:pPr>
      <w:r>
        <w:rPr>
          <w:b w:val="0"/>
          <w:i w:val="0"/>
          <w:color w:val="555555"/>
          <w:sz w:val="20"/>
        </w:rPr>
        <w:t>Effective: 2026-06-15  ·  Version 1.0</w:t>
      </w:r>
    </w:p>
    <w:p>
      <w:r>
        <w:br w:type="page"/>
      </w:r>
    </w:p>
    <w:p>
      <w:pPr>
        <w:pStyle w:val="Heading1"/>
      </w:pPr>
      <w:r>
        <w:rPr>
          <w:b/>
          <w:color w:val="0B1F3A"/>
        </w:rPr>
        <w:t>Article I — Formation and Purpose</w:t>
      </w:r>
    </w:p>
    <w:p>
      <w:r>
        <w:rPr>
          <w:b w:val="0"/>
          <w:i w:val="0"/>
        </w:rPr>
        <w:t>1.1  Formation. AFANO Group Holdings, Inc. (the 'Corporation') is a Delaware C-corporation formed under the Delaware General Corporation Law for the purpose of operating as a multinational, diversified holding company.</w:t>
      </w:r>
    </w:p>
    <w:p>
      <w:r>
        <w:rPr>
          <w:b w:val="0"/>
          <w:i w:val="0"/>
        </w:rPr>
        <w:t>1.2  Purpose. The Corporation's purpose is to acquire, hold, manage, finance, govern and divest equity interests in operating subsidiaries organized across 15 Strategic Business Groups (SBGs), to allocate capital across those SBGs, and to provide centralized treasury, audit, legal, ESG, investor relations, brand stewardship and corporate-development services to its subsidiaries.</w:t>
      </w:r>
    </w:p>
    <w:p>
      <w:r>
        <w:rPr>
          <w:b w:val="0"/>
          <w:i w:val="0"/>
        </w:rPr>
        <w:t>1.3  Registered Office. The registered office is located in the State of Delaware; principal executive offices may be located at any address designated by the Board of Directors from time to time.</w:t>
      </w:r>
    </w:p>
    <w:p>
      <w:r>
        <w:rPr>
          <w:b w:val="0"/>
          <w:i w:val="0"/>
        </w:rPr>
        <w:t>1.4  Term. The Corporation has perpetual existence.</w:t>
      </w:r>
    </w:p>
    <w:p>
      <w:pPr>
        <w:pStyle w:val="Heading1"/>
      </w:pPr>
      <w:r>
        <w:rPr>
          <w:b/>
          <w:color w:val="0B1F3A"/>
        </w:rPr>
        <w:t>Article II — Capital Structure</w:t>
      </w:r>
    </w:p>
    <w:p>
      <w:r>
        <w:rPr>
          <w:b w:val="0"/>
          <w:i w:val="0"/>
        </w:rPr>
        <w:t>2.1  Authorized Shares. The Corporation is authorized to issue Common Stock and one or more series of Preferred Stock as approved by the Board, subject to the limitations of the Certificate of Incorporation.</w:t>
      </w:r>
    </w:p>
    <w:p>
      <w:r>
        <w:rPr>
          <w:b w:val="0"/>
          <w:i w:val="0"/>
        </w:rPr>
        <w:t>2.2  Classes. Common Stock is divided into Class A (one vote per share, founder-held) and Class B (ten votes per share, founder-supermajority for as long as the Founder remains Executive Chair). Class A is the class offered to outside investors and (at the Board's discretion) to the public on an IPO.</w:t>
      </w:r>
    </w:p>
    <w:p>
      <w:r>
        <w:rPr>
          <w:b w:val="0"/>
          <w:i w:val="0"/>
        </w:rPr>
        <w:t>2.3  Preferred Stock. Preferred Stock may be issued in series to support strategic acquisitions, sovereign-investor partnerships, or private placements without dilution of common voting rights, subject to Section 3.3 below.</w:t>
      </w:r>
    </w:p>
    <w:p>
      <w:pPr>
        <w:pStyle w:val="Heading1"/>
      </w:pPr>
      <w:r>
        <w:rPr>
          <w:b/>
          <w:color w:val="0B1F3A"/>
        </w:rPr>
        <w:t>Article III — Governance</w:t>
      </w:r>
    </w:p>
    <w:p>
      <w:r>
        <w:rPr>
          <w:b w:val="0"/>
          <w:i w:val="0"/>
        </w:rPr>
        <w:t>3.1  Board of Directors. The Corporation is managed by a Board of Directors. The Board shall comprise no fewer than seven (7) and no more than fifteen (15) directors. At least one-third of directors shall be independent, and the chairs of the Audit, Risk, and Nominating &amp; ESG committees shall be independent.</w:t>
      </w:r>
    </w:p>
    <w:p>
      <w:r>
        <w:rPr>
          <w:b w:val="0"/>
          <w:i w:val="0"/>
        </w:rPr>
        <w:t>3.2  Officers. The Corporation's officers shall include a Chairman, a Chief Executive Officer, a Chief Financial Officer, a Chief Legal Officer, a Chief Risk Officer, a Chief Investment Officer, a Chief Sustainability Officer, and a Corporate Secretary.</w:t>
      </w:r>
    </w:p>
    <w:p>
      <w:r>
        <w:rPr>
          <w:b w:val="0"/>
          <w:i w:val="0"/>
        </w:rPr>
        <w:t>3.3  Reserved Matters. Notwithstanding any general authority of the CEO, the following actions require Board approval and, where indicated, stockholder approval:</w:t>
      </w:r>
    </w:p>
    <w:p>
      <w:pPr>
        <w:pStyle w:val="ListBullet"/>
      </w:pPr>
      <w:r>
        <w:t>Acquisition or disposition of any subsidiary, business or asset with enterprise value &gt; USD 25,000,000.</w:t>
      </w:r>
    </w:p>
    <w:p>
      <w:pPr>
        <w:pStyle w:val="ListBullet"/>
      </w:pPr>
      <w:r>
        <w:t>Issuance of any new class or series of equity.</w:t>
      </w:r>
    </w:p>
    <w:p>
      <w:pPr>
        <w:pStyle w:val="ListBullet"/>
      </w:pPr>
      <w:r>
        <w:t>Incurrence of indebtedness &gt; USD 50,000,000.</w:t>
      </w:r>
    </w:p>
    <w:p>
      <w:pPr>
        <w:pStyle w:val="ListBullet"/>
      </w:pPr>
      <w:r>
        <w:t>Approval of the consolidated annual budget and 5-year capital plan.</w:t>
      </w:r>
    </w:p>
    <w:p>
      <w:pPr>
        <w:pStyle w:val="ListBullet"/>
      </w:pPr>
      <w:r>
        <w:t>Initial public offering or dual-listing of the Corporation or any subsidiary.</w:t>
      </w:r>
    </w:p>
    <w:p>
      <w:pPr>
        <w:pStyle w:val="ListBullet"/>
      </w:pPr>
      <w:r>
        <w:t>Material change to the brand-stewardship policy or House of Brands architecture.</w:t>
      </w:r>
    </w:p>
    <w:p>
      <w:pPr>
        <w:pStyle w:val="ListBullet"/>
      </w:pPr>
      <w:r>
        <w:t>Adoption or material amendment of the ESG framework.</w:t>
      </w:r>
    </w:p>
    <w:p>
      <w:pPr>
        <w:pStyle w:val="ListBullet"/>
      </w:pPr>
      <w:r>
        <w:t>Appointment or removal of the CEO, CFO, CLO, or external auditor.</w:t>
      </w:r>
    </w:p>
    <w:p>
      <w:pPr>
        <w:pStyle w:val="ListBullet"/>
      </w:pPr>
      <w:r>
        <w:t>Any transaction with a Related Party above the de-minimis threshold (see Related-Party-Transaction-Policy.docx).</w:t>
      </w:r>
    </w:p>
    <w:p>
      <w:pPr>
        <w:pStyle w:val="Heading1"/>
      </w:pPr>
      <w:r>
        <w:rPr>
          <w:b/>
          <w:color w:val="0B1F3A"/>
        </w:rPr>
        <w:t>Article IV — Subsidiary Architecture</w:t>
      </w:r>
    </w:p>
    <w:p>
      <w:r>
        <w:rPr>
          <w:b w:val="0"/>
          <w:i w:val="0"/>
        </w:rPr>
        <w:t>4.1  Intermediate Holding Entities. Each of the 15 Strategic Business Groups is held through a wholly-owned intermediate holding entity (an 'IHE') incorporated in the jurisdiction most favorable to its operations and capital-raising plans. IHEs may be incorporated in Delaware, Mauritius (Africa hub), Singapore (APAC hub), UAE ADGM (MENA hub), Luxembourg or the United Kingdom.</w:t>
      </w:r>
    </w:p>
    <w:p>
      <w:r>
        <w:rPr>
          <w:b w:val="0"/>
          <w:i w:val="0"/>
        </w:rPr>
        <w:t>4.2  Operating Subsidiaries. Each Business Unit beneath an IHE is separately incorporated in its country of principal operations. The Corporation may, at its discretion, list any operating subsidiary on any recognized stock exchange, sell it, contribute it to a joint venture, or wind it down — subject only to Article III reserved matters.</w:t>
      </w:r>
    </w:p>
    <w:p>
      <w:r>
        <w:rPr>
          <w:b w:val="0"/>
          <w:i w:val="0"/>
        </w:rPr>
        <w:t>4.3  Brand Independence. Each operating subsidiary carries an independent brand and domain consistent with the Brand &amp; Domain Architecture and the House of Brands policy.</w:t>
      </w:r>
    </w:p>
    <w:p>
      <w:pPr>
        <w:pStyle w:val="Heading1"/>
      </w:pPr>
      <w:r>
        <w:rPr>
          <w:b/>
          <w:color w:val="0B1F3A"/>
        </w:rPr>
        <w:t>Article V — Capital Allocation</w:t>
      </w:r>
    </w:p>
    <w:p>
      <w:r>
        <w:rPr>
          <w:b w:val="0"/>
          <w:i w:val="0"/>
        </w:rPr>
        <w:t>5.1  Centralized Treasury. Cash management, FX, hedging, intercompany lending and group-level debt issuance are centralized at the Holdings Treasury function.</w:t>
      </w:r>
    </w:p>
    <w:p>
      <w:r>
        <w:rPr>
          <w:b w:val="0"/>
          <w:i w:val="0"/>
        </w:rPr>
        <w:t>5.2  Capital Allocation Discipline. The Corporation's capital is allocated annually across the 15 SBGs based on risk-adjusted return on invested capital (ROIC), strategic fit, and ESG performance. Each SBG must compete for capital — there is no automatic right of renewal.</w:t>
      </w:r>
    </w:p>
    <w:p>
      <w:r>
        <w:rPr>
          <w:b w:val="0"/>
          <w:i w:val="0"/>
        </w:rPr>
        <w:t>5.3  Dividend Policy. The Corporation does not commit to a fixed dividend; cash is reinvested in subsidiaries, used for share repurchases, or returned to stockholders as the Board determines.</w:t>
      </w:r>
    </w:p>
    <w:p>
      <w:pPr>
        <w:pStyle w:val="Heading1"/>
      </w:pPr>
      <w:r>
        <w:rPr>
          <w:b/>
          <w:color w:val="0B1F3A"/>
        </w:rPr>
        <w:t>Article VI — Indemnification and Limitation of Liability</w:t>
      </w:r>
    </w:p>
    <w:p>
      <w:r>
        <w:rPr>
          <w:b w:val="0"/>
          <w:i w:val="0"/>
        </w:rPr>
        <w:t>Directors and officers are indemnified to the fullest extent permitted by Delaware General Corporation Law §§ 102(b)(7) and 145.</w:t>
      </w:r>
    </w:p>
    <w:p>
      <w:pPr>
        <w:pStyle w:val="Heading1"/>
      </w:pPr>
      <w:r>
        <w:rPr>
          <w:b/>
          <w:color w:val="0B1F3A"/>
        </w:rPr>
        <w:t>Article VII — Amendments</w:t>
      </w:r>
    </w:p>
    <w:p>
      <w:r>
        <w:rPr>
          <w:b w:val="0"/>
          <w:i w:val="0"/>
        </w:rPr>
        <w:t>This Operating Agreement may be amended by the affirmative vote of the holders of a majority of the outstanding voting power, except that Articles III (Governance), IV (Subsidiary Architecture), and V (Capital Allocation) require a two-thirds supermajority.</w:t>
      </w:r>
    </w:p>
    <w:p>
      <w:pPr>
        <w:pStyle w:val="Heading1"/>
      </w:pPr>
      <w:r>
        <w:rPr>
          <w:b/>
          <w:color w:val="0B1F3A"/>
        </w:rPr>
        <w:t>Signatures</w:t>
      </w:r>
    </w:p>
    <w:p>
      <w:r>
        <w:rPr>
          <w:b w:val="0"/>
          <w:i w:val="0"/>
        </w:rPr>
        <w:t>_________________________________________</w:t>
      </w:r>
    </w:p>
    <w:p>
      <w:r>
        <w:rPr>
          <w:b w:val="0"/>
          <w:i w:val="0"/>
          <w:color w:val="555555"/>
        </w:rPr>
        <w:t>Founder / Executive Chair</w:t>
      </w:r>
    </w:p>
    <w:p>
      <w:r>
        <w:rPr>
          <w:b w:val="0"/>
          <w:i w:val="0"/>
        </w:rPr>
      </w:r>
    </w:p>
    <w:p>
      <w:r>
        <w:rPr>
          <w:b w:val="0"/>
          <w:i w:val="0"/>
        </w:rPr>
        <w:t>_________________________________________</w:t>
      </w:r>
    </w:p>
    <w:p>
      <w:r>
        <w:rPr>
          <w:b w:val="0"/>
          <w:i w:val="0"/>
          <w:color w:val="555555"/>
        </w:rPr>
        <w:t>Chief Executive Officer</w:t>
      </w:r>
    </w:p>
    <w:p>
      <w:r>
        <w:rPr>
          <w:b w:val="0"/>
          <w:i w:val="0"/>
        </w:rPr>
      </w:r>
    </w:p>
    <w:p>
      <w:r>
        <w:rPr>
          <w:b w:val="0"/>
          <w:i w:val="0"/>
        </w:rPr>
        <w:t>_________________________________________</w:t>
      </w:r>
    </w:p>
    <w:p>
      <w:r>
        <w:rPr>
          <w:b w:val="0"/>
          <w:i w:val="0"/>
          <w:color w:val="555555"/>
        </w:rPr>
        <w:t>Corporate Secretary</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