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Multi-Jurisdiction Registration Guide</w:t>
      </w:r>
    </w:p>
    <w:p>
      <w:pPr>
        <w:jc w:val="center"/>
      </w:pPr>
      <w:r>
        <w:rPr>
          <w:b w:val="0"/>
          <w:i/>
          <w:color w:val="C8A04A"/>
          <w:sz w:val="26"/>
        </w:rPr>
        <w:t>Delaware · Nigeria · Mauritius · ADGM · Singapore · London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Delaware, USA</w:t>
      </w:r>
    </w:p>
    <w:p>
      <w:r>
        <w:rPr>
          <w:b/>
          <w:i w:val="0"/>
          <w:color w:val="C8A04A"/>
        </w:rPr>
        <w:t>Top-Tier Parent Domicile</w:t>
      </w:r>
    </w:p>
    <w:p>
      <w:r>
        <w:rPr>
          <w:b w:val="0"/>
          <w:i w:val="0"/>
        </w:rPr>
        <w:t>Delaware General Corporation Law: predictable case law, Chancery Court expertise, preferred by US institutional investors. Use for Group parent and US operating subsidiaries.</w:t>
      </w:r>
    </w:p>
    <w:p>
      <w:r>
        <w:rPr>
          <w:b w:val="0"/>
          <w:i w:val="0"/>
          <w:color w:val="555555"/>
          <w:sz w:val="20"/>
        </w:rPr>
        <w:t>Steps: file Certificate of Incorporation, appoint registered agent (CSC, CT Corp), federal EIN, Delaware franchise tax.</w:t>
      </w:r>
    </w:p>
    <w:p>
      <w:pPr>
        <w:pStyle w:val="Heading1"/>
      </w:pPr>
      <w:r>
        <w:rPr>
          <w:b/>
          <w:color w:val="0B1F3A"/>
        </w:rPr>
        <w:t>Nigeria</w:t>
      </w:r>
    </w:p>
    <w:p>
      <w:r>
        <w:rPr>
          <w:b/>
          <w:i w:val="0"/>
          <w:color w:val="C8A04A"/>
        </w:rPr>
        <w:t>Operating Heartland (CAC, FIRS)</w:t>
      </w:r>
    </w:p>
    <w:p>
      <w:r>
        <w:rPr>
          <w:b w:val="0"/>
          <w:i w:val="0"/>
        </w:rPr>
        <w:t>Corporate Affairs Commission registration as a private limited liability company. Required for direct local operations, federal and state government contracts, NCDMB pre-qualification for energy, and SBI accreditation for defense / security tenders.</w:t>
      </w:r>
    </w:p>
    <w:p>
      <w:r>
        <w:rPr>
          <w:b w:val="0"/>
          <w:i w:val="0"/>
          <w:color w:val="555555"/>
          <w:sz w:val="20"/>
        </w:rPr>
        <w:t>Steps: name reservation, MEMART, allotment of share capital, CAC certificate, FIRS tax registration, state SBIR equivalent, sector-specific licenses.</w:t>
      </w:r>
    </w:p>
    <w:p>
      <w:pPr>
        <w:pStyle w:val="Heading1"/>
      </w:pPr>
      <w:r>
        <w:rPr>
          <w:b/>
          <w:color w:val="0B1F3A"/>
        </w:rPr>
        <w:t>Mauritius (IFC)</w:t>
      </w:r>
    </w:p>
    <w:p>
      <w:r>
        <w:rPr>
          <w:b/>
          <w:i w:val="0"/>
          <w:color w:val="C8A04A"/>
        </w:rPr>
        <w:t>Africa Holding Hub</w:t>
      </w:r>
    </w:p>
    <w:p>
      <w:r>
        <w:rPr>
          <w:b w:val="0"/>
          <w:i w:val="0"/>
        </w:rPr>
        <w:t>Global Business Corporation (GBC) under the Financial Services Commission. Treaty network with 40+ African states, withholding-tax efficiency for pan-African dividend flows. Use as IHE for Africa-facing SBGs.</w:t>
      </w:r>
    </w:p>
    <w:p>
      <w:r>
        <w:rPr>
          <w:b w:val="0"/>
          <w:i w:val="0"/>
          <w:color w:val="555555"/>
          <w:sz w:val="20"/>
        </w:rPr>
        <w:t>Steps: appoint Management Company, Constitution, GBC application, Tax Residence Certificate annual renewal.</w:t>
      </w:r>
    </w:p>
    <w:p>
      <w:pPr>
        <w:pStyle w:val="Heading1"/>
      </w:pPr>
      <w:r>
        <w:rPr>
          <w:b/>
          <w:color w:val="0B1F3A"/>
        </w:rPr>
        <w:t>Abu Dhabi Global Market (ADGM)</w:t>
      </w:r>
    </w:p>
    <w:p>
      <w:r>
        <w:rPr>
          <w:b/>
          <w:i w:val="0"/>
          <w:color w:val="C8A04A"/>
        </w:rPr>
        <w:t>MENA Hub</w:t>
      </w:r>
    </w:p>
    <w:p>
      <w:r>
        <w:rPr>
          <w:b w:val="0"/>
          <w:i w:val="0"/>
        </w:rPr>
        <w:t>ADGM is a common-law financial free zone. Use as IHE for MENA financial-services, energy, and aerospace subsidiaries. 0% corporate tax for qualifying activities, English-language judiciary.</w:t>
      </w:r>
    </w:p>
    <w:p>
      <w:pPr>
        <w:pStyle w:val="Heading1"/>
      </w:pPr>
      <w:r>
        <w:rPr>
          <w:b/>
          <w:color w:val="0B1F3A"/>
        </w:rPr>
        <w:t>Singapore</w:t>
      </w:r>
    </w:p>
    <w:p>
      <w:r>
        <w:rPr>
          <w:b/>
          <w:i w:val="0"/>
          <w:color w:val="C8A04A"/>
        </w:rPr>
        <w:t>APAC Hub</w:t>
      </w:r>
    </w:p>
    <w:p>
      <w:r>
        <w:rPr>
          <w:b w:val="0"/>
          <w:i w:val="0"/>
        </w:rPr>
        <w:t>Singapore Private Limited Company under ACRA. Strong treaty network across APAC, sophisticated capital-markets ecosystem, preferred by sovereign wealth funds. Use as IHE for APAC-facing SBGs.</w:t>
      </w:r>
    </w:p>
    <w:p>
      <w:r>
        <w:rPr>
          <w:b w:val="0"/>
          <w:i w:val="0"/>
          <w:color w:val="555555"/>
          <w:sz w:val="20"/>
        </w:rPr>
        <w:t>Steps: ACRA BizFile registration, resident director, company secretary, registered office, post-incorporation tax filings.</w:t>
      </w:r>
    </w:p>
    <w:p>
      <w:pPr>
        <w:pStyle w:val="Heading1"/>
      </w:pPr>
      <w:r>
        <w:rPr>
          <w:b/>
          <w:color w:val="0B1F3A"/>
        </w:rPr>
        <w:t>United Kingdom</w:t>
      </w:r>
    </w:p>
    <w:p>
      <w:r>
        <w:rPr>
          <w:b/>
          <w:i w:val="0"/>
          <w:color w:val="C8A04A"/>
        </w:rPr>
        <w:t>International Capital Markets</w:t>
      </w:r>
    </w:p>
    <w:p>
      <w:r>
        <w:rPr>
          <w:b w:val="0"/>
          <w:i w:val="0"/>
        </w:rPr>
        <w:t>London is the natural secondary listing venue and a hub for specialty insurance, commodity trading, and PE/VC capital. Use Companies House Ltd for UK trading subsidiaries.</w:t>
      </w:r>
    </w:p>
    <w:p>
      <w:r>
        <w:rPr>
          <w:b w:val="0"/>
          <w:i w:val="0"/>
          <w:color w:val="555555"/>
          <w:sz w:val="20"/>
        </w:rPr>
        <w:t>Steps: Companies House incorporation, HMRC corporation tax registration, VAT if applicable, PSC register.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