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color w:val="0B1F3A"/>
          <w:sz w:val="56"/>
        </w:rPr>
        <w:t>AFANO GROUP HOLDINGS</w:t>
      </w:r>
    </w:p>
    <w:p>
      <w:pPr>
        <w:jc w:val="center"/>
      </w:pPr>
      <w:r>
        <w:rPr>
          <w:b/>
          <w:i w:val="0"/>
          <w:color w:val="0B1F3A"/>
          <w:sz w:val="44"/>
        </w:rPr>
        <w:t>Related-Party Transaction Policy</w:t>
      </w:r>
    </w:p>
    <w:p>
      <w:pPr>
        <w:jc w:val="center"/>
      </w:pPr>
      <w:r>
        <w:rPr>
          <w:b w:val="0"/>
          <w:i/>
          <w:color w:val="C8A04A"/>
          <w:sz w:val="26"/>
        </w:rPr>
        <w:t>Identification · Disclosure · Approval · Disclosure</w:t>
      </w:r>
    </w:p>
    <w:p>
      <w:pPr>
        <w:jc w:val="center"/>
      </w:pPr>
      <w:r>
        <w:rPr>
          <w:b w:val="0"/>
          <w:i w:val="0"/>
          <w:color w:val="555555"/>
          <w:sz w:val="20"/>
        </w:rPr>
        <w:t>Effective: 2026-06-15  ·  Version 1.0</w:t>
      </w:r>
    </w:p>
    <w:p>
      <w:r>
        <w:br w:type="page"/>
      </w:r>
    </w:p>
    <w:p>
      <w:pPr>
        <w:pStyle w:val="Heading1"/>
      </w:pPr>
      <w:r>
        <w:rPr>
          <w:b/>
          <w:color w:val="0B1F3A"/>
        </w:rPr>
        <w:t>1. Definition</w:t>
      </w:r>
    </w:p>
    <w:p>
      <w:r>
        <w:rPr>
          <w:b w:val="0"/>
          <w:i w:val="0"/>
        </w:rPr>
        <w:t>A Related Party includes directors, named officers, 5%+ shareholders, immediate family members of the foregoing, and any entity in which any such person holds a material economic interest.</w:t>
      </w:r>
    </w:p>
    <w:p>
      <w:pPr>
        <w:pStyle w:val="Heading1"/>
      </w:pPr>
      <w:r>
        <w:rPr>
          <w:b/>
          <w:color w:val="0B1F3A"/>
        </w:rPr>
        <w:t>2. Materiality Thresholds</w:t>
      </w:r>
    </w:p>
    <w:p>
      <w:r>
        <w:rPr>
          <w:b w:val="0"/>
          <w:i w:val="0"/>
        </w:rPr>
        <w:t>(a) De-minimis: under USD 100,000 — disclosure only. (b) Material: USD 100,000-1,000,000 — Audit Committee approval. (c) Significant: above USD 1,000,000 — full Board approval and independent fairness opinion.</w:t>
      </w:r>
    </w:p>
    <w:p>
      <w:pPr>
        <w:pStyle w:val="Heading1"/>
      </w:pPr>
      <w:r>
        <w:rPr>
          <w:b/>
          <w:color w:val="0B1F3A"/>
        </w:rPr>
        <w:t>3. Disclosure</w:t>
      </w:r>
    </w:p>
    <w:p>
      <w:r>
        <w:rPr>
          <w:b w:val="0"/>
          <w:i w:val="0"/>
        </w:rPr>
        <w:t>All Related-Party Transactions are disclosed in the annual report regardless of materiality.</w:t>
      </w:r>
    </w:p>
    <w:p>
      <w:pPr>
        <w:pStyle w:val="Heading1"/>
      </w:pPr>
      <w:r>
        <w:rPr>
          <w:b/>
          <w:color w:val="0B1F3A"/>
        </w:rPr>
        <w:t>4. Founder Companies</w:t>
      </w:r>
    </w:p>
    <w:p>
      <w:r>
        <w:rPr>
          <w:b w:val="0"/>
          <w:i w:val="0"/>
        </w:rPr>
        <w:t>Transactions between the Group and any company in which the Founder holds direct equity require an independent fairness opinion regardless of size, and unanimous independent-director approval.</w:t>
      </w:r>
    </w:p>
    <w:p>
      <w:pPr>
        <w:pStyle w:val="Heading1"/>
      </w:pPr>
      <w:r>
        <w:rPr>
          <w:b/>
          <w:color w:val="0B1F3A"/>
        </w:rPr>
        <w:t>5. Recusal</w:t>
      </w:r>
    </w:p>
    <w:p>
      <w:r>
        <w:rPr>
          <w:b w:val="0"/>
          <w:i w:val="0"/>
        </w:rPr>
        <w:t>The Related Party recuses from all discussion and vote.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