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56"/>
        </w:rPr>
        <w:t>AFANO GROUP HOLDINGS</w:t>
      </w:r>
    </w:p>
    <w:p>
      <w:pPr>
        <w:jc w:val="center"/>
      </w:pPr>
      <w:r>
        <w:rPr>
          <w:b/>
          <w:i w:val="0"/>
          <w:color w:val="0B1F3A"/>
          <w:sz w:val="44"/>
        </w:rPr>
        <w:t>Shareholders Agreement</w:t>
      </w:r>
    </w:p>
    <w:p>
      <w:pPr>
        <w:jc w:val="center"/>
      </w:pPr>
      <w:r>
        <w:rPr>
          <w:b w:val="0"/>
          <w:i/>
          <w:color w:val="C8A04A"/>
          <w:sz w:val="26"/>
        </w:rPr>
        <w:t>Founder, Co-Founders, and Outside Investors</w:t>
      </w:r>
    </w:p>
    <w:p>
      <w:pPr>
        <w:jc w:val="center"/>
      </w:pPr>
      <w:r>
        <w:rPr>
          <w:b w:val="0"/>
          <w:i w:val="0"/>
          <w:color w:val="555555"/>
          <w:sz w:val="20"/>
        </w:rPr>
        <w:t>Effective: 2026-06-15  ·  Version 1.0</w:t>
      </w:r>
    </w:p>
    <w:p>
      <w:r>
        <w:br w:type="page"/>
      </w:r>
    </w:p>
    <w:p>
      <w:pPr>
        <w:pStyle w:val="Heading1"/>
      </w:pPr>
      <w:r>
        <w:rPr>
          <w:b/>
          <w:color w:val="0B1F3A"/>
        </w:rPr>
        <w:t>Article I — Parties and Purpose</w:t>
      </w:r>
    </w:p>
    <w:p>
      <w:r>
        <w:rPr>
          <w:b w:val="0"/>
          <w:i w:val="0"/>
        </w:rPr>
        <w:t>This Agreement governs the relationship among the holders of equity in AFANO Group Holdings, Inc. and is intended to align long-term interests, protect minority rights, and preserve the founder's stewardship of the conglomerate identity through the Class B supermajority structure.</w:t>
      </w:r>
    </w:p>
    <w:p>
      <w:pPr>
        <w:pStyle w:val="Heading1"/>
      </w:pPr>
      <w:r>
        <w:rPr>
          <w:b/>
          <w:color w:val="0B1F3A"/>
        </w:rPr>
        <w:t>Article II — Transfer Restrictions</w:t>
      </w:r>
    </w:p>
    <w:p>
      <w:r>
        <w:rPr>
          <w:b w:val="0"/>
          <w:i w:val="0"/>
        </w:rPr>
        <w:t>No party may transfer Class A or Class B shares without (a) compliance with the Buy-Sell Agreement, (b) right-of-first-refusal to the Corporation and then to other holders pro rata, and (c) consent of the Board where the transfer would result in a change of control.</w:t>
      </w:r>
    </w:p>
    <w:p>
      <w:pPr>
        <w:pStyle w:val="Heading1"/>
      </w:pPr>
      <w:r>
        <w:rPr>
          <w:b/>
          <w:color w:val="0B1F3A"/>
        </w:rPr>
        <w:t>Article III — Drag-Along and Tag-Along</w:t>
      </w:r>
    </w:p>
    <w:p>
      <w:r>
        <w:rPr>
          <w:b w:val="0"/>
          <w:i w:val="0"/>
        </w:rPr>
        <w:t>Holders of a majority of voting power may compel a sale of the Corporation; minority holders have a tag-along right to participate on the same terms.</w:t>
      </w:r>
    </w:p>
    <w:p>
      <w:pPr>
        <w:pStyle w:val="Heading1"/>
      </w:pPr>
      <w:r>
        <w:rPr>
          <w:b/>
          <w:color w:val="0B1F3A"/>
        </w:rPr>
        <w:t>Article IV — Pre-Emptive Rights</w:t>
      </w:r>
    </w:p>
    <w:p>
      <w:r>
        <w:rPr>
          <w:b w:val="0"/>
          <w:i w:val="0"/>
        </w:rPr>
        <w:t>Existing holders have a pro-rata right to participate in any new issuance, other than (i) issuances under the equity incentive plan, (ii) issuances in connection with a strategic acquisition, and (iii) issuances on an IPO.</w:t>
      </w:r>
    </w:p>
    <w:p>
      <w:pPr>
        <w:pStyle w:val="Heading1"/>
      </w:pPr>
      <w:r>
        <w:rPr>
          <w:b/>
          <w:color w:val="0B1F3A"/>
        </w:rPr>
        <w:t>Article V — Information Rights</w:t>
      </w:r>
    </w:p>
    <w:p>
      <w:r>
        <w:rPr>
          <w:b w:val="0"/>
          <w:i w:val="0"/>
        </w:rPr>
        <w:t>All holders receive (a) audited consolidated annual financials, (b) unaudited quarterly management accounts, (c) the annual capital budget, and (d) the ESG report.</w:t>
      </w:r>
    </w:p>
    <w:p>
      <w:pPr>
        <w:pStyle w:val="Heading1"/>
      </w:pPr>
      <w:r>
        <w:rPr>
          <w:b/>
          <w:color w:val="0B1F3A"/>
        </w:rPr>
        <w:t>Article VI — Founder Reserved Matters</w:t>
      </w:r>
    </w:p>
    <w:p>
      <w:r>
        <w:rPr>
          <w:b w:val="0"/>
          <w:i w:val="0"/>
        </w:rPr>
        <w:t>So long as the Founder holds Class B shares representing at least 10% of issued share capital, the Founder's affirmative vote is required for (i) any change to the House of Brands architecture, (ii) any transaction that would result in the AFANO master mark being applied to a customer-facing operating brand, and (iii) liquidation.</w:t>
      </w:r>
    </w:p>
    <w:p>
      <w:pPr>
        <w:pStyle w:val="Heading1"/>
      </w:pPr>
      <w:r>
        <w:rPr>
          <w:b/>
          <w:color w:val="0B1F3A"/>
        </w:rPr>
        <w:t>Article VII — Dispute Resolution</w:t>
      </w:r>
    </w:p>
    <w:p>
      <w:r>
        <w:rPr>
          <w:b w:val="0"/>
          <w:i w:val="0"/>
        </w:rPr>
        <w:t>Disputes are resolved by binding arbitration under the rules of the International Chamber of Commerce, seated in London or Singapore at the election of the claimant.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