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Cybersecurity and Data Governance Policy</w:t>
      </w:r>
    </w:p>
    <w:p>
      <w:pPr>
        <w:jc w:val="center"/>
      </w:pPr>
      <w:r>
        <w:rPr>
          <w:b w:val="0"/>
          <w:i/>
          <w:color w:val="C8A04A"/>
          <w:sz w:val="26"/>
        </w:rPr>
        <w:t>Group-Wide Security Baseline · NIST CSF · ISO 27001 · NIS2 · GDPR · NDPR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Scope</w:t>
      </w:r>
    </w:p>
    <w:p>
      <w:r>
        <w:rPr>
          <w:b w:val="0"/>
          <w:i w:val="0"/>
        </w:rPr>
        <w:t>Applies to every Group company, every employee, every contractor and every system processing Group or customer data.</w:t>
      </w:r>
    </w:p>
    <w:p>
      <w:pPr>
        <w:pStyle w:val="Heading1"/>
      </w:pPr>
      <w:r>
        <w:rPr>
          <w:b/>
          <w:color w:val="0B1F3A"/>
        </w:rPr>
        <w:t>2. Frameworks</w:t>
      </w:r>
    </w:p>
    <w:p>
      <w:r>
        <w:rPr>
          <w:b w:val="0"/>
          <w:i w:val="0"/>
        </w:rPr>
        <w:t>Aligned with NIST CSF 2.0, ISO/IEC 27001:2022, EU NIS2 Directive, and where applicable PCI-DSS, HIPAA, SOC 2 Type II.</w:t>
      </w:r>
    </w:p>
    <w:p>
      <w:pPr>
        <w:pStyle w:val="Heading1"/>
      </w:pPr>
      <w:r>
        <w:rPr>
          <w:b/>
          <w:color w:val="0B1F3A"/>
        </w:rPr>
        <w:t>3. Group Security Operations Center</w:t>
      </w:r>
    </w:p>
    <w:p>
      <w:r>
        <w:rPr>
          <w:b w:val="0"/>
          <w:i w:val="0"/>
        </w:rPr>
        <w:t>24/7 SOC operated by the Cybersecurity Business Unit. Provides managed detection and response (MDR) to every operating subsidiary at no per-seat charge for high-risk SBGs (Financial Services, Healthcare, Government &amp; Defense, Technology).</w:t>
      </w:r>
    </w:p>
    <w:p>
      <w:pPr>
        <w:pStyle w:val="Heading1"/>
      </w:pPr>
      <w:r>
        <w:rPr>
          <w:b/>
          <w:color w:val="0B1F3A"/>
        </w:rPr>
        <w:t>4. Identity and Access Management</w:t>
      </w:r>
    </w:p>
    <w:p>
      <w:r>
        <w:rPr>
          <w:b w:val="0"/>
          <w:i w:val="0"/>
        </w:rPr>
        <w:t>Group-wide single-sign-on through Entra ID. Multi-factor authentication mandatory for all internal users; FIDO2 hardware keys required for privileged access.</w:t>
      </w:r>
    </w:p>
    <w:p>
      <w:pPr>
        <w:pStyle w:val="Heading1"/>
      </w:pPr>
      <w:r>
        <w:rPr>
          <w:b/>
          <w:color w:val="0B1F3A"/>
        </w:rPr>
        <w:t>5. Data Classification</w:t>
      </w:r>
    </w:p>
    <w:p>
      <w:r>
        <w:rPr>
          <w:b w:val="0"/>
          <w:i w:val="0"/>
        </w:rPr>
        <w:t>Four classes: Public, Internal, Confidential, Restricted. Restricted data (PII, M&amp;A, IPO, customer financial) requires encryption at rest and in transit, access logging, and quarterly access reviews.</w:t>
      </w:r>
    </w:p>
    <w:p>
      <w:pPr>
        <w:pStyle w:val="Heading1"/>
      </w:pPr>
      <w:r>
        <w:rPr>
          <w:b/>
          <w:color w:val="0B1F3A"/>
        </w:rPr>
        <w:t>6. Data Protection</w:t>
      </w:r>
    </w:p>
    <w:p>
      <w:r>
        <w:rPr>
          <w:b w:val="0"/>
          <w:i w:val="0"/>
        </w:rPr>
        <w:t>GDPR, UK DPA, CCPA, NDPR (Nigeria), PDPA (Singapore), POPIA (South Africa), LGPD (Brazil). Data Protection Officer at Holdings level with regional deputies.</w:t>
      </w:r>
    </w:p>
    <w:p>
      <w:pPr>
        <w:pStyle w:val="Heading1"/>
      </w:pPr>
      <w:r>
        <w:rPr>
          <w:b/>
          <w:color w:val="0B1F3A"/>
        </w:rPr>
        <w:t>7. Incident Response</w:t>
      </w:r>
    </w:p>
    <w:p>
      <w:r>
        <w:rPr>
          <w:b w:val="0"/>
          <w:i w:val="0"/>
        </w:rPr>
        <w:t>Group IR plan with 1-hour notification SLA to Holdings CISO, 4-hour escalation to General Counsel, 24-hour escalation to CEO. Quarterly tabletop exercises. Annual red-team engagement.</w:t>
      </w:r>
    </w:p>
    <w:p>
      <w:pPr>
        <w:pStyle w:val="Heading1"/>
      </w:pPr>
      <w:r>
        <w:rPr>
          <w:b/>
          <w:color w:val="0B1F3A"/>
        </w:rPr>
        <w:t>8. Third-Party Risk</w:t>
      </w:r>
    </w:p>
    <w:p>
      <w:r>
        <w:rPr>
          <w:b w:val="0"/>
          <w:i w:val="0"/>
        </w:rPr>
        <w:t>Every supplier above USD 50,000 per year completes the Group Cyber Risk Questionnaire; critical suppliers undergo annual independent attestation review (SOC 2, ISO 27001).</w:t>
      </w:r>
    </w:p>
    <w:p>
      <w:pPr>
        <w:pStyle w:val="Heading1"/>
      </w:pPr>
      <w:r>
        <w:rPr>
          <w:b/>
          <w:color w:val="0B1F3A"/>
        </w:rPr>
        <w:t>9. Subsidiary IPO Carve-Out Considerations</w:t>
      </w:r>
    </w:p>
    <w:p>
      <w:r>
        <w:rPr>
          <w:b w:val="0"/>
          <w:i w:val="0"/>
        </w:rPr>
        <w:t>Where a subsidiary is being prepared for spinoff, cyber and data infrastructure must be separable on 24 months' notice. Plan maintained by Cybersecurity BU and reviewed annually.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