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FDI Inbound &amp; Outbound Strategy</w:t>
      </w:r>
    </w:p>
    <w:p>
      <w:pPr>
        <w:jc w:val="center"/>
      </w:pPr>
      <w:r>
        <w:rPr>
          <w:b w:val="0"/>
          <w:i/>
          <w:color w:val="C8A04A"/>
          <w:sz w:val="26"/>
        </w:rPr>
        <w:t>Sovereign Co-Investment · Treaty Protection · BIT Network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Inbound FDI — Sovereign Co-Investment</w:t>
      </w:r>
    </w:p>
    <w:p>
      <w:r>
        <w:rPr>
          <w:b w:val="0"/>
          <w:i w:val="0"/>
        </w:rPr>
        <w:t>Targeted sovereign-wealth co-investors per SBG: Energy (Mubadala, ADQ, Equinor, Petronas), Financial Services (GIC, Temasek, PIF), Infrastructure (CIC, NSIA, ADIA), Technology (PIF, Temasek, Mubadala Capital). Standard structure: minority equity at SBG-level or SPV-level; reserved matters list aligned with industry norms.</w:t>
      </w:r>
    </w:p>
    <w:p>
      <w:pPr>
        <w:pStyle w:val="Heading1"/>
      </w:pPr>
      <w:r>
        <w:rPr>
          <w:b/>
          <w:color w:val="0B1F3A"/>
        </w:rPr>
        <w:t>2. Bilateral Investment Treaty (BIT) Coverage</w:t>
      </w:r>
    </w:p>
    <w:p>
      <w:r>
        <w:rPr>
          <w:b w:val="0"/>
          <w:i w:val="0"/>
        </w:rPr>
        <w:t>Group operating entities are domiciled to maximize BIT coverage: Mauritius (45+ African BITs), UAE (Saudi-UAE-Egypt BITs), Singapore (broad APAC coverage), Netherlands (sunset clauses permitting), UK (extensive treaty network).</w:t>
      </w:r>
    </w:p>
    <w:p>
      <w:pPr>
        <w:pStyle w:val="Heading1"/>
      </w:pPr>
      <w:r>
        <w:rPr>
          <w:b/>
          <w:color w:val="0B1F3A"/>
        </w:rPr>
        <w:t>3. Inbound DFI Funding</w:t>
      </w:r>
    </w:p>
    <w:p>
      <w:r>
        <w:rPr>
          <w:b w:val="0"/>
          <w:i w:val="0"/>
        </w:rPr>
        <w:t>International Finance Corporation (IFC), Proparco (France), BII (UK), FMO (Netherlands), DEG (Germany), EBRD (Europe/MENA), AfDB (Africa), IsDB (OIC member states), AIIB (Asia). Standard terms: long tenor (8-15 years), USD or local-currency, ESG conditionality.</w:t>
      </w:r>
    </w:p>
    <w:p>
      <w:pPr>
        <w:pStyle w:val="Heading1"/>
      </w:pPr>
      <w:r>
        <w:rPr>
          <w:b/>
          <w:color w:val="0B1F3A"/>
        </w:rPr>
        <w:t>4. Inbound Multilateral Guarantees</w:t>
      </w:r>
    </w:p>
    <w:p>
      <w:r>
        <w:rPr>
          <w:b w:val="0"/>
          <w:i w:val="0"/>
        </w:rPr>
        <w:t>MIGA (political risk), ATI (Africa), AGF (SME guarantee), GuarantCo (infrastructure debt). Layer guarantees into project-finance debt stacks to lower the cost of capital.</w:t>
      </w:r>
    </w:p>
    <w:p>
      <w:pPr>
        <w:pStyle w:val="Heading1"/>
      </w:pPr>
      <w:r>
        <w:rPr>
          <w:b/>
          <w:color w:val="0B1F3A"/>
        </w:rPr>
        <w:t>5. Outbound FDI — Group-Led</w:t>
      </w:r>
    </w:p>
    <w:p>
      <w:r>
        <w:rPr>
          <w:b w:val="0"/>
          <w:i w:val="0"/>
        </w:rPr>
        <w:t>Group-led acquisitions and greenfield builds across operating jurisdictions. Outbound deal flow runs through the IHE most tax-efficient for the target jurisdiction's holding structure.</w:t>
      </w:r>
    </w:p>
    <w:p>
      <w:pPr>
        <w:pStyle w:val="Heading1"/>
      </w:pPr>
      <w:r>
        <w:rPr>
          <w:b/>
          <w:color w:val="0B1F3A"/>
        </w:rPr>
        <w:t>6. Outbound Capital Repatriation</w:t>
      </w:r>
    </w:p>
    <w:p>
      <w:r>
        <w:rPr>
          <w:b w:val="0"/>
          <w:i w:val="0"/>
        </w:rPr>
        <w:t>Tax-efficient repatriation routes by region: Mauritius for Africa, Singapore for APAC, Luxembourg for Europe, UAE for MENA. Annual transfer-pricing study supports IP and management-fee flows.</w:t>
      </w:r>
    </w:p>
    <w:p>
      <w:pPr>
        <w:pStyle w:val="Heading1"/>
      </w:pPr>
      <w:r>
        <w:rPr>
          <w:b/>
          <w:color w:val="0B1F3A"/>
        </w:rPr>
        <w:t>7. FDI Stakeholder Mapping</w:t>
      </w:r>
    </w:p>
    <w:p>
      <w:r>
        <w:rPr>
          <w:b w:val="0"/>
          <w:i w:val="0"/>
        </w:rPr>
        <w:t>Federal and state IPAs (Investment Promotion Agencies) in every operating market. Annual visit cadence at IPA-CEO level.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