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0B1F3A"/>
          <w:sz w:val="56"/>
        </w:rPr>
        <w:t>AFANO GROUP HOLDINGS</w:t>
      </w:r>
    </w:p>
    <w:p>
      <w:pPr>
        <w:jc w:val="center"/>
      </w:pPr>
      <w:r>
        <w:rPr>
          <w:b/>
          <w:i w:val="0"/>
          <w:color w:val="0B1F3A"/>
          <w:sz w:val="44"/>
        </w:rPr>
        <w:t>Government Contracting Master Guide</w:t>
      </w:r>
    </w:p>
    <w:p>
      <w:pPr>
        <w:jc w:val="center"/>
      </w:pPr>
      <w:r>
        <w:rPr>
          <w:b w:val="0"/>
          <w:i/>
          <w:color w:val="C8A04A"/>
          <w:sz w:val="26"/>
        </w:rPr>
        <w:t>SAM.gov · EU TED · AfDB · World Bank · UN · Sovereign Procurement</w:t>
      </w:r>
    </w:p>
    <w:p>
      <w:pPr>
        <w:jc w:val="center"/>
      </w:pPr>
      <w:r>
        <w:rPr>
          <w:b w:val="0"/>
          <w:i w:val="0"/>
          <w:color w:val="555555"/>
          <w:sz w:val="20"/>
        </w:rPr>
        <w:t>Effective: 2026-06-15  ·  Version 1.0</w:t>
      </w:r>
    </w:p>
    <w:p>
      <w:r>
        <w:br w:type="page"/>
      </w:r>
    </w:p>
    <w:p>
      <w:pPr>
        <w:pStyle w:val="Heading1"/>
      </w:pPr>
      <w:r>
        <w:rPr>
          <w:b/>
          <w:color w:val="0B1F3A"/>
        </w:rPr>
        <w:t>1. Tier-1 Federal Markets</w:t>
      </w:r>
    </w:p>
    <w:p>
      <w:pPr>
        <w:pStyle w:val="ListBullet"/>
      </w:pPr>
      <w:r>
        <w:t>United States — SAM.gov (System for Award Management). NAICS code mapping per SBG; CAGE code; SBA size standards.</w:t>
      </w:r>
    </w:p>
    <w:p>
      <w:pPr>
        <w:pStyle w:val="ListBullet"/>
      </w:pPr>
      <w:r>
        <w:t>Nigeria — Bureau of Public Procurement (BPP). NIPC pioneer status where applicable.</w:t>
      </w:r>
    </w:p>
    <w:p>
      <w:pPr>
        <w:pStyle w:val="ListBullet"/>
      </w:pPr>
      <w:r>
        <w:t>European Union — TED (Tenders Electronic Daily); thresholds per Directive 2014/24/EU.</w:t>
      </w:r>
    </w:p>
    <w:p>
      <w:pPr>
        <w:pStyle w:val="ListBullet"/>
      </w:pPr>
      <w:r>
        <w:t>United Kingdom — Contracts Finder, Find a Tender, Crown Commercial Service frameworks.</w:t>
      </w:r>
    </w:p>
    <w:p>
      <w:pPr>
        <w:pStyle w:val="ListBullet"/>
      </w:pPr>
      <w:r>
        <w:t>Canada — buyandsell.gc.ca; Standing Offers and Supply Arrangements.</w:t>
      </w:r>
    </w:p>
    <w:p>
      <w:pPr>
        <w:pStyle w:val="ListBullet"/>
      </w:pPr>
      <w:r>
        <w:t>Saudi Arabia — Etimad portal; local content (Saudization) thresholds.</w:t>
      </w:r>
    </w:p>
    <w:p>
      <w:pPr>
        <w:pStyle w:val="ListBullet"/>
      </w:pPr>
      <w:r>
        <w:t>UAE — Tejari, ADNOC, ADQ procurement portals.</w:t>
      </w:r>
    </w:p>
    <w:p>
      <w:pPr>
        <w:pStyle w:val="Heading1"/>
      </w:pPr>
      <w:r>
        <w:rPr>
          <w:b/>
          <w:color w:val="0B1F3A"/>
        </w:rPr>
        <w:t>2. Multilateral Procurement</w:t>
      </w:r>
    </w:p>
    <w:p>
      <w:pPr>
        <w:pStyle w:val="ListBullet"/>
      </w:pPr>
      <w:r>
        <w:t>World Bank — eConsultant2; UNGM registration for SBD eligibility.</w:t>
      </w:r>
    </w:p>
    <w:p>
      <w:pPr>
        <w:pStyle w:val="ListBullet"/>
      </w:pPr>
      <w:r>
        <w:t>African Development Bank — AfDB MapAfrica / Mark2Win.</w:t>
      </w:r>
    </w:p>
    <w:p>
      <w:pPr>
        <w:pStyle w:val="ListBullet"/>
      </w:pPr>
      <w:r>
        <w:t>Asian Infrastructure Investment Bank (AIIB).</w:t>
      </w:r>
    </w:p>
    <w:p>
      <w:pPr>
        <w:pStyle w:val="ListBullet"/>
      </w:pPr>
      <w:r>
        <w:t>Islamic Development Bank — IsDB Sustainable Procurement.</w:t>
      </w:r>
    </w:p>
    <w:p>
      <w:pPr>
        <w:pStyle w:val="ListBullet"/>
      </w:pPr>
      <w:r>
        <w:t>European Bank for Reconstruction and Development — EBRD Procurement.</w:t>
      </w:r>
    </w:p>
    <w:p>
      <w:pPr>
        <w:pStyle w:val="ListBullet"/>
      </w:pPr>
      <w:r>
        <w:t>Inter-American Development Bank — IDB.</w:t>
      </w:r>
    </w:p>
    <w:p>
      <w:pPr>
        <w:pStyle w:val="ListBullet"/>
      </w:pPr>
      <w:r>
        <w:t>United Nations Global Marketplace (UNGM) — single registration covers most UN agencies.</w:t>
      </w:r>
    </w:p>
    <w:p>
      <w:pPr>
        <w:pStyle w:val="ListBullet"/>
      </w:pPr>
      <w:r>
        <w:t>Global Fund, GAVI, UNICEF Supply Division.</w:t>
      </w:r>
    </w:p>
    <w:p>
      <w:pPr>
        <w:pStyle w:val="Heading1"/>
      </w:pPr>
      <w:r>
        <w:rPr>
          <w:b/>
          <w:color w:val="0B1F3A"/>
        </w:rPr>
        <w:t>3. Bid Calendar Cadence</w:t>
      </w:r>
    </w:p>
    <w:p>
      <w:r>
        <w:rPr>
          <w:b w:val="0"/>
          <w:i w:val="0"/>
        </w:rPr>
        <w:t>Group Business Development maintains a rolling 18-month opportunity calendar pulling RFPs above USD 5,000,000 from every Tier-1 portal. SBGs review weekly; go/no-go decision at SBG MD level; Group oversight where Group brand or balance sheet is in scope.</w:t>
      </w:r>
    </w:p>
    <w:p>
      <w:pPr>
        <w:pStyle w:val="Heading1"/>
      </w:pPr>
      <w:r>
        <w:rPr>
          <w:b/>
          <w:color w:val="0B1F3A"/>
        </w:rPr>
        <w:t>4. Capability Statements</w:t>
      </w:r>
    </w:p>
    <w:p>
      <w:r>
        <w:rPr>
          <w:b w:val="0"/>
          <w:i w:val="0"/>
        </w:rPr>
        <w:t>Maintained in 04_Operations-Launch/15-SBG-Capability-Statements.docx. Tailored versions per SBG generated on demand by BD.</w:t>
      </w:r>
    </w:p>
    <w:p>
      <w:pPr>
        <w:pStyle w:val="Heading1"/>
      </w:pPr>
      <w:r>
        <w:rPr>
          <w:b/>
          <w:color w:val="0B1F3A"/>
        </w:rPr>
        <w:t>5. Past-Performance Strategy</w:t>
      </w:r>
    </w:p>
    <w:p>
      <w:r>
        <w:rPr>
          <w:b w:val="0"/>
          <w:i w:val="0"/>
        </w:rPr>
        <w:t>Build past performance through subcontracting to incumbent primes; graduate to prime on subsequent procurements once 3+ successful subcontracts close. Pursue mentorship relationships with incumbent primes via SBA Mentor-Protégé and equivalent host-country programs.</w:t>
      </w:r>
    </w:p>
    <w:p>
      <w:pPr>
        <w:pStyle w:val="Heading1"/>
      </w:pPr>
      <w:r>
        <w:rPr>
          <w:b/>
          <w:color w:val="0B1F3A"/>
        </w:rPr>
        <w:t>6. Joint Venture &amp; Teaming Strategy</w:t>
      </w:r>
    </w:p>
    <w:p>
      <w:r>
        <w:rPr>
          <w:b w:val="0"/>
          <w:i w:val="0"/>
        </w:rPr>
        <w:t>Use JV vehicles where past performance, local content rules, or set-aside programs require local participation. Joint venture agreement template maintained by Group Legal.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