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International Market Entry Guide</w:t>
      </w:r>
    </w:p>
    <w:p>
      <w:pPr>
        <w:jc w:val="center"/>
      </w:pPr>
      <w:r>
        <w:rPr>
          <w:b w:val="0"/>
          <w:i/>
          <w:color w:val="C8A04A"/>
          <w:sz w:val="26"/>
        </w:rPr>
        <w:t>Africa · GCC · EU · North America · APAC · LatAm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West Africa (ECOWAS)</w:t>
      </w:r>
    </w:p>
    <w:p>
      <w:r>
        <w:rPr>
          <w:b w:val="0"/>
          <w:i w:val="0"/>
        </w:rPr>
        <w:t>Anchor: Nigeria. CAC registration, NCDMB for energy, NDIC for banking. Use Mauritius IHE for dividend efficiency. Local content rules require Nigerian board representation and local procurement thresholds in oil &amp; gas (30-50%) and ICT (15-25%).</w:t>
      </w:r>
    </w:p>
    <w:p>
      <w:pPr>
        <w:pStyle w:val="Heading1"/>
      </w:pPr>
      <w:r>
        <w:rPr>
          <w:b/>
          <w:color w:val="0B1F3A"/>
        </w:rPr>
        <w:t>East Africa (EAC)</w:t>
      </w:r>
    </w:p>
    <w:p>
      <w:r>
        <w:rPr>
          <w:b w:val="0"/>
          <w:i w:val="0"/>
        </w:rPr>
        <w:t>Anchor: Kenya. Nairobi as APAC-adjacent hub for impact-investment capital. Local incorporation under the Companies Act 2015. Tax incentives in SEZs (Mombasa, Konza).</w:t>
      </w:r>
    </w:p>
    <w:p>
      <w:pPr>
        <w:pStyle w:val="Heading1"/>
      </w:pPr>
      <w:r>
        <w:rPr>
          <w:b/>
          <w:color w:val="0B1F3A"/>
        </w:rPr>
        <w:t>Southern Africa (SADC)</w:t>
      </w:r>
    </w:p>
    <w:p>
      <w:r>
        <w:rPr>
          <w:b w:val="0"/>
          <w:i w:val="0"/>
        </w:rPr>
        <w:t>Anchor: South Africa. JSE as a dual-listing venue post-IPO. B-BBEE compliance required for state-related procurement; minimum 30% black ownership for material government contracts.</w:t>
      </w:r>
    </w:p>
    <w:p>
      <w:pPr>
        <w:pStyle w:val="Heading1"/>
      </w:pPr>
      <w:r>
        <w:rPr>
          <w:b/>
          <w:color w:val="0B1F3A"/>
        </w:rPr>
        <w:t>North Africa / MENA</w:t>
      </w:r>
    </w:p>
    <w:p>
      <w:r>
        <w:rPr>
          <w:b w:val="0"/>
          <w:i w:val="0"/>
        </w:rPr>
        <w:t>Anchors: UAE (ADGM, DIFC), Saudi Arabia (NEOM, Riyadh). Free-zone incorporation for holdings; onshore LLC for trading. Saudi Tadawul main market for dual listing of Saudi-anchored subsidiaries.</w:t>
      </w:r>
    </w:p>
    <w:p>
      <w:pPr>
        <w:pStyle w:val="Heading1"/>
      </w:pPr>
      <w:r>
        <w:rPr>
          <w:b/>
          <w:color w:val="0B1F3A"/>
        </w:rPr>
        <w:t>European Union</w:t>
      </w:r>
    </w:p>
    <w:p>
      <w:r>
        <w:rPr>
          <w:b w:val="0"/>
          <w:i w:val="0"/>
        </w:rPr>
        <w:t>Anchor: Luxembourg (holdings) and Ireland (operational EU hub). EU CSRD and CSDDD apply to material EU-trading subsidiaries. Dublin and Paris as Tier-1 finance-talent markets.</w:t>
      </w:r>
    </w:p>
    <w:p>
      <w:pPr>
        <w:pStyle w:val="Heading1"/>
      </w:pPr>
      <w:r>
        <w:rPr>
          <w:b/>
          <w:color w:val="0B1F3A"/>
        </w:rPr>
        <w:t>United Kingdom</w:t>
      </w:r>
    </w:p>
    <w:p>
      <w:r>
        <w:rPr>
          <w:b w:val="0"/>
          <w:i w:val="0"/>
        </w:rPr>
        <w:t>Companies House registration. London for specialty insurance, PE/VC capital, commodity trading. AIM as a venue for early-stage subsidiary listings.</w:t>
      </w:r>
    </w:p>
    <w:p>
      <w:pPr>
        <w:pStyle w:val="Heading1"/>
      </w:pPr>
      <w:r>
        <w:rPr>
          <w:b/>
          <w:color w:val="0B1F3A"/>
        </w:rPr>
        <w:t>North America</w:t>
      </w:r>
    </w:p>
    <w:p>
      <w:r>
        <w:rPr>
          <w:b w:val="0"/>
          <w:i w:val="0"/>
        </w:rPr>
        <w:t>Delaware C-Corp for top-tier US holding entities. State-level registration as foreign corporation in states of operation. Federal SAM.gov, state SBIR equivalents, CFIUS review for inbound investment.</w:t>
      </w:r>
    </w:p>
    <w:p>
      <w:pPr>
        <w:pStyle w:val="Heading1"/>
      </w:pPr>
      <w:r>
        <w:rPr>
          <w:b/>
          <w:color w:val="0B1F3A"/>
        </w:rPr>
        <w:t>APAC</w:t>
      </w:r>
    </w:p>
    <w:p>
      <w:r>
        <w:rPr>
          <w:b w:val="0"/>
          <w:i w:val="0"/>
        </w:rPr>
        <w:t>Anchor: Singapore (holding hub). Operational footprints via Singapore Pte Ltd subsidiaries. India through GIFT City for financial services. Vietnam, Indonesia, Philippines via local JVs to satisfy ownership-cap rules.</w:t>
      </w:r>
    </w:p>
    <w:p>
      <w:pPr>
        <w:pStyle w:val="Heading1"/>
      </w:pPr>
      <w:r>
        <w:rPr>
          <w:b/>
          <w:color w:val="0B1F3A"/>
        </w:rPr>
        <w:t>Latin America</w:t>
      </w:r>
    </w:p>
    <w:p>
      <w:r>
        <w:rPr>
          <w:b w:val="0"/>
          <w:i w:val="0"/>
        </w:rPr>
        <w:t>Anchor: Mexico City (USMCA gateway) or São Paulo (Brazil scale). Local LLC (S de RL de CV / Ltda). FX controls and capital repatriation rules vary by country; treasury planning critical.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