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M&amp;A Playbook</w:t>
      </w:r>
    </w:p>
    <w:p>
      <w:pPr>
        <w:jc w:val="center"/>
      </w:pPr>
      <w:r>
        <w:rPr>
          <w:b w:val="0"/>
          <w:i/>
          <w:color w:val="C8A04A"/>
          <w:sz w:val="26"/>
        </w:rPr>
        <w:t>Source · Diligence · Negotiate · Close · Integrate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2026-06-15  ·  Version 1.0</w:t>
      </w:r>
    </w:p>
    <w:p>
      <w:r>
        <w:br w:type="page"/>
      </w:r>
    </w:p>
    <w:p>
      <w:pPr>
        <w:pStyle w:val="Heading1"/>
      </w:pPr>
      <w:r>
        <w:rPr>
          <w:b/>
          <w:color w:val="0B1F3A"/>
        </w:rPr>
        <w:t>1. Strategic Rationale</w:t>
      </w:r>
    </w:p>
    <w:p>
      <w:r>
        <w:rPr>
          <w:b w:val="0"/>
          <w:i w:val="0"/>
        </w:rPr>
        <w:t>Acquisitions accelerate scale where organic growth is slower than market windows allow. Targets must satisfy three filters: (a) strategic fit with one of the 15 SBGs, (b) ROIC &gt; Group blended WACC + 300 bps within 3 years, (c) cultural compatibility with the House of Brands model.</w:t>
      </w:r>
    </w:p>
    <w:p>
      <w:pPr>
        <w:pStyle w:val="Heading1"/>
      </w:pPr>
      <w:r>
        <w:rPr>
          <w:b/>
          <w:color w:val="0B1F3A"/>
        </w:rPr>
        <w:t>2. Sourcing Channels</w:t>
      </w:r>
    </w:p>
    <w:p>
      <w:pPr>
        <w:pStyle w:val="ListBullet"/>
      </w:pPr>
      <w:r>
        <w:t>Bulge-bracket and regional M&amp;A advisors retained on success-fee.</w:t>
      </w:r>
    </w:p>
    <w:p>
      <w:pPr>
        <w:pStyle w:val="ListBullet"/>
      </w:pPr>
      <w:r>
        <w:t>Sector-specialist boutiques (one per SBG).</w:t>
      </w:r>
    </w:p>
    <w:p>
      <w:pPr>
        <w:pStyle w:val="ListBullet"/>
      </w:pPr>
      <w:r>
        <w:t>Direct outreach to founder-owned businesses where succession is unresolved.</w:t>
      </w:r>
    </w:p>
    <w:p>
      <w:pPr>
        <w:pStyle w:val="ListBullet"/>
      </w:pPr>
      <w:r>
        <w:t>Distressed pipeline from restructuring advisors and DIP lenders.</w:t>
      </w:r>
    </w:p>
    <w:p>
      <w:pPr>
        <w:pStyle w:val="ListBullet"/>
      </w:pPr>
      <w:r>
        <w:t>Auction processes (selective participation only).</w:t>
      </w:r>
    </w:p>
    <w:p>
      <w:pPr>
        <w:pStyle w:val="Heading1"/>
      </w:pPr>
      <w:r>
        <w:rPr>
          <w:b/>
          <w:color w:val="0B1F3A"/>
        </w:rPr>
        <w:t>3. Diligence Workstreams</w:t>
      </w:r>
    </w:p>
    <w:p>
      <w:pPr>
        <w:pStyle w:val="ListBullet"/>
      </w:pPr>
      <w:r>
        <w:t>Commercial — market, customers, competition, pricing.</w:t>
      </w:r>
    </w:p>
    <w:p>
      <w:pPr>
        <w:pStyle w:val="ListBullet"/>
      </w:pPr>
      <w:r>
        <w:t>Financial — quality of earnings, working capital, hidden liabilities.</w:t>
      </w:r>
    </w:p>
    <w:p>
      <w:pPr>
        <w:pStyle w:val="ListBullet"/>
      </w:pPr>
      <w:r>
        <w:t>Legal — corporate, IP, regulatory, litigation, sanctions.</w:t>
      </w:r>
    </w:p>
    <w:p>
      <w:pPr>
        <w:pStyle w:val="ListBullet"/>
      </w:pPr>
      <w:r>
        <w:t>Tax — historical, transfer-pricing, structuring optimization.</w:t>
      </w:r>
    </w:p>
    <w:p>
      <w:pPr>
        <w:pStyle w:val="ListBullet"/>
      </w:pPr>
      <w:r>
        <w:t>Operational — SCM, IT, real estate.</w:t>
      </w:r>
    </w:p>
    <w:p>
      <w:pPr>
        <w:pStyle w:val="ListBullet"/>
      </w:pPr>
      <w:r>
        <w:t>HR — leadership, culture, retention, comp &amp; benefits.</w:t>
      </w:r>
    </w:p>
    <w:p>
      <w:pPr>
        <w:pStyle w:val="ListBullet"/>
      </w:pPr>
      <w:r>
        <w:t>ESG — climate, human rights, governance.</w:t>
      </w:r>
    </w:p>
    <w:p>
      <w:pPr>
        <w:pStyle w:val="ListBullet"/>
      </w:pPr>
      <w:r>
        <w:t>Cyber — historical incidents, security posture, IP exfiltration.</w:t>
      </w:r>
    </w:p>
    <w:p>
      <w:pPr>
        <w:pStyle w:val="ListBullet"/>
      </w:pPr>
      <w:r>
        <w:t>Insurance — adequacy, claims history.</w:t>
      </w:r>
    </w:p>
    <w:p>
      <w:pPr>
        <w:pStyle w:val="Heading1"/>
      </w:pPr>
      <w:r>
        <w:rPr>
          <w:b/>
          <w:color w:val="0B1F3A"/>
        </w:rPr>
        <w:t>4. Deal Structuring</w:t>
      </w:r>
    </w:p>
    <w:p>
      <w:r>
        <w:rPr>
          <w:b w:val="0"/>
          <w:i w:val="0"/>
        </w:rPr>
        <w:t>Default: cash + earn-out tied to 2-year EBITDA performance. Use Group equity only where founder rollover meaningfully aligns interests. Preferred jurisdictions for SPV: Mauritius for Africa deals, Delaware for North America, Luxembourg for Europe, Singapore for APAC.</w:t>
      </w:r>
    </w:p>
    <w:p>
      <w:pPr>
        <w:pStyle w:val="Heading1"/>
      </w:pPr>
      <w:r>
        <w:rPr>
          <w:b/>
          <w:color w:val="0B1F3A"/>
        </w:rPr>
        <w:t>5. Integration Playbook</w:t>
      </w:r>
    </w:p>
    <w:p>
      <w:pPr>
        <w:pStyle w:val="ListBullet"/>
      </w:pPr>
      <w:r>
        <w:t>Day 0: communications cascade, retention letters, brand-stewardship review.</w:t>
      </w:r>
    </w:p>
    <w:p>
      <w:pPr>
        <w:pStyle w:val="ListBullet"/>
      </w:pPr>
      <w:r>
        <w:t>Day 30: integration plan ratified; HR and finance integration kickoff.</w:t>
      </w:r>
    </w:p>
    <w:p>
      <w:pPr>
        <w:pStyle w:val="ListBullet"/>
      </w:pPr>
      <w:r>
        <w:t>Day 90: technology integration milestones; first MBR with Holdings CFO.</w:t>
      </w:r>
    </w:p>
    <w:p>
      <w:pPr>
        <w:pStyle w:val="ListBullet"/>
      </w:pPr>
      <w:r>
        <w:t>Day 180: synergy realization tracker live.</w:t>
      </w:r>
    </w:p>
    <w:p>
      <w:pPr>
        <w:pStyle w:val="ListBullet"/>
      </w:pPr>
      <w:r>
        <w:t>Day 365: post-mortem review with Investment Committee.</w:t>
      </w:r>
    </w:p>
    <w:p>
      <w:pPr>
        <w:pStyle w:val="Heading1"/>
      </w:pPr>
      <w:r>
        <w:rPr>
          <w:b/>
          <w:color w:val="0B1F3A"/>
        </w:rPr>
        <w:t>6. Brand Decisions Post-Close</w:t>
      </w:r>
    </w:p>
    <w:p>
      <w:r>
        <w:rPr>
          <w:b w:val="0"/>
          <w:i w:val="0"/>
        </w:rPr>
        <w:t>Default: retain target brand under House of Brands policy. Add the 'An AFANO Group Company' endorsement footer on website and corporate stationery only. Customer-facing brand transition is rare and requires Board approval.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