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Public-Private Partnership Playbook</w:t>
      </w:r>
    </w:p>
    <w:p>
      <w:pPr>
        <w:jc w:val="center"/>
      </w:pPr>
      <w:r>
        <w:rPr>
          <w:b w:val="0"/>
          <w:i/>
          <w:color w:val="C8A04A"/>
          <w:sz w:val="26"/>
        </w:rPr>
        <w:t>Concessions · BOT/BOOT · Availability Payments · Hybrid Annuity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PPP Eligible Sectors at AFANO</w:t>
      </w:r>
    </w:p>
    <w:p>
      <w:r>
        <w:rPr>
          <w:b w:val="0"/>
          <w:i w:val="0"/>
        </w:rPr>
        <w:t>Infrastructure &amp; Real Estate (SBG 4), Energy (SBG 2), Transport (SBG 7 Mobility), Healthcare (SBG 6), Education (SBG 8), Industrial parks (SBG 12), Government &amp; Defense services (SBG 11).</w:t>
      </w:r>
    </w:p>
    <w:p>
      <w:pPr>
        <w:pStyle w:val="Heading1"/>
      </w:pPr>
      <w:r>
        <w:rPr>
          <w:b/>
          <w:color w:val="0B1F3A"/>
        </w:rPr>
        <w:t>2. PPP Structuring Options</w:t>
      </w:r>
    </w:p>
    <w:p>
      <w:r>
        <w:rPr>
          <w:b w:val="0"/>
          <w:i w:val="0"/>
        </w:rPr>
        <w:t>(a) BOT — Build-Operate-Transfer; (b) BOOT — Build-Own-Operate-Transfer; (c) DBFOM — Design-Build-Finance-Operate-Maintain; (d) Availability Payment — government pays for service availability rather than user fees; (e) Hybrid Annuity — capital part-funded by government, balance by SPV.</w:t>
      </w:r>
    </w:p>
    <w:p>
      <w:pPr>
        <w:pStyle w:val="Heading1"/>
      </w:pPr>
      <w:r>
        <w:rPr>
          <w:b/>
          <w:color w:val="0B1F3A"/>
        </w:rPr>
        <w:t>3. SPV Architecture</w:t>
      </w:r>
    </w:p>
    <w:p>
      <w:r>
        <w:rPr>
          <w:b w:val="0"/>
          <w:i w:val="0"/>
        </w:rPr>
        <w:t>Each PPP is housed in a dedicated SPV — limited recourse, project-finance ring-fenced. AFANO Group Holdings appears as sponsor and minority equity; senior debt from DFIs (AfDB, IFC, EBRD, AIIB) and commercial banks.</w:t>
      </w:r>
    </w:p>
    <w:p>
      <w:pPr>
        <w:pStyle w:val="Heading1"/>
      </w:pPr>
      <w:r>
        <w:rPr>
          <w:b/>
          <w:color w:val="0B1F3A"/>
        </w:rPr>
        <w:t>4. Concession-Agreement Critical Terms</w:t>
      </w:r>
    </w:p>
    <w:p>
      <w:r>
        <w:rPr>
          <w:b w:val="0"/>
          <w:i w:val="0"/>
        </w:rPr>
        <w:t>Tariff/charge mechanism, force majeure, government step-in, termination payment formula, change-in-law protection, dispute resolution (ICC arbitration default).</w:t>
      </w:r>
    </w:p>
    <w:p>
      <w:pPr>
        <w:pStyle w:val="Heading1"/>
      </w:pPr>
      <w:r>
        <w:rPr>
          <w:b/>
          <w:color w:val="0B1F3A"/>
        </w:rPr>
        <w:t>5. ESG &amp; Social Licence</w:t>
      </w:r>
    </w:p>
    <w:p>
      <w:r>
        <w:rPr>
          <w:b w:val="0"/>
          <w:i w:val="0"/>
        </w:rPr>
        <w:t>Resettlement Action Plan (RAP), Indigenous Peoples Plan (IPP), Gender Action Plan (GAP), Community Development Agreement (CDA) aligned with IFC Performance Standards 1-8.</w:t>
      </w:r>
    </w:p>
    <w:p>
      <w:pPr>
        <w:pStyle w:val="Heading1"/>
      </w:pPr>
      <w:r>
        <w:rPr>
          <w:b/>
          <w:color w:val="0B1F3A"/>
        </w:rPr>
        <w:t>6. Track Record Building</w:t>
      </w:r>
    </w:p>
    <w:p>
      <w:r>
        <w:rPr>
          <w:b w:val="0"/>
          <w:i w:val="0"/>
        </w:rPr>
        <w:t>Bid as junior partner on early concessions to build past performance; transition to sponsor/lead on subsequent deals after 2-3 successful exits or concessions in operation.</w:t>
      </w:r>
    </w:p>
    <w:p>
      <w:pPr>
        <w:pStyle w:val="Heading1"/>
      </w:pPr>
      <w:r>
        <w:rPr>
          <w:b/>
          <w:color w:val="0B1F3A"/>
        </w:rPr>
        <w:t>7. Project Finance Toolkit</w:t>
      </w:r>
    </w:p>
    <w:p>
      <w:r>
        <w:rPr>
          <w:b w:val="0"/>
          <w:i w:val="0"/>
        </w:rPr>
        <w:t>Senior debt, subordinated debt, mezzanine, equity bridge, viability gap funding (VGF), credit guarantees from MIGA / ATI / AGF / GuarantCo.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