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color w:val="0B1F3A"/>
          <w:sz w:val="56"/>
        </w:rPr>
        <w:t>AFANO GROUP HOLDINGS</w:t>
      </w:r>
    </w:p>
    <w:p>
      <w:pPr>
        <w:jc w:val="center"/>
      </w:pPr>
      <w:r>
        <w:rPr>
          <w:b/>
          <w:i w:val="0"/>
          <w:color w:val="0B1F3A"/>
          <w:sz w:val="44"/>
        </w:rPr>
        <w:t>Carve-Out and Divestiture Playbook</w:t>
      </w:r>
    </w:p>
    <w:p>
      <w:pPr>
        <w:jc w:val="center"/>
      </w:pPr>
      <w:r>
        <w:rPr>
          <w:b w:val="0"/>
          <w:i/>
          <w:color w:val="C8A04A"/>
          <w:sz w:val="26"/>
        </w:rPr>
        <w:t>Partial IPO · Sale · Wind-Down · Asset Sale</w:t>
      </w:r>
    </w:p>
    <w:p>
      <w:pPr>
        <w:jc w:val="center"/>
      </w:pPr>
      <w:r>
        <w:rPr>
          <w:b w:val="0"/>
          <w:i w:val="0"/>
          <w:color w:val="555555"/>
          <w:sz w:val="20"/>
        </w:rPr>
        <w:t>Effective: 2026-06-15  ·  Version 1.0</w:t>
      </w:r>
    </w:p>
    <w:p>
      <w:r>
        <w:br w:type="page"/>
      </w:r>
    </w:p>
    <w:p>
      <w:pPr>
        <w:pStyle w:val="Heading1"/>
      </w:pPr>
      <w:r>
        <w:rPr>
          <w:b/>
          <w:color w:val="0B1F3A"/>
        </w:rPr>
        <w:t>1. Carve-Out IPO vs. Spinoff vs. Sale</w:t>
      </w:r>
    </w:p>
    <w:p>
      <w:r>
        <w:rPr>
          <w:b w:val="0"/>
          <w:i w:val="0"/>
        </w:rPr>
        <w:t>Carve-Out: Group retains majority post-IPO; raises primary capital, builds public-market currency, retains synergies. Spinoff: distribute to shareholders, tax-free if Section 355. Sale: cash exit, no continued exposure, certainty. Choice driven by valuation arbitrage, capital needs, brand strategy, and Group strategic intent.</w:t>
      </w:r>
    </w:p>
    <w:p>
      <w:pPr>
        <w:pStyle w:val="Heading1"/>
      </w:pPr>
      <w:r>
        <w:rPr>
          <w:b/>
          <w:color w:val="0B1F3A"/>
        </w:rPr>
        <w:t>2. Preparation</w:t>
      </w:r>
    </w:p>
    <w:p>
      <w:r>
        <w:rPr>
          <w:b w:val="0"/>
          <w:i w:val="0"/>
        </w:rPr>
        <w:t>Audited stand-alone financials (3 years), separate ERP run, stand-alone management team, customer and supplier communications plan, employee retention plan.</w:t>
      </w:r>
    </w:p>
    <w:p>
      <w:pPr>
        <w:pStyle w:val="Heading1"/>
      </w:pPr>
      <w:r>
        <w:rPr>
          <w:b/>
          <w:color w:val="0B1F3A"/>
        </w:rPr>
        <w:t>3. Stand-Alone P&amp;L Construction</w:t>
      </w:r>
    </w:p>
    <w:p>
      <w:r>
        <w:rPr>
          <w:b w:val="0"/>
          <w:i w:val="0"/>
        </w:rPr>
        <w:t>Allocate corporate overhead conservatively to avoid post-deal earnings gap. Identify and quantify stranded costs that remain at Group. Negotiate TSA revenue back to Group to offset stranded costs.</w:t>
      </w:r>
    </w:p>
    <w:p>
      <w:pPr>
        <w:pStyle w:val="Heading1"/>
      </w:pPr>
      <w:r>
        <w:rPr>
          <w:b/>
          <w:color w:val="0B1F3A"/>
        </w:rPr>
        <w:t>4. Sale Process</w:t>
      </w:r>
    </w:p>
    <w:p>
      <w:r>
        <w:rPr>
          <w:b w:val="0"/>
          <w:i w:val="0"/>
        </w:rPr>
        <w:t>Auction vs. proprietary process. Use auction where multiple credible buyers exist; proprietary where price-sensitivity, regulatory risk, or strategic confidentiality argue for one-on-one. Banker-led process with full diligence room (VDR), management presentations, site visits.</w:t>
      </w:r>
    </w:p>
    <w:p>
      <w:pPr>
        <w:pStyle w:val="Heading1"/>
      </w:pPr>
      <w:r>
        <w:rPr>
          <w:b/>
          <w:color w:val="0B1F3A"/>
        </w:rPr>
        <w:t>5. Antitrust and Foreign Investment Review</w:t>
      </w:r>
    </w:p>
    <w:p>
      <w:r>
        <w:rPr>
          <w:b w:val="0"/>
          <w:i w:val="0"/>
        </w:rPr>
        <w:t>HSR (US), EU Merger Regulation, China SAMR, CFIUS for inbound US deals, FIRB (Australia), CMA (UK). Add 4-9 months to timeline for material reviews.</w:t>
      </w:r>
    </w:p>
    <w:p>
      <w:pPr>
        <w:pStyle w:val="Heading1"/>
      </w:pPr>
      <w:r>
        <w:rPr>
          <w:b/>
          <w:color w:val="0B1F3A"/>
        </w:rPr>
        <w:t>6. Brand Treatment Post-Sale</w:t>
      </w:r>
    </w:p>
    <w:p>
      <w:r>
        <w:rPr>
          <w:b w:val="0"/>
          <w:i w:val="0"/>
        </w:rPr>
        <w:t>Buyer typically retains the operating brand. AFANO endorsement footer is removed at closing. AFANO retains no licensing or brand interest absent specific transitional license.</w:t>
      </w:r>
    </w:p>
    <w:p>
      <w:pPr>
        <w:pStyle w:val="Heading1"/>
      </w:pPr>
      <w:r>
        <w:rPr>
          <w:b/>
          <w:color w:val="0B1F3A"/>
        </w:rPr>
        <w:t>7. Wind-Down</w:t>
      </w:r>
    </w:p>
    <w:p>
      <w:r>
        <w:rPr>
          <w:b w:val="0"/>
          <w:i w:val="0"/>
        </w:rPr>
        <w:t>Where sale is infeasible and continued operation is uneconomic, an orderly wind-down protects creditors, employees, and Group reputation. Use a specialist wind-down team; communicate openly with stakeholders.</w:t>
      </w:r>
    </w:p>
    <w:p>
      <w:pPr>
        <w:pStyle w:val="Heading1"/>
      </w:pPr>
      <w:r>
        <w:rPr>
          <w:b/>
          <w:color w:val="0B1F3A"/>
        </w:rPr>
        <w:t>8. Asset Sale vs. Equity Sale</w:t>
      </w:r>
    </w:p>
    <w:p>
      <w:r>
        <w:rPr>
          <w:b w:val="0"/>
          <w:i w:val="0"/>
        </w:rPr>
        <w:t>Equity sale is cleaner for Group (no historical liabilities), buyer prefers asset sale for step-up basis and liability control. Negotiate accordingly with appropriate tax leakage modeling.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