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pPr>
        <w:jc w:val="center"/>
      </w:pPr>
      <w:r>
        <w:rPr>
          <w:b/>
          <w:i w:val="0"/>
          <w:color w:val="0B1F3A"/>
          <w:sz w:val="56"/>
        </w:rPr>
        <w:t>AFANO GROUP HOLDINGS</w:t>
      </w:r>
    </w:p>
    <w:p>
      <w:pPr>
        <w:jc w:val="center"/>
      </w:pPr>
      <w:r>
        <w:rPr>
          <w:b/>
          <w:i w:val="0"/>
          <w:color w:val="0B1F3A"/>
          <w:sz w:val="44"/>
        </w:rPr>
        <w:t>IPO Readiness Playbook</w:t>
      </w:r>
    </w:p>
    <w:p>
      <w:pPr>
        <w:jc w:val="center"/>
      </w:pPr>
      <w:r>
        <w:rPr>
          <w:b w:val="0"/>
          <w:i/>
          <w:color w:val="C8A04A"/>
          <w:sz w:val="26"/>
        </w:rPr>
        <w:t>NYSE · NASDAQ · LSE · NGX · JSE · SGX · Tadawul · Dual Listing</w:t>
      </w:r>
    </w:p>
    <w:p>
      <w:pPr>
        <w:jc w:val="center"/>
      </w:pPr>
      <w:r>
        <w:rPr>
          <w:b w:val="0"/>
          <w:i w:val="0"/>
          <w:color w:val="555555"/>
          <w:sz w:val="20"/>
        </w:rPr>
        <w:t>Effective: 2026-06-15  ·  Version 1.0</w:t>
      </w:r>
    </w:p>
    <w:p>
      <w:r>
        <w:br w:type="page"/>
      </w:r>
    </w:p>
    <w:p>
      <w:pPr>
        <w:pStyle w:val="Heading1"/>
      </w:pPr>
      <w:r>
        <w:rPr>
          <w:b/>
          <w:color w:val="0B1F3A"/>
        </w:rPr>
        <w:t>1. Strategic Question</w:t>
      </w:r>
    </w:p>
    <w:p>
      <w:r>
        <w:rPr>
          <w:b w:val="0"/>
          <w:i w:val="0"/>
        </w:rPr>
        <w:t>IPO is one of three exits. The Group may also (a) hold indefinitely and run as Berkshire Hathaway does, (b) spin off to existing shareholders (Section 355 tax-free if US), or (c) sell to strategic or financial buyer. The decision is subsidiary-by-subsidiary, based on valuation arbitrage, capital needs, and brand-independence goals.</w:t>
      </w:r>
    </w:p>
    <w:p>
      <w:pPr>
        <w:pStyle w:val="Heading1"/>
      </w:pPr>
      <w:r>
        <w:rPr>
          <w:b/>
          <w:color w:val="0B1F3A"/>
        </w:rPr>
        <w:t>2. 24-Month IPO Timeline</w:t>
      </w:r>
    </w:p>
    <w:p>
      <w:pPr>
        <w:pStyle w:val="ListBullet"/>
      </w:pPr>
      <w:r>
        <w:t>T-24 to T-18: Audit upgrade (Big Four), governance refresh, minutes review, related-party transaction cleanup, ESG/SASB baseline.</w:t>
      </w:r>
    </w:p>
    <w:p>
      <w:pPr>
        <w:pStyle w:val="ListBullet"/>
      </w:pPr>
      <w:r>
        <w:t>T-18 to T-12: Banker selection (lead, joint-lead, co-managers), kickoff meeting, valuation testing, S-1/F-1 drafting begins.</w:t>
      </w:r>
    </w:p>
    <w:p>
      <w:pPr>
        <w:pStyle w:val="ListBullet"/>
      </w:pPr>
      <w:r>
        <w:t>T-12 to T-6: First S-1 filing (confidential JOBS Act), SEC comments, financial print, testing-the-waters meetings with institutional investors.</w:t>
      </w:r>
    </w:p>
    <w:p>
      <w:pPr>
        <w:pStyle w:val="ListBullet"/>
      </w:pPr>
      <w:r>
        <w:t>T-6 to T-3: Public filing, roadshow planning, pricing range, syndicate book-building.</w:t>
      </w:r>
    </w:p>
    <w:p>
      <w:pPr>
        <w:pStyle w:val="ListBullet"/>
      </w:pPr>
      <w:r>
        <w:t>T-3 to T-0: Roadshow, pricing, allocation, IPO trade, stabilization (greenshoe / overallotment).</w:t>
      </w:r>
    </w:p>
    <w:p>
      <w:pPr>
        <w:pStyle w:val="ListBullet"/>
      </w:pPr>
      <w:r>
        <w:t>T+0 to T+6: First earnings call, lock-up expiry planning, post-IPO IR program established.</w:t>
      </w:r>
    </w:p>
    <w:p>
      <w:pPr>
        <w:pStyle w:val="Heading1"/>
      </w:pPr>
      <w:r>
        <w:rPr>
          <w:b/>
          <w:color w:val="0B1F3A"/>
        </w:rPr>
        <w:t>3. Listing Venue Selection</w:t>
      </w:r>
    </w:p>
    <w:p>
      <w:pPr>
        <w:pStyle w:val="ListBullet"/>
      </w:pPr>
      <w:r>
        <w:t>NYSE — large-cap, global brand visibility, deep institutional ownership. Best for &gt;$1B market cap.</w:t>
      </w:r>
    </w:p>
    <w:p>
      <w:pPr>
        <w:pStyle w:val="ListBullet"/>
      </w:pPr>
      <w:r>
        <w:t>NASDAQ — technology-tilted, more permissive on dual-class voting structures. Best for SBG 3 spinoffs.</w:t>
      </w:r>
    </w:p>
    <w:p>
      <w:pPr>
        <w:pStyle w:val="ListBullet"/>
      </w:pPr>
      <w:r>
        <w:t>London Stock Exchange — preferred for mining, resources, specialty insurance, international listings.</w:t>
      </w:r>
    </w:p>
    <w:p>
      <w:pPr>
        <w:pStyle w:val="ListBullet"/>
      </w:pPr>
      <w:r>
        <w:t>Nigerian Exchange (NGX) — domestic capital, supportive of local-content positioning, smaller free-float.</w:t>
      </w:r>
    </w:p>
    <w:p>
      <w:pPr>
        <w:pStyle w:val="ListBullet"/>
      </w:pPr>
      <w:r>
        <w:t>Johannesburg Stock Exchange (JSE) — pan-African capital, secondary listing partner for NGX or LSE.</w:t>
      </w:r>
    </w:p>
    <w:p>
      <w:pPr>
        <w:pStyle w:val="ListBullet"/>
      </w:pPr>
      <w:r>
        <w:t>Singapore Exchange (SGX) — REITs, business trusts, APAC institutional capital.</w:t>
      </w:r>
    </w:p>
    <w:p>
      <w:pPr>
        <w:pStyle w:val="ListBullet"/>
      </w:pPr>
      <w:r>
        <w:t>Tadawul (Saudi) — Saudi-anchored subsidiaries; sovereign and regional capital.</w:t>
      </w:r>
    </w:p>
    <w:p>
      <w:pPr>
        <w:pStyle w:val="Heading1"/>
      </w:pPr>
      <w:r>
        <w:rPr>
          <w:b/>
          <w:color w:val="0B1F3A"/>
        </w:rPr>
        <w:t>4. Dual-Listing Strategy</w:t>
      </w:r>
    </w:p>
    <w:p>
      <w:r>
        <w:rPr>
          <w:b w:val="0"/>
          <w:i w:val="0"/>
        </w:rPr>
        <w:t>Primary listing in mature market for liquidity (NYSE / LSE) plus secondary listing in domestic market for local-investor access and political-stakeholder alignment. Use Depository Receipt programs (ADRs, GDRs) where direct listing is impractical.</w:t>
      </w:r>
    </w:p>
    <w:p>
      <w:pPr>
        <w:pStyle w:val="Heading1"/>
      </w:pPr>
      <w:r>
        <w:rPr>
          <w:b/>
          <w:color w:val="0B1F3A"/>
        </w:rPr>
        <w:t>5. Post-IPO Discipline</w:t>
      </w:r>
    </w:p>
    <w:p>
      <w:pPr>
        <w:pStyle w:val="ListBullet"/>
      </w:pPr>
      <w:r>
        <w:t>Quarterly earnings, annual report, Form 20-F or 10-K depending on filer status.</w:t>
      </w:r>
    </w:p>
    <w:p>
      <w:pPr>
        <w:pStyle w:val="ListBullet"/>
      </w:pPr>
      <w:r>
        <w:t>SOX 404 internal controls attestation.</w:t>
      </w:r>
    </w:p>
    <w:p>
      <w:pPr>
        <w:pStyle w:val="ListBullet"/>
      </w:pPr>
      <w:r>
        <w:t>Disclosure controls and Regulation FD training for executives and IR.</w:t>
      </w:r>
    </w:p>
    <w:p>
      <w:pPr>
        <w:pStyle w:val="ListBullet"/>
      </w:pPr>
      <w:r>
        <w:t>Continuous-disclosure obligation under local listing rules.</w:t>
      </w:r>
    </w:p>
    <w:p>
      <w:pPr>
        <w:pStyle w:val="ListBullet"/>
      </w:pPr>
      <w:r>
        <w:t>Insider-trading window calendar; pre-clearance for affiliates.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