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color w:val="0B1F3A"/>
          <w:sz w:val="56"/>
        </w:rPr>
        <w:t>AFANO GROUP HOLDINGS</w:t>
      </w:r>
    </w:p>
    <w:p>
      <w:pPr>
        <w:jc w:val="center"/>
      </w:pPr>
      <w:r>
        <w:rPr>
          <w:b/>
          <w:i w:val="0"/>
          <w:color w:val="0B1F3A"/>
          <w:sz w:val="44"/>
        </w:rPr>
        <w:t>Subsidiary Spinoff Playbook</w:t>
      </w:r>
    </w:p>
    <w:p>
      <w:pPr>
        <w:jc w:val="center"/>
      </w:pPr>
      <w:r>
        <w:rPr>
          <w:b w:val="0"/>
          <w:i/>
          <w:color w:val="C8A04A"/>
          <w:sz w:val="26"/>
        </w:rPr>
        <w:t>Tax-Free Distribution · Carve-Out IPO · Reverse Morris Trust</w:t>
      </w:r>
    </w:p>
    <w:p>
      <w:pPr>
        <w:jc w:val="center"/>
      </w:pPr>
      <w:r>
        <w:rPr>
          <w:b w:val="0"/>
          <w:i w:val="0"/>
          <w:color w:val="555555"/>
          <w:sz w:val="20"/>
        </w:rPr>
        <w:t>Effective: 2026-06-15  ·  Version 1.0</w:t>
      </w:r>
    </w:p>
    <w:p>
      <w:r>
        <w:br w:type="page"/>
      </w:r>
    </w:p>
    <w:p>
      <w:pPr>
        <w:pStyle w:val="Heading1"/>
      </w:pPr>
      <w:r>
        <w:rPr>
          <w:b/>
          <w:color w:val="0B1F3A"/>
        </w:rPr>
        <w:t>1. Spinoff Mechanics</w:t>
      </w:r>
    </w:p>
    <w:p>
      <w:r>
        <w:rPr>
          <w:b w:val="0"/>
          <w:i w:val="0"/>
        </w:rPr>
        <w:t>A spinoff distributes shares of a subsidiary to AFANO shareholders pro-rata. If structured under IRC Section 355, the distribution is tax-free to both the parent and shareholders, subject to the five-year active-trade-or-business test and absence of a disqualifying acquisition within 2 years.</w:t>
      </w:r>
    </w:p>
    <w:p>
      <w:pPr>
        <w:pStyle w:val="Heading1"/>
      </w:pPr>
      <w:r>
        <w:rPr>
          <w:b/>
          <w:color w:val="0B1F3A"/>
        </w:rPr>
        <w:t>2. Strategic Rationale</w:t>
      </w:r>
    </w:p>
    <w:p>
      <w:r>
        <w:rPr>
          <w:b w:val="0"/>
          <w:i w:val="0"/>
        </w:rPr>
        <w:t>Conglomerate discount removal, focus, separate currency for M&amp;A, independent capital structure, talent attraction through subsidiary-specific equity. Trade-offs: loss of cross-subsidy, stranded overhead, higher consolidated cost of capital.</w:t>
      </w:r>
    </w:p>
    <w:p>
      <w:pPr>
        <w:pStyle w:val="Heading1"/>
      </w:pPr>
      <w:r>
        <w:rPr>
          <w:b/>
          <w:color w:val="0B1F3A"/>
        </w:rPr>
        <w:t>3. Pre-Spinoff Operational Separation</w:t>
      </w:r>
    </w:p>
    <w:p>
      <w:r>
        <w:rPr>
          <w:b w:val="0"/>
          <w:i w:val="0"/>
        </w:rPr>
        <w:t>12-24 month workstream covering IT (separate ERP, identity, endpoints), real estate (lease assignment or new leases), personnel (transfer or new hire), procurement (separate master agreements), brand (independent already under House of Brands), tax (transfer-pricing exit, treaty re-routing).</w:t>
      </w:r>
    </w:p>
    <w:p>
      <w:pPr>
        <w:pStyle w:val="Heading1"/>
      </w:pPr>
      <w:r>
        <w:rPr>
          <w:b/>
          <w:color w:val="0B1F3A"/>
        </w:rPr>
        <w:t>4. Transition Services Agreements (TSAs)</w:t>
      </w:r>
    </w:p>
    <w:p>
      <w:r>
        <w:rPr>
          <w:b w:val="0"/>
          <w:i w:val="0"/>
        </w:rPr>
        <w:t>Group provides services to SpinCo for 12-24 months on cost-plus basis. TSA workstreams per function with monthly tracker; aim for full separation by Month 18.</w:t>
      </w:r>
    </w:p>
    <w:p>
      <w:pPr>
        <w:pStyle w:val="Heading1"/>
      </w:pPr>
      <w:r>
        <w:rPr>
          <w:b/>
          <w:color w:val="0B1F3A"/>
        </w:rPr>
        <w:t>5. Spinoff Documentation</w:t>
      </w:r>
    </w:p>
    <w:p>
      <w:r>
        <w:rPr>
          <w:b w:val="0"/>
          <w:i w:val="0"/>
        </w:rPr>
        <w:t>Separation Agreement, TSA, IP Assignment Agreement, Tax Matters Agreement, Employee Matters Agreement, Commercial Agreements (supply, license, lease). Filed as Form 10 / equivalents.</w:t>
      </w:r>
    </w:p>
    <w:p>
      <w:pPr>
        <w:pStyle w:val="Heading1"/>
      </w:pPr>
      <w:r>
        <w:rPr>
          <w:b/>
          <w:color w:val="0B1F3A"/>
        </w:rPr>
        <w:t>6. Reverse Morris Trust Variants</w:t>
      </w:r>
    </w:p>
    <w:p>
      <w:r>
        <w:rPr>
          <w:b w:val="0"/>
          <w:i w:val="0"/>
        </w:rPr>
        <w:t>Where SpinCo is to merge with a third party post-spinoff in a tax-efficient manner, structure as Reverse Morris Trust: AFANO shareholders end up majority of the combined entity.</w:t>
      </w:r>
    </w:p>
    <w:p>
      <w:pPr>
        <w:pStyle w:val="Heading1"/>
      </w:pPr>
      <w:r>
        <w:rPr>
          <w:b/>
          <w:color w:val="0B1F3A"/>
        </w:rPr>
        <w:t>7. Brand and Endorsement After Spinoff</w:t>
      </w:r>
    </w:p>
    <w:p>
      <w:r>
        <w:rPr>
          <w:b w:val="0"/>
          <w:i w:val="0"/>
        </w:rPr>
        <w:t>SpinCo retains independent brand. Endorsement footer is removed from SpinCo's properties as of the spinoff effective date. Joint press release announces independent listing.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