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pPr>
        <w:jc w:val="center"/>
      </w:pPr>
      <w:r>
        <w:rPr>
          <w:b/>
          <w:i w:val="0"/>
          <w:color w:val="0B1F3A"/>
          <w:sz w:val="56"/>
        </w:rPr>
        <w:t>AFANO GROUP HOLDINGS</w:t>
      </w:r>
    </w:p>
    <w:p>
      <w:pPr>
        <w:jc w:val="center"/>
      </w:pPr>
      <w:r>
        <w:rPr>
          <w:b/>
          <w:i w:val="0"/>
          <w:color w:val="0B1F3A"/>
          <w:sz w:val="44"/>
        </w:rPr>
        <w:t>Sukuk and Green Bond Issuance Guide</w:t>
      </w:r>
    </w:p>
    <w:p>
      <w:pPr>
        <w:jc w:val="center"/>
      </w:pPr>
      <w:r>
        <w:rPr>
          <w:b w:val="0"/>
          <w:i/>
          <w:color w:val="C8A04A"/>
          <w:sz w:val="26"/>
        </w:rPr>
        <w:t>Shariah-Compliant Capital · Climate-Aligned Debt · Sustainable Finance</w:t>
      </w:r>
    </w:p>
    <w:p>
      <w:pPr>
        <w:jc w:val="center"/>
      </w:pPr>
      <w:r>
        <w:rPr>
          <w:b w:val="0"/>
          <w:i w:val="0"/>
          <w:color w:val="555555"/>
          <w:sz w:val="20"/>
        </w:rPr>
        <w:t>Effective: 2026-06-15  ·  Version 1.0</w:t>
      </w:r>
    </w:p>
    <w:p>
      <w:r>
        <w:br w:type="page"/>
      </w:r>
    </w:p>
    <w:p>
      <w:pPr>
        <w:pStyle w:val="Heading1"/>
      </w:pPr>
      <w:r>
        <w:rPr>
          <w:b/>
          <w:color w:val="0B1F3A"/>
        </w:rPr>
        <w:t>1. Sukuk — Strategic Rationale</w:t>
      </w:r>
    </w:p>
    <w:p>
      <w:r>
        <w:rPr>
          <w:b w:val="0"/>
          <w:i w:val="0"/>
        </w:rPr>
        <w:t>Access to OIC sovereign-investor and Islamic-finance capital pools. Particularly relevant for SBGs 2 (Energy), 4 (Infrastructure), and 12 (Industrial). Sukuk Ijara, Wakala, and Mudaraba are the preferred structures depending on underlying asset and use of proceeds.</w:t>
      </w:r>
    </w:p>
    <w:p>
      <w:pPr>
        <w:pStyle w:val="Heading1"/>
      </w:pPr>
      <w:r>
        <w:rPr>
          <w:b/>
          <w:color w:val="0B1F3A"/>
        </w:rPr>
        <w:t>2. Sukuk Structuring</w:t>
      </w:r>
    </w:p>
    <w:p>
      <w:r>
        <w:rPr>
          <w:b w:val="0"/>
          <w:i w:val="0"/>
        </w:rPr>
        <w:t>Use a SPV (Cayman, Labuan, or DIFC-domiciled) as Issuer. Underlying asset transferred to SPV under sale-and-leaseback or service-agency arrangement. Returns to investors are profit-share or lease rentals, not interest. Shariah Supervisory Board sign-off from a reputable firm (e.g. Dar al Sharia, AAOIFI-certified scholars).</w:t>
      </w:r>
    </w:p>
    <w:p>
      <w:pPr>
        <w:pStyle w:val="Heading1"/>
      </w:pPr>
      <w:r>
        <w:rPr>
          <w:b/>
          <w:color w:val="0B1F3A"/>
        </w:rPr>
        <w:t>3. Sukuk Distribution Venues</w:t>
      </w:r>
    </w:p>
    <w:p>
      <w:r>
        <w:rPr>
          <w:b w:val="0"/>
          <w:i w:val="0"/>
        </w:rPr>
        <w:t>Tadawul (Saudi), Nasdaq Dubai, Bursa Malaysia, LSE. Primary investors: GCC sovereign and quasi-sovereign, Malaysian Islamic banks, Turkish katilim banks, Indonesian Islamic funds.</w:t>
      </w:r>
    </w:p>
    <w:p>
      <w:pPr>
        <w:pStyle w:val="Heading1"/>
      </w:pPr>
      <w:r>
        <w:rPr>
          <w:b/>
          <w:color w:val="0B1F3A"/>
        </w:rPr>
        <w:t>4. Green Bond Framework</w:t>
      </w:r>
    </w:p>
    <w:p>
      <w:r>
        <w:rPr>
          <w:b w:val="0"/>
          <w:i w:val="0"/>
        </w:rPr>
        <w:t>Aligned with ICMA Green Bond Principles. Use of proceeds categories: renewable energy, energy efficiency, clean transportation, sustainable water management, climate change adaptation, green buildings, sustainable agriculture.</w:t>
      </w:r>
    </w:p>
    <w:p>
      <w:pPr>
        <w:pStyle w:val="Heading1"/>
      </w:pPr>
      <w:r>
        <w:rPr>
          <w:b/>
          <w:color w:val="0B1F3A"/>
        </w:rPr>
        <w:t>5. Sustainability-Linked Bond (SLB)</w:t>
      </w:r>
    </w:p>
    <w:p>
      <w:r>
        <w:rPr>
          <w:b w:val="0"/>
          <w:i w:val="0"/>
        </w:rPr>
        <w:t>Coupon step-up tied to KPIs (e.g. Scope 1+2 emissions intensity, renewable energy share, water withdrawal reduction). Less restrictive than green bond — proceeds may fund general purposes.</w:t>
      </w:r>
    </w:p>
    <w:p>
      <w:pPr>
        <w:pStyle w:val="Heading1"/>
      </w:pPr>
      <w:r>
        <w:rPr>
          <w:b/>
          <w:color w:val="0B1F3A"/>
        </w:rPr>
        <w:t>6. External Verification</w:t>
      </w:r>
    </w:p>
    <w:p>
      <w:r>
        <w:rPr>
          <w:b w:val="0"/>
          <w:i w:val="0"/>
        </w:rPr>
        <w:t>Pre-issuance Second Party Opinion (Sustainalytics, ISS, Moody's ESG, Vigeo Eiris). Post-issuance impact reporting annually. Climate Bonds Initiative certification optional but increasingly expected by Tier-1 investors.</w:t>
      </w:r>
    </w:p>
    <w:p>
      <w:pPr>
        <w:pStyle w:val="Heading1"/>
      </w:pPr>
      <w:r>
        <w:rPr>
          <w:b/>
          <w:color w:val="0B1F3A"/>
        </w:rPr>
        <w:t>7. Issuance Calendar</w:t>
      </w:r>
    </w:p>
    <w:p>
      <w:r>
        <w:rPr>
          <w:b w:val="0"/>
          <w:i w:val="0"/>
        </w:rPr>
        <w:t>Aim for 1 benchmark issuance per 18-month cycle. Build the credit curve gradually: 5-year, then 10-year, then 30-year. Maintain SEC Rule 144A and Reg S documentation for global distribution.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