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color w:val="5A6472"/>
          <w:sz w:val="32"/>
        </w:rPr>
        <w:t>CS 112: Computer Programming for CS</w:t>
      </w:r>
    </w:p>
    <w:p>
      <w:pPr>
        <w:jc w:val="center"/>
      </w:pPr>
      <w:r>
        <w:rPr>
          <w:b/>
          <w:color w:val="1A2B4C"/>
          <w:sz w:val="52"/>
        </w:rPr>
        <w:t>Week 1 Deliverable Package</w:t>
      </w:r>
    </w:p>
    <w:p>
      <w:pPr>
        <w:jc w:val="center"/>
      </w:pPr>
      <w:r>
        <w:rPr>
          <w:color w:val="5A6472"/>
          <w:sz w:val="26"/>
        </w:rPr>
        <w:t>Preliminary Requirements, UML Diagrams, Framework Decisions,</w:t>
        <w:br/>
        <w:t>Coding &amp; Documentation Standards, Initial Test Plan,</w:t>
        <w:br/>
        <w:t>and Ethical/Security Boundaries</w:t>
      </w:r>
    </w:p>
    <w:p>
      <w:pPr>
        <w:spacing w:before="800"/>
        <w:jc w:val="center"/>
      </w:pPr>
      <w:r>
        <w:rPr>
          <w:i/>
          <w:color w:val="2F6FB0"/>
          <w:sz w:val="21"/>
        </w:rPr>
        <w:t>Components: National Electricity Grid Network Analysis  |  GridCare-Lite  |  ClinicCare-Lite</w:t>
      </w:r>
    </w:p>
    <w:p>
      <w:r>
        <w:br w:type="page"/>
      </w:r>
    </w:p>
    <w:p>
      <w:pPr>
        <w:pStyle w:val="Heading1"/>
      </w:pPr>
      <w:r>
        <w:rPr>
          <w:color w:val="1A2B4C"/>
          <w:sz w:val="34"/>
        </w:rPr>
        <w:t>1. Purpose of This Document</w:t>
      </w:r>
    </w:p>
    <w:p>
      <w:r>
        <w:rPr>
          <w:b w:val="0"/>
          <w:i w:val="0"/>
          <w:sz w:val="21"/>
        </w:rPr>
        <w:t>This document satisfies the Week 1 deliverable for the CS 112 Final Course Project: preliminary application requirements, UML diagrams (use case, class, architecture, and entity-relationship) for GridCare-Lite and ClinicCare-Lite, the team's development framework decisions, coding and documentation standards, an initial test plan, and the ethical/security boundaries specific to ClinicCare-Lite. Requirements here are preliminary and expected to be refined as implementation reveals edge cases in Weeks 2 to 5.</w:t>
      </w:r>
    </w:p>
    <w:p>
      <w:pPr>
        <w:pStyle w:val="Heading1"/>
      </w:pPr>
      <w:r>
        <w:rPr>
          <w:color w:val="1A2B4C"/>
          <w:sz w:val="34"/>
        </w:rPr>
        <w:t>2. Preliminary Application Requirements — GridCare-Lite</w:t>
      </w:r>
    </w:p>
    <w:p>
      <w:pPr>
        <w:pStyle w:val="Heading2"/>
      </w:pPr>
      <w:r>
        <w:rPr>
          <w:color w:val="2F6FB0"/>
          <w:sz w:val="27"/>
        </w:rPr>
        <w:t>2.1 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fill="1a2b4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056"/>
            <w:shd w:fill="1a2b4c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296"/>
            <w:shd w:fill="1a2b4c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FR-1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Users must log in with a username/ID and password before accessing any screen.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FR-2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system must support four roles: Administrator, Engineer, Technician, and Customer-Service Rep, each restricted to its own permitted actions.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FR-3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Engineers can log a new outage against a valid, existing substation (validated against the imported grid data).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FR-4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Administrators can create a work order from a logged outage and assign it to an available technician.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FR-5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Technicians can view only the work orders assigned to them and update status (Assigned → In Progress → Resolved).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FR-6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Customer-Service Reps can log a complaint and link it to an existing outage.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FR-7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system must display an operational dashboard summarising open outages, average resolution time, and outages by region.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FR-8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system must reject an outage/work order referencing a substation ID that does not exist in the imported dataset.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FR-9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Every work-order status change must be recorded in a status-history log with a timestamp and the user who made the change.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</w:tbl>
    <w:p/>
    <w:p>
      <w:pPr>
        <w:pStyle w:val="Heading2"/>
      </w:pPr>
      <w:r>
        <w:rPr>
          <w:color w:val="2F6FB0"/>
          <w:sz w:val="27"/>
        </w:rPr>
        <w:t>2.2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fill="1a2b4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056"/>
            <w:shd w:fill="1a2b4c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296"/>
            <w:shd w:fill="1a2b4c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NFR-1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GUI must not crash on invalid input (empty fields, non-numeric IDs, bad dates) — errors are caught and shown to the user.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NFR-2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Passwords are never stored or displayed in plain text.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NFR-3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Common operations (login, opening the dashboard) should complete in under 2 seconds on a typical student laptop.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NFR-4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database schema and data dictionary must be documented well enough for a new teammate to understand it without asking.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</w:tbl>
    <w:p/>
    <w:p>
      <w:pPr>
        <w:pStyle w:val="Heading1"/>
      </w:pPr>
      <w:r>
        <w:rPr>
          <w:color w:val="1A2B4C"/>
          <w:sz w:val="34"/>
        </w:rPr>
        <w:t>3. Preliminary Application Requirements — ClinicCare-Lite</w:t>
      </w:r>
    </w:p>
    <w:p>
      <w:pPr>
        <w:pStyle w:val="Heading2"/>
      </w:pPr>
      <w:r>
        <w:rPr>
          <w:color w:val="2F6FB0"/>
          <w:sz w:val="27"/>
        </w:rPr>
        <w:t>3.1 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fill="1a2b4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056"/>
            <w:shd w:fill="1a2b4c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296"/>
            <w:shd w:fill="1a2b4c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FR-1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Users register/log in with an 8-digit ID (clinician IDs end 0000; patient IDs end in a 2022-2028 year) and a bcrypt-hashed password meeting complexity rules.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FR-2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Clinicians can create a health task assigned to one or more patients, with a title, description, due date, and optional attachment.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FR-3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Patients can view their assigned tasks and submit a response file restricted to .txt, .csv, or .pdf.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FR-4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Submitted files are renamed systematically (e.g. patientID_taskID.ext) and stored in a per-patient folder with a timestamp.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FR-5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system automatically checks a submission for completeness (missing fields, wrong file type) without interpreting medical meaning.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FR-6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Clinicians record a categorical review outcome only: Pending, Reviewed-Normal, Needs Follow-up, or Escalated — never a numeric health score.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FR-7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Clinicians and patients can exchange secure messages; every message thread displays a persistent “not for emergencies” notice.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FR-8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Clinicians can post clinic-wide announcements visible to their patients.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FR-9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Patients have a private wellness-engagement view visible only to themselves — never a shared leaderboard or cross-patient comparison.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FR-10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Clinicians see aggregated, clinic-level analytics (no-show rate, completion rate, turnaround time); patients see only their own history.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</w:tbl>
    <w:p/>
    <w:p>
      <w:pPr>
        <w:pStyle w:val="Heading2"/>
      </w:pPr>
      <w:r>
        <w:rPr>
          <w:color w:val="2F6FB0"/>
          <w:sz w:val="27"/>
        </w:rPr>
        <w:t>3.2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fill="1a2b4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056"/>
            <w:shd w:fill="1a2b4c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296"/>
            <w:shd w:fill="1a2b4c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NFR-1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A patient must never be able to view another patient's tasks, submissions, messages, or files, under any navigation path.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NFR-2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All routes are session-protected; an unauthenticated request to any patient/clinician page redirects to login.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NFR-3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app must never present diagnostic, risk-scoring, or treatment-recommendation content, in any screen or message.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NFR-4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File uploads are validated by type and size before being written to disk.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NFR-5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The UI should be usable on both desktop and mobile browser widths (Flask + responsive CSS).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B4C"/>
          <w:sz w:val="34"/>
        </w:rPr>
        <w:t>4. UML Diagrams</w:t>
      </w:r>
    </w:p>
    <w:p>
      <w:pPr>
        <w:pStyle w:val="Heading2"/>
      </w:pPr>
      <w:r>
        <w:rPr>
          <w:color w:val="2F6FB0"/>
          <w:sz w:val="27"/>
        </w:rPr>
        <w:t>4.1 Use Case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32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2"/>
          <w:sz w:val="19"/>
        </w:rPr>
        <w:t>Figure 1. GridCare-Lite use case diagram — four actors (Administrator, Engineer, Technician, Customer-Service Rep).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2"/>
          <w:sz w:val="19"/>
        </w:rPr>
        <w:t>Figure 2. ClinicCare-Lite use case diagram — Clinician and Patient actors.</w:t>
      </w:r>
    </w:p>
    <w:p>
      <w:r>
        <w:br w:type="page"/>
      </w:r>
    </w:p>
    <w:p>
      <w:pPr>
        <w:pStyle w:val="Heading2"/>
      </w:pPr>
      <w:r>
        <w:rPr>
          <w:color w:val="2F6FB0"/>
          <w:sz w:val="27"/>
        </w:rPr>
        <w:t>4.2 Class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08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diagram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2"/>
          <w:sz w:val="19"/>
        </w:rPr>
        <w:t>Figure 3. GridCare-Lite class diagram.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33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2"/>
          <w:sz w:val="19"/>
        </w:rPr>
        <w:t>Figure 4. ClinicCare-Lite class diagram.</w:t>
      </w:r>
    </w:p>
    <w:p>
      <w:r>
        <w:br w:type="page"/>
      </w:r>
    </w:p>
    <w:p>
      <w:pPr>
        <w:pStyle w:val="Heading2"/>
      </w:pPr>
      <w:r>
        <w:rPr>
          <w:color w:val="2F6FB0"/>
          <w:sz w:val="27"/>
        </w:rPr>
        <w:t>4.3 Integrated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84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2"/>
          <w:sz w:val="19"/>
        </w:rPr>
        <w:t>Figure 5. Integrated system architecture across all three components, showing the shared data layer.</w:t>
      </w:r>
    </w:p>
    <w:p>
      <w:r>
        <w:br w:type="page"/>
      </w:r>
    </w:p>
    <w:p>
      <w:pPr>
        <w:pStyle w:val="Heading2"/>
      </w:pPr>
      <w:r>
        <w:rPr>
          <w:color w:val="2F6FB0"/>
          <w:sz w:val="27"/>
        </w:rPr>
        <w:t>4.4 Entity-Relationship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925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2"/>
          <w:sz w:val="19"/>
        </w:rPr>
        <w:t>Figure 6. GridCare-Lite entity-relationship diagram (SQLite/MySQL schema).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03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lin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2"/>
          <w:sz w:val="19"/>
        </w:rPr>
        <w:t>Figure 7. ClinicCare-Lite entity-relationship diagram (JSON-backed data model).</w:t>
      </w:r>
    </w:p>
    <w:p>
      <w:r>
        <w:br w:type="page"/>
      </w:r>
    </w:p>
    <w:p>
      <w:pPr>
        <w:pStyle w:val="Heading1"/>
      </w:pPr>
      <w:r>
        <w:rPr>
          <w:color w:val="1A2B4C"/>
          <w:sz w:val="34"/>
        </w:rPr>
        <w:t>5. Development Framework Decisions</w:t>
      </w:r>
    </w:p>
    <w:p>
      <w:pPr>
        <w:pStyle w:val="Heading3"/>
      </w:pPr>
      <w:r>
        <w:rPr>
          <w:color w:val="333333"/>
          <w:sz w:val="23"/>
        </w:rPr>
        <w:t>Component 1 — Grid Network Analysis</w:t>
      </w:r>
    </w:p>
    <w:p>
      <w:pPr>
        <w:pStyle w:val="ListBullet"/>
      </w:pPr>
      <w:r>
        <w:t>Python 3 with pandas, numpy for cleaning and analysis</w:t>
      </w:r>
    </w:p>
    <w:p>
      <w:pPr>
        <w:pStyle w:val="ListBullet"/>
      </w:pPr>
      <w:r>
        <w:t>NetworkX for graph construction and centrality/contingency analysis</w:t>
      </w:r>
    </w:p>
    <w:p>
      <w:pPr>
        <w:pStyle w:val="ListBullet"/>
      </w:pPr>
      <w:r>
        <w:t>matplotlib, seaborn, and plotly for static and interactive visualization</w:t>
      </w:r>
    </w:p>
    <w:p>
      <w:pPr>
        <w:pStyle w:val="ListBullet"/>
      </w:pPr>
      <w:r>
        <w:t>folium for the geographic substation/line map</w:t>
      </w:r>
    </w:p>
    <w:p>
      <w:pPr>
        <w:pStyle w:val="ListBullet"/>
      </w:pPr>
      <w:r>
        <w:t>Jupyter Notebook as the primary working environment (reproducible, documented inline)</w:t>
      </w:r>
    </w:p>
    <w:p>
      <w:pPr>
        <w:pStyle w:val="Heading3"/>
      </w:pPr>
      <w:r>
        <w:rPr>
          <w:color w:val="333333"/>
          <w:sz w:val="23"/>
        </w:rPr>
        <w:t>Component 2 — GridCare-Lite</w:t>
      </w:r>
    </w:p>
    <w:p>
      <w:pPr>
        <w:pStyle w:val="ListBullet"/>
      </w:pPr>
      <w:r>
        <w:t>Tkinter for the GUI — built into Python, no extra install burden across teammates' machines</w:t>
      </w:r>
    </w:p>
    <w:p>
      <w:pPr>
        <w:pStyle w:val="ListBullet"/>
      </w:pPr>
      <w:r>
        <w:t>SQLite for storage — file-based, zero server setup, adequate for a class-scale dataset</w:t>
      </w:r>
    </w:p>
    <w:p>
      <w:pPr>
        <w:pStyle w:val="ListBullet"/>
      </w:pPr>
      <w:r>
        <w:t>Rationale: the team prioritized a low-friction local setup over PyQt's richer widgets, since onboarding four people onto a shared stack quickly mattered more than visual polish.</w:t>
      </w:r>
    </w:p>
    <w:p>
      <w:pPr>
        <w:pStyle w:val="Heading3"/>
      </w:pPr>
      <w:r>
        <w:rPr>
          <w:color w:val="333333"/>
          <w:sz w:val="23"/>
        </w:rPr>
        <w:t>Component 3 — ClinicCare-Lite</w:t>
      </w:r>
    </w:p>
    <w:p>
      <w:pPr>
        <w:pStyle w:val="ListBullet"/>
      </w:pPr>
      <w:r>
        <w:t>Flask for the backend — lightweight, easy to reason about as a class project, good fit for a browser-based responsive UI across desktop and mobile</w:t>
      </w:r>
    </w:p>
    <w:p>
      <w:pPr>
        <w:pStyle w:val="ListBullet"/>
      </w:pPr>
      <w:r>
        <w:t>HTML/CSS/JavaScript with Bootstrap for frontend layout</w:t>
      </w:r>
    </w:p>
    <w:p>
      <w:pPr>
        <w:pStyle w:val="ListBullet"/>
      </w:pPr>
      <w:r>
        <w:t>JSON files as the initial data store (User, HealthTask, TaskSubmission, Message, Clinic, Announcement) with the documented f.seek(0) + f.truncate() pattern to avoid file corruption on overwrite</w:t>
      </w:r>
    </w:p>
    <w:p>
      <w:pPr>
        <w:pStyle w:val="ListBullet"/>
      </w:pPr>
      <w:r>
        <w:t>bcrypt for password hashing; Flask's built-in session handling for route protection</w:t>
      </w:r>
    </w:p>
    <w:p>
      <w:pPr>
        <w:pStyle w:val="ListBullet"/>
      </w:pPr>
      <w:r>
        <w:t>Rationale: Flask over Tkinter was chosen so the app is reachable from a phone browser, which matters for a patient-facing tool.</w:t>
      </w:r>
    </w:p>
    <w:p>
      <w:pPr>
        <w:pStyle w:val="Heading1"/>
      </w:pPr>
      <w:r>
        <w:rPr>
          <w:color w:val="1A2B4C"/>
          <w:sz w:val="34"/>
        </w:rPr>
        <w:t>6. Coding Standards</w:t>
      </w:r>
    </w:p>
    <w:p>
      <w:pPr>
        <w:pStyle w:val="ListBullet"/>
      </w:pPr>
      <w:r>
        <w:t>Naming: snake_case for functions/variables, PascalCase for classes, UPPER_CASE for constants.</w:t>
      </w:r>
    </w:p>
    <w:p>
      <w:pPr>
        <w:pStyle w:val="ListBullet"/>
      </w:pPr>
      <w:r>
        <w:t>Every function has a one-line docstring describing what it does, its parameters, and its return value.</w:t>
      </w:r>
    </w:p>
    <w:p>
      <w:pPr>
        <w:pStyle w:val="ListBullet"/>
      </w:pPr>
      <w:r>
        <w:t>No hardcoded secrets, passwords, or API keys in source files — use a local .env file (gitignored).</w:t>
      </w:r>
    </w:p>
    <w:p>
      <w:pPr>
        <w:pStyle w:val="ListBullet"/>
      </w:pPr>
      <w:r>
        <w:t>Functions should do one thing; if a function exceeds ~40 lines, consider splitting it.</w:t>
      </w:r>
    </w:p>
    <w:p>
      <w:pPr>
        <w:pStyle w:val="ListBullet"/>
      </w:pPr>
      <w:r>
        <w:t>All user-facing input (form fields, file uploads, IDs) is validated before use — never trust raw input.</w:t>
      </w:r>
    </w:p>
    <w:p>
      <w:pPr>
        <w:pStyle w:val="ListBullet"/>
      </w:pPr>
      <w:r>
        <w:t>Commit messages describe what changed and why, not just “update” or “fix”.</w:t>
      </w:r>
    </w:p>
    <w:p>
      <w:pPr>
        <w:pStyle w:val="ListBullet"/>
      </w:pPr>
      <w:r>
        <w:t>One feature per branch; branches are merged via Pull Request with at least one teammate review.</w:t>
      </w:r>
    </w:p>
    <w:p>
      <w:pPr>
        <w:pStyle w:val="Heading1"/>
      </w:pPr>
      <w:r>
        <w:rPr>
          <w:color w:val="1A2B4C"/>
          <w:sz w:val="34"/>
        </w:rPr>
        <w:t>7. Documentation Standards</w:t>
      </w:r>
    </w:p>
    <w:p>
      <w:pPr>
        <w:pStyle w:val="ListBullet"/>
      </w:pPr>
      <w:r>
        <w:t>Each module/file starts with a short comment block: purpose, author, last-updated date.</w:t>
      </w:r>
    </w:p>
    <w:p>
      <w:pPr>
        <w:pStyle w:val="ListBullet"/>
      </w:pPr>
      <w:r>
        <w:t>The README stays current with folder structure, setup steps, and team roles — updated the same week a structural change happens, not retroactively.</w:t>
      </w:r>
    </w:p>
    <w:p>
      <w:pPr>
        <w:pStyle w:val="ListBullet"/>
      </w:pPr>
      <w:r>
        <w:t>Each component keeps a short data dictionary in docs/ describing every field in its data model.</w:t>
      </w:r>
    </w:p>
    <w:p>
      <w:pPr>
        <w:pStyle w:val="ListBullet"/>
      </w:pPr>
      <w:r>
        <w:t>Design decisions (framework choices, schema tradeoffs) are logged in docs/ with a one-paragraph rationale — future teammates (and graders) should be able to see why, not just what.</w:t>
      </w:r>
    </w:p>
    <w:p>
      <w:pPr>
        <w:pStyle w:val="ListBullet"/>
      </w:pPr>
      <w:r>
        <w:t>Diagrams are kept in diagrams/ and regenerated (not hand-edited) whenever the underlying model changes.</w:t>
      </w:r>
    </w:p>
    <w:p>
      <w:pPr>
        <w:pStyle w:val="Heading1"/>
      </w:pPr>
      <w:r>
        <w:rPr>
          <w:color w:val="1A2B4C"/>
          <w:sz w:val="34"/>
        </w:rPr>
        <w:t>8. Initial Test Plan</w:t>
      </w:r>
    </w:p>
    <w:p>
      <w:r>
        <w:rPr>
          <w:b w:val="0"/>
          <w:i w:val="0"/>
          <w:sz w:val="21"/>
        </w:rPr>
        <w:t>Testing is continuous, not saved for the end. Each test case below records the objective, a sample input, and the expected outcome; actual pass/fail results and any defects found are logged as the team executes them week over week.</w:t>
      </w:r>
    </w:p>
    <w:p>
      <w:pPr>
        <w:pStyle w:val="Heading2"/>
      </w:pPr>
      <w:r>
        <w:rPr>
          <w:color w:val="2F6FB0"/>
          <w:sz w:val="27"/>
        </w:rPr>
        <w:t>8.1 GridCare-Lite — Sample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Sample Input</w:t>
            </w:r>
          </w:p>
        </w:tc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TC-G01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Reject login with wrong password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valid username, wrong password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Login denied; error message shown; no crash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TC-G02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Reject outage logged against non-existent substation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substation_id = 9999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Form rejected with a validation error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TC-G03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Work order assignment updates technician's task list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assign work order WO-1 to Technician T-2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WO-1 appears in T-2's “View Assigned Tasks” screen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TC-G04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Status history logs every change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change WO-1 status In Progress → Resolved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New row appended to status_history with correct timestamp/user</w:t>
            </w:r>
          </w:p>
        </w:tc>
      </w:tr>
    </w:tbl>
    <w:p/>
    <w:p>
      <w:pPr>
        <w:pStyle w:val="Heading2"/>
      </w:pPr>
      <w:r>
        <w:rPr>
          <w:color w:val="2F6FB0"/>
          <w:sz w:val="27"/>
        </w:rPr>
        <w:t>8.2 ClinicCare-Lite — Sample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Sample Input</w:t>
            </w:r>
          </w:p>
        </w:tc>
        <w:tc>
          <w:tcPr>
            <w:tcW w:type="dxa" w:w="2160"/>
            <w:shd w:fill="2f6fb0"/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TC-C01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Reject malformed patient 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ID not ending in 2022-2028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Registration blocked with a clear validation message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TC-C02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Reject disallowed file type on submission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upload a .exe file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Upload rejected; only .txt/.csv/.pdf accepted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TC-C03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Patient cannot view another patient's task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Patient A requests Patient B's task URL directly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Access denied / redirected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TC-C04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Review outcome is categorical only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clinician marks a submission reviewed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Stored value is one of the 4 fixed categories, never a numeric score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TC-C05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Session expiry protects routes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navigate to a dashboard URL without logging 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Redirected to login page</w:t>
            </w:r>
          </w:p>
        </w:tc>
      </w:tr>
    </w:tbl>
    <w:p/>
    <w:p>
      <w:pPr>
        <w:pStyle w:val="Heading1"/>
      </w:pPr>
      <w:r>
        <w:rPr>
          <w:color w:val="1A2B4C"/>
          <w:sz w:val="34"/>
        </w:rPr>
        <w:t>9. Ethical &amp; Security Boundaries — ClinicCare-Lite</w:t>
      </w:r>
    </w:p>
    <w:p>
      <w:r>
        <w:rPr>
          <w:b w:val="0"/>
          <w:i w:val="0"/>
          <w:sz w:val="21"/>
        </w:rPr>
        <w:t>Because ClinicCare-Lite touches patient data and health-adjacent workflows, the team commits to the following boundaries for the entire project, not just at launch:</w:t>
      </w:r>
    </w:p>
    <w:p>
      <w:pPr>
        <w:pStyle w:val="Heading2"/>
      </w:pPr>
      <w:r>
        <w:rPr>
          <w:color w:val="2F6FB0"/>
          <w:sz w:val="27"/>
        </w:rPr>
        <w:t>9.1 What the system will never do</w:t>
      </w:r>
    </w:p>
    <w:p>
      <w:pPr>
        <w:pStyle w:val="ListBullet"/>
      </w:pPr>
      <w:r>
        <w:t>Diagnose, interpret symptoms, assign a risk score, or recommend treatment, medication, or dosage — in any screen, message, or automated response.</w:t>
      </w:r>
    </w:p>
    <w:p>
      <w:pPr>
        <w:pStyle w:val="ListBullet"/>
      </w:pPr>
      <w:r>
        <w:t>Present a numeric or graded health score to a patient or clinician; review outcomes are strictly categorical (Pending / Reviewed-Normal / Needs Follow-up / Escalated).</w:t>
      </w:r>
    </w:p>
    <w:p>
      <w:pPr>
        <w:pStyle w:val="ListBullet"/>
      </w:pPr>
      <w:r>
        <w:t>Allow a patient to view another patient's data, tasks, files, or messages.</w:t>
      </w:r>
    </w:p>
    <w:p>
      <w:pPr>
        <w:pStyle w:val="ListBullet"/>
      </w:pPr>
      <w:r>
        <w:t>Store plaintext passwords, or log sensitive form content in plaintext application logs.</w:t>
      </w:r>
    </w:p>
    <w:p>
      <w:pPr>
        <w:pStyle w:val="ListBullet"/>
      </w:pPr>
      <w:r>
        <w:t>Use patient engagement or completion data for public ranking, leaderboards, or cross-patient comparison.</w:t>
      </w:r>
    </w:p>
    <w:p>
      <w:pPr>
        <w:pStyle w:val="Heading2"/>
      </w:pPr>
      <w:r>
        <w:rPr>
          <w:color w:val="2F6FB0"/>
          <w:sz w:val="27"/>
        </w:rPr>
        <w:t>9.2 What the system will always do</w:t>
      </w:r>
    </w:p>
    <w:p>
      <w:pPr>
        <w:pStyle w:val="ListBullet"/>
      </w:pPr>
      <w:r>
        <w:t>Display a persistent, unmissable “not for emergencies — contact emergency services or your clinic directly for urgent issues” notice on every messaging screen.</w:t>
      </w:r>
    </w:p>
    <w:p>
      <w:pPr>
        <w:pStyle w:val="ListBullet"/>
      </w:pPr>
      <w:r>
        <w:t>Restrict every patient-data route behind authentication and an ownership check (a patient can only ever query their own records).</w:t>
      </w:r>
    </w:p>
    <w:p>
      <w:pPr>
        <w:pStyle w:val="ListBullet"/>
      </w:pPr>
      <w:r>
        <w:t>Validate and sanitise file uploads (type, size) before writing to disk.</w:t>
      </w:r>
    </w:p>
    <w:p>
      <w:pPr>
        <w:pStyle w:val="ListBullet"/>
      </w:pPr>
      <w:r>
        <w:t>Log administrative actions (who reviewed what, when) for accountability, without storing more personal detail than the task requires.</w:t>
      </w:r>
    </w:p>
    <w:p>
      <w:pPr>
        <w:pStyle w:val="ListBullet"/>
      </w:pPr>
      <w:r>
        <w:t>Treat any ambiguous feature request — anything that edges toward diagnosis or medical advice — as out of scope, and flag it to the instructor rather than build it.</w:t>
      </w:r>
    </w:p>
    <w:p>
      <w:pPr>
        <w:ind w:left="216"/>
      </w:pPr>
      <w:r>
        <w:rPr>
          <w:i/>
          <w:color w:val="5A6472"/>
          <w:sz w:val="19"/>
        </w:rPr>
        <w:t>These boundaries apply to every teammate working on ClinicCare-Lite, for the life of the project. If a feature request from the brief seems to require diagnostic logic, it should be flagged to the instructor rather than implemented.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