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Task 1.2: Exploratory Data Analysis</w:t>
      </w:r>
    </w:p>
    <w:p>
      <w:pPr>
        <w:spacing w:after="300"/>
      </w:pPr>
      <w:r>
        <w:rPr>
          <w:i/>
          <w:iCs/>
        </w:rPr>
        <w:t xml:space="preserve">National Electricity Grid Network Analysis — Team Member 2 (Data Analyst)</w:t>
      </w:r>
    </w:p>
    <w:p>
      <w:pPr>
        <w:pStyle w:val="Heading1"/>
        <w:spacing w:after="120" w:before="240"/>
      </w:pPr>
      <w:r>
        <w:t xml:space="preserve">Objective</w:t>
      </w:r>
    </w:p>
    <w:p>
      <w:pPr>
        <w:spacing w:after="160"/>
      </w:pPr>
      <w:r>
        <w:t xml:space="preserve">Understand the characteristics of the utilities, substations, and lines datasets, and identify initial patterns in the Ghanaian grid network to guide the deeper network and business-intelligence analysis in Week 2.</w:t>
      </w:r>
    </w:p>
    <w:p>
      <w:pPr>
        <w:pStyle w:val="Heading1"/>
        <w:spacing w:after="120" w:before="240"/>
      </w:pPr>
      <w:r>
        <w:t xml:space="preserve">1. Dataset Overview</w:t>
      </w:r>
    </w:p>
    <w:p>
      <w:pPr>
        <w:spacing w:after="160"/>
      </w:pPr>
      <w:r>
        <w:t xml:space="preserve">The dataset was generated using the seeded script provided in the project brief (random.seed(42)), producing three related tables: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utilities.csv — 10 rows (electricity utilities operating in Ghana and neighbouring countries)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substations.csv — 44 rows (grid substations across Ghana's regions plus cross-border interconnection points)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lines.csv — 55 rows (transmission/distribution lines connecting substations)</w:t>
      </w:r>
    </w:p>
    <w:p>
      <w:pPr>
        <w:pStyle w:val="Heading1"/>
        <w:spacing w:after="120" w:before="240"/>
      </w:pPr>
      <w:r>
        <w:t xml:space="preserve">2. Descriptive Statistics — Numerical Variables</w:t>
      </w:r>
    </w:p>
    <w:p>
      <w:pPr>
        <w:spacing w:after="160"/>
      </w:pPr>
      <w:r>
        <w:t xml:space="preserve">Substations: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00"/>
      </w:tblGrid>
      <w:tr>
        <w:tc>
          <w:tcPr>
            <w:tcW w:type="dxa" w:w="22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Voltage (kV)</w:t>
            </w:r>
          </w:p>
        </w:tc>
        <w:tc>
          <w:tcPr>
            <w:tcW w:type="dxa" w:w="23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Capacity (MVA)</w:t>
            </w:r>
          </w:p>
        </w:tc>
        <w:tc>
          <w:tcPr>
            <w:tcW w:type="dxa" w:w="23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Commissioning Year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Mean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134.5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157.9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1996.3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Std Dev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120.4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139.9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16.1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6.4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1967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Median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69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108.6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1999.5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Max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330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487.6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2022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Lines: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00"/>
        <w:gridCol w:w="2300"/>
      </w:tblGrid>
      <w:tr>
        <w:tc>
          <w:tcPr>
            <w:tcW w:type="dxa" w:w="22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2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Voltage (kV)</w:t>
            </w:r>
          </w:p>
        </w:tc>
        <w:tc>
          <w:tcPr>
            <w:tcW w:type="dxa" w:w="23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Length (km)</w:t>
            </w:r>
          </w:p>
        </w:tc>
        <w:tc>
          <w:tcPr>
            <w:tcW w:type="dxa" w:w="23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Capacity (MVA)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Mean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141.4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99.3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222.4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Std Dev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135.2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90.3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109.2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Min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11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3.8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32.9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Median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69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75.9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229.9</w:t>
            </w:r>
          </w:p>
        </w:tc>
      </w:tr>
      <w:tr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Max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</w:rPr>
              <w:t xml:space="preserve">330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426.0</w:t>
            </w:r>
          </w:p>
        </w:tc>
        <w:tc>
          <w:tcPr>
            <w:tcW w:type="dxa" w:w="2300"/>
          </w:tcPr>
          <w:p>
            <w:r>
              <w:rPr>
                <w:b w:val="false"/>
                <w:bCs w:val="false"/>
                <w:color w:val="000000"/>
              </w:rPr>
              <w:t xml:space="preserve">506.3</w:t>
            </w:r>
          </w:p>
        </w:tc>
      </w:tr>
    </w:tbl>
    <w:p>
      <w:pPr>
        <w:pStyle w:val="Heading1"/>
        <w:spacing w:after="120" w:before="240"/>
      </w:pPr>
      <w:r>
        <w:t xml:space="preserve">3. Frequency Distributions — Categorical Variables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Substation Type: Transmission (21), Distribution (15), Bulk Supply Point (8)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Substation Status: Active (43), Inactive (1)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Status: Active (53), Under Maintenance (2)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Line Type: Overhead (40), Underground (15)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Greater Accra has the most substations (6), followed by Ashanti (5); several cross-border regions have exactly 1 each</w:t>
      </w:r>
    </w:p>
    <w:p>
      <w:pPr>
        <w:pStyle w:val="Heading1"/>
        <w:spacing w:after="120" w:before="240"/>
      </w:pPr>
      <w:r>
        <w:t xml:space="preserve">4. Top Utilities by Number of Lines Operated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500"/>
      </w:tblGrid>
      <w:tr>
        <w:tc>
          <w:tcPr>
            <w:tcW w:type="dxa" w:w="3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Utility</w:t>
            </w:r>
          </w:p>
        </w:tc>
        <w:tc>
          <w:tcPr>
            <w:tcW w:type="dxa" w:w="30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Line Count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GRIDCo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Transmission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NEDCo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Distribution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14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ECG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Distribution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10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CEB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Transmission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CIE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Distribution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  <w:tr>
        <w:tc>
          <w:tcPr>
            <w:tcW w:type="dxa" w:w="3500"/>
          </w:tcPr>
          <w:p>
            <w:r>
              <w:rPr>
                <w:b w:val="false"/>
                <w:bCs w:val="false"/>
                <w:color w:val="000000"/>
              </w:rPr>
              <w:t xml:space="preserve">SONABEL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</w:rPr>
              <w:t xml:space="preserve">Distribution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GRIDCo, Ghana's national transmission utility, operates nearly twice as many lines as the next-largest operator (NEDCo), which is expected given its role as the backbone transmission company connecting regions and borders.</w:t>
      </w:r>
    </w:p>
    <w:p>
      <w:pPr>
        <w:pStyle w:val="Heading1"/>
        <w:spacing w:after="120" w:before="240"/>
      </w:pPr>
      <w:r>
        <w:t xml:space="preserve">5. Most-Connected Substations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1700"/>
        <w:gridCol w:w="1500"/>
      </w:tblGrid>
      <w:tr>
        <w:tc>
          <w:tcPr>
            <w:tcW w:type="dxa" w:w="32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Substation</w:t>
            </w:r>
          </w:p>
        </w:tc>
        <w:tc>
          <w:tcPr>
            <w:tcW w:type="dxa" w:w="26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17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Voltage (kV)</w:t>
            </w:r>
          </w:p>
        </w:tc>
        <w:tc>
          <w:tcPr>
            <w:tcW w:type="dxa" w:w="1500"/>
            <w:shd w:fill="1565C0" w:val="clear"/>
          </w:tcPr>
          <w:p>
            <w:r>
              <w:rPr>
                <w:b/>
                <w:bCs/>
                <w:color w:val="FFFFFF"/>
              </w:rPr>
              <w:t xml:space="preserve">Connections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Kumasi Central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Ashanti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161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Mallam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Greater Accra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330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Cape Coast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Central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69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5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Tema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Greater Accra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330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</w:rPr>
              <w:t xml:space="preserve">Legon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color w:val="000000"/>
              </w:rPr>
              <w:t xml:space="preserve">Greater Accra</w:t>
            </w:r>
          </w:p>
        </w:tc>
        <w:tc>
          <w:tcPr>
            <w:tcW w:type="dxa" w:w="1700"/>
          </w:tcPr>
          <w:p>
            <w:r>
              <w:rPr>
                <w:b w:val="false"/>
                <w:bCs w:val="false"/>
                <w:color w:val="000000"/>
              </w:rPr>
              <w:t xml:space="preserve">161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</w:tr>
    </w:tbl>
    <w:p>
      <w:pPr>
        <w:spacing w:after="160"/>
      </w:pPr>
    </w:p>
    <w:p>
      <w:pPr>
        <w:spacing w:after="160"/>
      </w:pPr>
      <w:r>
        <w:t xml:space="preserve">Kumasi Central, Mallam, and Cape Coast are the network's most-connected 'hub' substations, each with 5 direct lines — these are strong early candidates for the critical-substation analysis in Task 2.1.</w:t>
      </w:r>
    </w:p>
    <w:p>
      <w:pPr>
        <w:pStyle w:val="Heading1"/>
        <w:spacing w:after="120" w:before="240"/>
      </w:pPr>
      <w:r>
        <w:t xml:space="preserve">6. Geographic Distribution</w:t>
      </w:r>
    </w:p>
    <w:p>
      <w:pPr>
        <w:spacing w:after="160"/>
      </w:pPr>
      <w:r>
        <w:t xml:space="preserve">Greater Accra leads in both substation count (6) and line count (11 lines by source substation), consistent with it being Ghana's most urbanized, highest-demand region. Ashanti (Kumasi area) is the second-largest hub. Upper West and most cross-border points have only a single substation each, suggesting thinner, more fragile connectivity at the network's edges.</w:t>
      </w:r>
    </w:p>
    <w:p>
      <w:pPr>
        <w:pStyle w:val="Heading1"/>
        <w:spacing w:after="120" w:before="240"/>
      </w:pPr>
      <w:r>
        <w:t xml:space="preserve">7. Voltage-Level Distribution</w:t>
      </w:r>
    </w:p>
    <w:p>
      <w:pPr>
        <w:spacing w:after="160"/>
      </w:pPr>
      <w:r>
        <w:t xml:space="preserve">Substations are fairly spread across voltage tiers: 11kV (9), 33kV (6), 69kV (8), 161kV (11), 330kV (10) — the 161kV and 330kV transmission tiers together make up nearly half of all substations, reflecting the transmission-heavy nature of the synthetic network.</w:t>
      </w:r>
    </w:p>
    <w:p>
      <w:pPr>
        <w:pStyle w:val="Heading1"/>
        <w:spacing w:after="120" w:before="240"/>
      </w:pPr>
      <w:r>
        <w:t xml:space="preserve">8. Visualizations</w:t>
      </w:r>
    </w:p>
    <w:p>
      <w:r>
        <w:drawing>
          <wp:inline distT="0" distB="0" distL="0" distR="0">
            <wp:extent cx="5524500" cy="4143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t xml:space="preserve">9. Initial Hypotheses About Network Structure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Greater Accra and Ashanti will likely dominate centrality metrics in Task 2.1, since they have the most substations and connections.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Border-interconnection substations, despite high voltage/capacity, may act as structural bottlenecks (single points of connection) — worth checking in the N-1 contingency analysis.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GRIDCo's heavy involvement in inter-regional backbone lines suggests it will score highest on betweenness centrality, not just degree centrality.</w:t>
      </w:r>
    </w:p>
    <w:p>
      <w:pPr>
        <w:pStyle w:val="Heading1"/>
        <w:spacing w:after="120" w:before="240"/>
      </w:pPr>
      <w:r>
        <w:t xml:space="preserve">10. Patterns for Further Investigation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Only 1 substation is Inactive and only 2 lines are Under Maintenance — worth flagging as a reliability question in Task 2.3 (is this realistic, or does it understate maintenance backlog?)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Wide spread in line length (3.8km to 426km) — categorizing into short/medium/long transmission runs (Task 2.2) may reveal regional vs. cross-border patterns.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variation is large (6.4–487.6 MVA) — worth checking which substations are operating close to rated capacity as upgrade candidates (Task 2.3).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79ec73b5fa7219d70d431cb12c3f9fbab458a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2026-08-09T10:03:25.194Z</dcterms:created>
  <dcterms:modified xsi:type="dcterms:W3CDTF">2026-08-09T10:03:25.205Z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