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 Generalized Probabilistic Framework for Optimization of Diagnostic Pathways Under Conditional Dependence</w:t>
      </w:r>
    </w:p>
    <w:p>
      <w:pPr>
        <w:jc w:val="center"/>
      </w:pPr>
      <w:r>
        <w:rPr>
          <w:rFonts w:ascii="Times New Roman" w:hAnsi="Times New Roman"/>
          <w:i/>
          <w:sz w:val="26"/>
        </w:rPr>
        <w:t>Formal specification, validation strategy, and Python implementation blueprint for OptiDx</w:t>
      </w:r>
    </w:p>
    <w:p>
      <w:pPr>
        <w:jc w:val="center"/>
      </w:pPr>
      <w:r>
        <w:rPr>
          <w:rFonts w:ascii="Times New Roman" w:hAnsi="Times New Roman"/>
          <w:sz w:val="24"/>
        </w:rPr>
        <w:t>Prepared as a full methodological paper for the OptiDx development program</w:t>
      </w:r>
    </w:p>
    <w:p>
      <w:pPr>
        <w:jc w:val="center"/>
      </w:pPr>
      <w:r>
        <w:rPr>
          <w:rFonts w:ascii="Times New Roman" w:hAnsi="Times New Roman"/>
          <w:sz w:val="24"/>
        </w:rPr>
        <w:t>April 2026</w:t>
      </w:r>
    </w:p>
    <w:p>
      <w:pPr>
        <w:jc w:val="center"/>
      </w:pPr>
      <w:r>
        <w:rPr>
          <w:rFonts w:ascii="Times New Roman" w:hAnsi="Times New Roman"/>
          <w:sz w:val="24"/>
        </w:rPr>
        <w:t>Syreon Middle East</w:t>
      </w:r>
    </w:p>
    <w:p>
      <w:r>
        <w:br/>
      </w:r>
    </w:p>
    <w:p>
      <w:pPr>
        <w:jc w:val="center"/>
      </w:pPr>
      <w:r>
        <w:rPr>
          <w:rFonts w:ascii="Times New Roman" w:hAnsi="Times New Roman"/>
          <w:sz w:val="22"/>
        </w:rPr>
        <w:t>Keywords: diagnostic pathways; conditional dependence; decision trees; latent class models; diagnostic accuracy; optimization; OptiDx</w:t>
      </w:r>
    </w:p>
    <w:p>
      <w:r>
        <w:br w:type="page"/>
      </w:r>
    </w:p>
    <w:p>
      <w:pPr>
        <w:pStyle w:val="Heading1"/>
      </w:pPr>
      <w:r>
        <w:t>Abstract</w:t>
      </w:r>
    </w:p>
    <w:p>
      <w:pPr/>
      <w:r>
        <w:t>Diagnostic decision-making in practice rarely consists of a single test interpreted in isolation. Clinical pathways instead combine scores, biomarkers, imaging, molecular assays, and confirmatory procedures in sequences that may be parallel, sequential, or explicitly branching. The statistical treatment of such pathways is often inadequate. Classical formulas for series and parallel testing assume conditional independence and do not generalize naturally to discordant-referee branches, risk-stratified escalation, or pathways in which the reported validation endpoint is an operational measure such as failure rate or invasive procedures avoided. A general, dependence-aware, and computationally implementable framework is therefore required.</w:t>
      </w:r>
    </w:p>
    <w:p>
      <w:pPr/>
      <w:r>
        <w:t>This paper presents a probabilistic formulation for the evaluation and optimization of diagnostic pathways under conditional dependence. The pathway is represented as a finite decision tree whose terminal leaves correspond to final algorithm classifications. Aggregate sensitivity and specificity are shown to be sums of terminal-path probabilities conditioned on disease status. The path probability formulation naturally extends to mixed sequential and parallel structures, referee branches, and threshold-specific routing. Conditional dependence is handled through joint probability tables, conditional probability factorization, or latent class models when no gold standard exists. The framework also computes operational outcomes, including expected turnaround time, expected cost, sample burden, skill requirement, positive and negative predictive values, and pathway feasibility under local resource constraints.</w:t>
      </w:r>
    </w:p>
    <w:p>
      <w:pPr/>
      <w:r>
        <w:t>A reference implementation strategy in Python is specified using a recursive evaluator and optional memoization. Internal verification is demonstrated with worked examples covering a serial confirmatory pathway, a dependence-aware parallel pathway, and a discordant-referee pathway. External benchmark validation is then mapped to real published pathway studies in pulmonary embolism, heart failure, hepatocellular carcinoma surveillance, tuberculosis triage, acute coronary syndrome, pre-eclampsia, threatened preterm labour, and non-invasive prenatal testing. The central validation result is methodological as much as numerical. When the pathway is parameterized with the correct endpoint and conditional dependence structure, the model reproduces observed real-world pathway behavior. When independence is imposed incorrectly, bias can be material.</w:t>
      </w:r>
    </w:p>
    <w:p>
      <w:pPr/>
      <w:r>
        <w:t>The resulting framework provides the mathematical backbone for OptiDx, an open-source diagnostic pathway optimization platform intended to support evidence-based, cost-disruptive diagnostic strategies in resource-constrained settings.</w:t>
      </w:r>
    </w:p>
    <w:p>
      <w:pPr>
        <w:pStyle w:val="Heading1"/>
      </w:pPr>
      <w:r>
        <w:t>1. Introduction</w:t>
      </w:r>
    </w:p>
    <w:p>
      <w:pPr/>
      <w:r>
        <w:t>The scientific problem addressed in this paper is not merely the estimation of the sensitivity and specificity of isolated diagnostic tests. It is the formal evaluation of complete diagnostic pathways. Real-world diagnostic decisions are usually taken after a chain of steps that may include a clinical risk score, a rapid rule-out assay, a confirmatory laboratory method, and sometimes an invasive or capacity-intensive reference test. These pathways are not statistically trivial. Their performance depends on the ordering of tests, the routing logic after intermediate results, the prevalence in the target population, and the extent to which test results remain correlated after conditioning on the patient's true disease state.</w:t>
      </w:r>
    </w:p>
    <w:p>
      <w:pPr/>
      <w:r>
        <w:t>The conventional literature on combined testing provides valid closed-form results for simple special cases. If two tests are applied in series and the algorithm is defined as positive only if both are positive, one obtains the familiar reduction in sensitivity and increase in specificity under conditional independence. If two tests are applied in parallel and the algorithm is positive if either is positive, sensitivity increases and specificity decreases, again under independence. These results are foundational but insufficient. They do not cover pathways in which discordant results trigger a third referee test, nor pathways in which a first-line triage test avoids the routine use of an expensive confirmatory assay in negatives, nor pathways validated with outcomes such as short-term failure rate rather than pathway-level specificity.</w:t>
      </w:r>
    </w:p>
    <w:p>
      <w:pPr/>
      <w:r>
        <w:t>The need for a more general framework is evident across published smart sequencing pathways. Pulmonary embolism algorithms based on structured pretest probability assessment followed by D-dimer do not chiefly report a pooled pathway specificity. Instead, they report the three-month venous thromboembolism failure rate after imaging is withheld and the proportion of computed tomographic pulmonary angiograms avoided [4]. Heart failure triage with natriuretic peptides before echocardiography is primarily valued as a high-sensitivity rule-out strategy that preserves specialist capacity [7]. Hepatocellular carcinoma surveillance with ultrasound plus alpha-fetoprotein before cross-sectional imaging is a parallel pathway in which the combined sensitivity materially exceeds ultrasound alone, and the pattern of improvement itself indicates conditional dependence [8]. Tuberculosis triage with chest radiography or computer-aided detection before Xpert MTB/RIF does not reduce to a single sensitivity-specificity pair. Published implementation studies instead quantify throughput, missed cases, and cost per notified case [9].</w:t>
      </w:r>
    </w:p>
    <w:p>
      <w:pPr/>
      <w:r>
        <w:t>This heterogeneity is not a nuisance variable that may be ignored. It is the defining feature of pathway science. A mathematically defensible pathway engine must therefore satisfy five requirements. First, it must represent arbitrary finite branching structures. Second, it must compute pathway-level accuracy without requiring conditional independence. Third, it must support endpoint alignment, meaning that the model output used for validation is chosen to match the endpoint actually reported in the external study. Fourth, it must integrate operational metrics needed for optimization, not just analytical accuracy. Fifth, it must be implementable in software with transparent data structures and clear uncertainty handling. The present paper develops such a framework and explicitly positions it as the methodological core of the OptiDx platform.</w:t>
      </w:r>
    </w:p>
    <w:p>
      <w:pPr/>
      <w:r>
        <w:t>The contribution of the paper is threefold. The first contribution is theoretical. A general path-based formulation is derived in which pathway sensitivity and specificity are measures over terminal-path probabilities conditioned on disease status. The second contribution is statistical. A hierarchy for conditional dependence modeling is formalized, ranging from empirical pathway-level data to joint probability tables, conditional probability tables, and Bayesian latent class formulations when no gold standard exists [1-3]. The third contribution is translational. The framework is mapped to Python implementation patterns and validated against real benchmark cases extracted from the published smart sequencing literature summarized in the OptiDx evidence review.</w:t>
      </w:r>
    </w:p>
    <w:p>
      <w:pPr>
        <w:pStyle w:val="Heading1"/>
      </w:pPr>
      <w:r>
        <w:t>2. Scope, assumptions, and notation</w:t>
      </w:r>
    </w:p>
    <w:p>
      <w:pPr/>
      <w:r>
        <w:t>We work on a probability space (Ω, F, P). Disease status is represented by a binary random variable D taking values in {0,1}, where D = 1 denotes presence of the target condition and D = 0 denotes absence. The prevalence of disease in the target population is π = P(D = 1). A diagnostic test T_i is a binary or discretized random variable. For clarity of exposition the primary derivations below assume binary test outputs, coded as T_i = 1 for positive and T_i = 0 for negative. Threshold-specific or multi-category tests may be reduced to this form by indexing the threshold or outcome category within the pathway definition.</w:t>
      </w:r>
    </w:p>
    <w:p>
      <w:pPr/>
      <w:r>
        <w:t>The pathway itself is represented as a finite directed tree or, more generally, an acyclic directed graph that can be unfolded into a tree. Internal nodes correspond either to test nodes or to deterministic routing rules. Each leaf corresponds to a terminal algorithmic classification, denoted C(ℓ) ∈ {0,1}. The notation P_+ denotes the set of all terminal paths that end in algorithm-positive leaves, and P_- denotes the set of all terminal paths that end in algorithm-negative leaves. A path p is a finite ordered sequence of test outcomes and routing decisions starting from the root node and ending at a terminal leaf.</w:t>
      </w:r>
    </w:p>
    <w:p>
      <w:pPr/>
      <w:r>
        <w:t>Because the user requirement for OptiDx extends beyond diagnostic accuracy, each test node i may carry operational attributes. These include turnaround time t_i, monetary or economic cost c_i, required sample set S_i, and required skill level k_i on an ordinal scale. These attributes are not themselves probabilistic. They are deterministic labels attached to tests and aggregated over realized paths. A path p therefore has both a probability mass conditional on disease state and an operational profile TAT(p), Cost(p), Samples(p), and Skill(p).</w:t>
      </w:r>
    </w:p>
    <w:p>
      <w:pPr/>
      <w:r>
        <w:t>To reduce ambiguity in later sections, Table 1 summarizes the principal symbols used throughout the paper.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vAlign w:val="center"/>
          </w:tcPr>
          <w:p>
            <w:pPr/>
            <w:r/>
            <w:r>
              <w:rPr>
                <w:rFonts w:ascii="Times New Roman" w:hAnsi="Times New Roman"/>
                <w:b/>
                <w:sz w:val="22"/>
              </w:rPr>
              <w:t>Symbol</w:t>
            </w:r>
          </w:p>
        </w:tc>
        <w:tc>
          <w:tcPr>
            <w:tcW w:type="dxa" w:w="3168"/>
            <w:vAlign w:val="center"/>
          </w:tcPr>
          <w:p>
            <w:pPr/>
            <w:r/>
            <w:r>
              <w:rPr>
                <w:rFonts w:ascii="Times New Roman" w:hAnsi="Times New Roman"/>
                <w:b/>
                <w:sz w:val="22"/>
              </w:rPr>
              <w:t>Meaning</w:t>
            </w:r>
          </w:p>
        </w:tc>
        <w:tc>
          <w:tcPr>
            <w:tcW w:type="dxa" w:w="1440"/>
            <w:vAlign w:val="center"/>
          </w:tcPr>
          <w:p>
            <w:pPr/>
            <w:r/>
            <w:r>
              <w:rPr>
                <w:rFonts w:ascii="Times New Roman" w:hAnsi="Times New Roman"/>
                <w:b/>
                <w:sz w:val="22"/>
              </w:rPr>
              <w:t>Domain</w:t>
            </w:r>
          </w:p>
        </w:tc>
        <w:tc>
          <w:tcPr>
            <w:tcW w:type="dxa" w:w="4032"/>
            <w:vAlign w:val="center"/>
          </w:tcPr>
          <w:p>
            <w:pPr/>
            <w:r/>
            <w:r>
              <w:rPr>
                <w:rFonts w:ascii="Times New Roman" w:hAnsi="Times New Roman"/>
                <w:b/>
                <w:sz w:val="22"/>
              </w:rPr>
              <w:t>Comment</w:t>
            </w:r>
          </w:p>
        </w:tc>
      </w:tr>
      <w:tr>
        <w:tc>
          <w:tcPr>
            <w:tcW w:type="dxa" w:w="1440"/>
            <w:vAlign w:val="center"/>
          </w:tcPr>
          <w:p>
            <w:pPr/>
            <w:r/>
            <w:r>
              <w:rPr>
                <w:rFonts w:ascii="Times New Roman" w:hAnsi="Times New Roman"/>
                <w:b w:val="0"/>
                <w:sz w:val="22"/>
              </w:rPr>
              <w:t>D</w:t>
            </w:r>
          </w:p>
        </w:tc>
        <w:tc>
          <w:tcPr>
            <w:tcW w:type="dxa" w:w="3168"/>
            <w:vAlign w:val="center"/>
          </w:tcPr>
          <w:p>
            <w:pPr/>
            <w:r/>
            <w:r>
              <w:rPr>
                <w:rFonts w:ascii="Times New Roman" w:hAnsi="Times New Roman"/>
                <w:b w:val="0"/>
                <w:sz w:val="22"/>
              </w:rPr>
              <w:t>True disease status</w:t>
            </w:r>
          </w:p>
        </w:tc>
        <w:tc>
          <w:tcPr>
            <w:tcW w:type="dxa" w:w="1440"/>
            <w:vAlign w:val="center"/>
          </w:tcPr>
          <w:p>
            <w:pPr/>
            <w:r/>
            <w:r>
              <w:rPr>
                <w:rFonts w:ascii="Times New Roman" w:hAnsi="Times New Roman"/>
                <w:b w:val="0"/>
                <w:sz w:val="22"/>
              </w:rPr>
              <w:t>{0,1}</w:t>
            </w:r>
          </w:p>
        </w:tc>
        <w:tc>
          <w:tcPr>
            <w:tcW w:type="dxa" w:w="4032"/>
            <w:vAlign w:val="center"/>
          </w:tcPr>
          <w:p>
            <w:pPr/>
            <w:r/>
            <w:r>
              <w:rPr>
                <w:rFonts w:ascii="Times New Roman" w:hAnsi="Times New Roman"/>
                <w:b w:val="0"/>
                <w:sz w:val="22"/>
              </w:rPr>
              <w:t>1 = disease present; 0 = disease absent</w:t>
            </w:r>
          </w:p>
        </w:tc>
      </w:tr>
      <w:tr>
        <w:tc>
          <w:tcPr>
            <w:tcW w:type="dxa" w:w="1440"/>
            <w:vAlign w:val="center"/>
          </w:tcPr>
          <w:p>
            <w:pPr/>
            <w:r/>
            <w:r>
              <w:rPr>
                <w:rFonts w:ascii="Times New Roman" w:hAnsi="Times New Roman"/>
                <w:b w:val="0"/>
                <w:sz w:val="22"/>
              </w:rPr>
              <w:t>π</w:t>
            </w:r>
          </w:p>
        </w:tc>
        <w:tc>
          <w:tcPr>
            <w:tcW w:type="dxa" w:w="3168"/>
            <w:vAlign w:val="center"/>
          </w:tcPr>
          <w:p>
            <w:pPr/>
            <w:r/>
            <w:r>
              <w:rPr>
                <w:rFonts w:ascii="Times New Roman" w:hAnsi="Times New Roman"/>
                <w:b w:val="0"/>
                <w:sz w:val="22"/>
              </w:rPr>
              <w:t>Disease prevalence</w:t>
            </w:r>
          </w:p>
        </w:tc>
        <w:tc>
          <w:tcPr>
            <w:tcW w:type="dxa" w:w="1440"/>
            <w:vAlign w:val="center"/>
          </w:tcPr>
          <w:p>
            <w:pPr/>
            <w:r/>
            <w:r>
              <w:rPr>
                <w:rFonts w:ascii="Times New Roman" w:hAnsi="Times New Roman"/>
                <w:b w:val="0"/>
                <w:sz w:val="22"/>
              </w:rPr>
              <w:t>[0,1]</w:t>
            </w:r>
          </w:p>
        </w:tc>
        <w:tc>
          <w:tcPr>
            <w:tcW w:type="dxa" w:w="4032"/>
            <w:vAlign w:val="center"/>
          </w:tcPr>
          <w:p>
            <w:pPr/>
            <w:r/>
            <w:r>
              <w:rPr>
                <w:rFonts w:ascii="Times New Roman" w:hAnsi="Times New Roman"/>
                <w:b w:val="0"/>
                <w:sz w:val="22"/>
              </w:rPr>
              <w:t>P(D = 1)</w:t>
            </w:r>
          </w:p>
        </w:tc>
      </w:tr>
      <w:tr>
        <w:tc>
          <w:tcPr>
            <w:tcW w:type="dxa" w:w="1440"/>
            <w:vAlign w:val="center"/>
          </w:tcPr>
          <w:p>
            <w:pPr/>
            <w:r/>
            <w:r>
              <w:rPr>
                <w:rFonts w:ascii="Times New Roman" w:hAnsi="Times New Roman"/>
                <w:b w:val="0"/>
                <w:sz w:val="22"/>
              </w:rPr>
              <w:t>T_i</w:t>
            </w:r>
          </w:p>
        </w:tc>
        <w:tc>
          <w:tcPr>
            <w:tcW w:type="dxa" w:w="3168"/>
            <w:vAlign w:val="center"/>
          </w:tcPr>
          <w:p>
            <w:pPr/>
            <w:r/>
            <w:r>
              <w:rPr>
                <w:rFonts w:ascii="Times New Roman" w:hAnsi="Times New Roman"/>
                <w:b w:val="0"/>
                <w:sz w:val="22"/>
              </w:rPr>
              <w:t>Outcome of test i</w:t>
            </w:r>
          </w:p>
        </w:tc>
        <w:tc>
          <w:tcPr>
            <w:tcW w:type="dxa" w:w="1440"/>
            <w:vAlign w:val="center"/>
          </w:tcPr>
          <w:p>
            <w:pPr/>
            <w:r/>
            <w:r>
              <w:rPr>
                <w:rFonts w:ascii="Times New Roman" w:hAnsi="Times New Roman"/>
                <w:b w:val="0"/>
                <w:sz w:val="22"/>
              </w:rPr>
              <w:t>{0,1}</w:t>
            </w:r>
          </w:p>
        </w:tc>
        <w:tc>
          <w:tcPr>
            <w:tcW w:type="dxa" w:w="4032"/>
            <w:vAlign w:val="center"/>
          </w:tcPr>
          <w:p>
            <w:pPr/>
            <w:r/>
            <w:r>
              <w:rPr>
                <w:rFonts w:ascii="Times New Roman" w:hAnsi="Times New Roman"/>
                <w:b w:val="0"/>
                <w:sz w:val="22"/>
              </w:rPr>
              <w:t>1 = positive; 0 = negative</w:t>
            </w:r>
          </w:p>
        </w:tc>
      </w:tr>
      <w:tr>
        <w:tc>
          <w:tcPr>
            <w:tcW w:type="dxa" w:w="1440"/>
            <w:vAlign w:val="center"/>
          </w:tcPr>
          <w:p>
            <w:pPr/>
            <w:r/>
            <w:r>
              <w:rPr>
                <w:rFonts w:ascii="Times New Roman" w:hAnsi="Times New Roman"/>
                <w:b w:val="0"/>
                <w:sz w:val="22"/>
              </w:rPr>
              <w:t>Se_i</w:t>
            </w:r>
          </w:p>
        </w:tc>
        <w:tc>
          <w:tcPr>
            <w:tcW w:type="dxa" w:w="3168"/>
            <w:vAlign w:val="center"/>
          </w:tcPr>
          <w:p>
            <w:pPr/>
            <w:r/>
            <w:r>
              <w:rPr>
                <w:rFonts w:ascii="Times New Roman" w:hAnsi="Times New Roman"/>
                <w:b w:val="0"/>
                <w:sz w:val="22"/>
              </w:rPr>
              <w:t>Sensitivity of test i</w:t>
            </w:r>
          </w:p>
        </w:tc>
        <w:tc>
          <w:tcPr>
            <w:tcW w:type="dxa" w:w="1440"/>
            <w:vAlign w:val="center"/>
          </w:tcPr>
          <w:p>
            <w:pPr/>
            <w:r/>
            <w:r>
              <w:rPr>
                <w:rFonts w:ascii="Times New Roman" w:hAnsi="Times New Roman"/>
                <w:b w:val="0"/>
                <w:sz w:val="22"/>
              </w:rPr>
              <w:t>[0,1]</w:t>
            </w:r>
          </w:p>
        </w:tc>
        <w:tc>
          <w:tcPr>
            <w:tcW w:type="dxa" w:w="4032"/>
            <w:vAlign w:val="center"/>
          </w:tcPr>
          <w:p>
            <w:pPr/>
            <w:r/>
            <w:r>
              <w:rPr>
                <w:rFonts w:ascii="Times New Roman" w:hAnsi="Times New Roman"/>
                <w:b w:val="0"/>
                <w:sz w:val="22"/>
              </w:rPr>
              <w:t>P(T_i = 1 | D = 1)</w:t>
            </w:r>
          </w:p>
        </w:tc>
      </w:tr>
      <w:tr>
        <w:tc>
          <w:tcPr>
            <w:tcW w:type="dxa" w:w="1440"/>
            <w:vAlign w:val="center"/>
          </w:tcPr>
          <w:p>
            <w:pPr/>
            <w:r/>
            <w:r>
              <w:rPr>
                <w:rFonts w:ascii="Times New Roman" w:hAnsi="Times New Roman"/>
                <w:b w:val="0"/>
                <w:sz w:val="22"/>
              </w:rPr>
              <w:t>Sp_i</w:t>
            </w:r>
          </w:p>
        </w:tc>
        <w:tc>
          <w:tcPr>
            <w:tcW w:type="dxa" w:w="3168"/>
            <w:vAlign w:val="center"/>
          </w:tcPr>
          <w:p>
            <w:pPr/>
            <w:r/>
            <w:r>
              <w:rPr>
                <w:rFonts w:ascii="Times New Roman" w:hAnsi="Times New Roman"/>
                <w:b w:val="0"/>
                <w:sz w:val="22"/>
              </w:rPr>
              <w:t>Specificity of test i</w:t>
            </w:r>
          </w:p>
        </w:tc>
        <w:tc>
          <w:tcPr>
            <w:tcW w:type="dxa" w:w="1440"/>
            <w:vAlign w:val="center"/>
          </w:tcPr>
          <w:p>
            <w:pPr/>
            <w:r/>
            <w:r>
              <w:rPr>
                <w:rFonts w:ascii="Times New Roman" w:hAnsi="Times New Roman"/>
                <w:b w:val="0"/>
                <w:sz w:val="22"/>
              </w:rPr>
              <w:t>[0,1]</w:t>
            </w:r>
          </w:p>
        </w:tc>
        <w:tc>
          <w:tcPr>
            <w:tcW w:type="dxa" w:w="4032"/>
            <w:vAlign w:val="center"/>
          </w:tcPr>
          <w:p>
            <w:pPr/>
            <w:r/>
            <w:r>
              <w:rPr>
                <w:rFonts w:ascii="Times New Roman" w:hAnsi="Times New Roman"/>
                <w:b w:val="0"/>
                <w:sz w:val="22"/>
              </w:rPr>
              <w:t>P(T_i = 0 | D = 0)</w:t>
            </w:r>
          </w:p>
        </w:tc>
      </w:tr>
      <w:tr>
        <w:tc>
          <w:tcPr>
            <w:tcW w:type="dxa" w:w="1440"/>
            <w:vAlign w:val="center"/>
          </w:tcPr>
          <w:p>
            <w:pPr/>
            <w:r/>
            <w:r>
              <w:rPr>
                <w:rFonts w:ascii="Times New Roman" w:hAnsi="Times New Roman"/>
                <w:b w:val="0"/>
                <w:sz w:val="22"/>
              </w:rPr>
              <w:t>p</w:t>
            </w:r>
          </w:p>
        </w:tc>
        <w:tc>
          <w:tcPr>
            <w:tcW w:type="dxa" w:w="3168"/>
            <w:vAlign w:val="center"/>
          </w:tcPr>
          <w:p>
            <w:pPr/>
            <w:r/>
            <w:r>
              <w:rPr>
                <w:rFonts w:ascii="Times New Roman" w:hAnsi="Times New Roman"/>
                <w:b w:val="0"/>
                <w:sz w:val="22"/>
              </w:rPr>
              <w:t>Terminal path</w:t>
            </w:r>
          </w:p>
        </w:tc>
        <w:tc>
          <w:tcPr>
            <w:tcW w:type="dxa" w:w="1440"/>
            <w:vAlign w:val="center"/>
          </w:tcPr>
          <w:p>
            <w:pPr/>
            <w:r/>
            <w:r>
              <w:rPr>
                <w:rFonts w:ascii="Times New Roman" w:hAnsi="Times New Roman"/>
                <w:b w:val="0"/>
                <w:sz w:val="22"/>
              </w:rPr>
              <w:t>sequence</w:t>
            </w:r>
          </w:p>
        </w:tc>
        <w:tc>
          <w:tcPr>
            <w:tcW w:type="dxa" w:w="4032"/>
            <w:vAlign w:val="center"/>
          </w:tcPr>
          <w:p>
            <w:pPr/>
            <w:r/>
            <w:r>
              <w:rPr>
                <w:rFonts w:ascii="Times New Roman" w:hAnsi="Times New Roman"/>
                <w:b w:val="0"/>
                <w:sz w:val="22"/>
              </w:rPr>
              <w:t>Root to leaf sequence of observed outcomes</w:t>
            </w:r>
          </w:p>
        </w:tc>
      </w:tr>
      <w:tr>
        <w:tc>
          <w:tcPr>
            <w:tcW w:type="dxa" w:w="1440"/>
            <w:vAlign w:val="center"/>
          </w:tcPr>
          <w:p>
            <w:pPr/>
            <w:r/>
            <w:r>
              <w:rPr>
                <w:rFonts w:ascii="Times New Roman" w:hAnsi="Times New Roman"/>
                <w:b w:val="0"/>
                <w:sz w:val="22"/>
              </w:rPr>
              <w:t>P_+</w:t>
            </w:r>
          </w:p>
        </w:tc>
        <w:tc>
          <w:tcPr>
            <w:tcW w:type="dxa" w:w="3168"/>
            <w:vAlign w:val="center"/>
          </w:tcPr>
          <w:p>
            <w:pPr/>
            <w:r/>
            <w:r>
              <w:rPr>
                <w:rFonts w:ascii="Times New Roman" w:hAnsi="Times New Roman"/>
                <w:b w:val="0"/>
                <w:sz w:val="22"/>
              </w:rPr>
              <w:t>Positive terminal paths</w:t>
            </w:r>
          </w:p>
        </w:tc>
        <w:tc>
          <w:tcPr>
            <w:tcW w:type="dxa" w:w="1440"/>
            <w:vAlign w:val="center"/>
          </w:tcPr>
          <w:p>
            <w:pPr/>
            <w:r/>
            <w:r>
              <w:rPr>
                <w:rFonts w:ascii="Times New Roman" w:hAnsi="Times New Roman"/>
                <w:b w:val="0"/>
                <w:sz w:val="22"/>
              </w:rPr>
              <w:t>set</w:t>
            </w:r>
          </w:p>
        </w:tc>
        <w:tc>
          <w:tcPr>
            <w:tcW w:type="dxa" w:w="4032"/>
            <w:vAlign w:val="center"/>
          </w:tcPr>
          <w:p>
            <w:pPr/>
            <w:r/>
            <w:r>
              <w:rPr>
                <w:rFonts w:ascii="Times New Roman" w:hAnsi="Times New Roman"/>
                <w:b w:val="0"/>
                <w:sz w:val="22"/>
              </w:rPr>
              <w:t>Paths ending in algorithm-positive leaves</w:t>
            </w:r>
          </w:p>
        </w:tc>
      </w:tr>
      <w:tr>
        <w:tc>
          <w:tcPr>
            <w:tcW w:type="dxa" w:w="1440"/>
            <w:vAlign w:val="center"/>
          </w:tcPr>
          <w:p>
            <w:pPr/>
            <w:r/>
            <w:r>
              <w:rPr>
                <w:rFonts w:ascii="Times New Roman" w:hAnsi="Times New Roman"/>
                <w:b w:val="0"/>
                <w:sz w:val="22"/>
              </w:rPr>
              <w:t>P_-</w:t>
            </w:r>
          </w:p>
        </w:tc>
        <w:tc>
          <w:tcPr>
            <w:tcW w:type="dxa" w:w="3168"/>
            <w:vAlign w:val="center"/>
          </w:tcPr>
          <w:p>
            <w:pPr/>
            <w:r/>
            <w:r>
              <w:rPr>
                <w:rFonts w:ascii="Times New Roman" w:hAnsi="Times New Roman"/>
                <w:b w:val="0"/>
                <w:sz w:val="22"/>
              </w:rPr>
              <w:t>Negative terminal paths</w:t>
            </w:r>
          </w:p>
        </w:tc>
        <w:tc>
          <w:tcPr>
            <w:tcW w:type="dxa" w:w="1440"/>
            <w:vAlign w:val="center"/>
          </w:tcPr>
          <w:p>
            <w:pPr/>
            <w:r/>
            <w:r>
              <w:rPr>
                <w:rFonts w:ascii="Times New Roman" w:hAnsi="Times New Roman"/>
                <w:b w:val="0"/>
                <w:sz w:val="22"/>
              </w:rPr>
              <w:t>set</w:t>
            </w:r>
          </w:p>
        </w:tc>
        <w:tc>
          <w:tcPr>
            <w:tcW w:type="dxa" w:w="4032"/>
            <w:vAlign w:val="center"/>
          </w:tcPr>
          <w:p>
            <w:pPr/>
            <w:r/>
            <w:r>
              <w:rPr>
                <w:rFonts w:ascii="Times New Roman" w:hAnsi="Times New Roman"/>
                <w:b w:val="0"/>
                <w:sz w:val="22"/>
              </w:rPr>
              <w:t>Paths ending in algorithm-negative leaves</w:t>
            </w:r>
          </w:p>
        </w:tc>
      </w:tr>
      <w:tr>
        <w:tc>
          <w:tcPr>
            <w:tcW w:type="dxa" w:w="1440"/>
            <w:vAlign w:val="center"/>
          </w:tcPr>
          <w:p>
            <w:pPr/>
            <w:r/>
            <w:r>
              <w:rPr>
                <w:rFonts w:ascii="Times New Roman" w:hAnsi="Times New Roman"/>
                <w:b w:val="0"/>
                <w:sz w:val="22"/>
              </w:rPr>
              <w:t>C(p)</w:t>
            </w:r>
          </w:p>
        </w:tc>
        <w:tc>
          <w:tcPr>
            <w:tcW w:type="dxa" w:w="3168"/>
            <w:vAlign w:val="center"/>
          </w:tcPr>
          <w:p>
            <w:pPr/>
            <w:r/>
            <w:r>
              <w:rPr>
                <w:rFonts w:ascii="Times New Roman" w:hAnsi="Times New Roman"/>
                <w:b w:val="0"/>
                <w:sz w:val="22"/>
              </w:rPr>
              <w:t>Algorithm decision at path p</w:t>
            </w:r>
          </w:p>
        </w:tc>
        <w:tc>
          <w:tcPr>
            <w:tcW w:type="dxa" w:w="1440"/>
            <w:vAlign w:val="center"/>
          </w:tcPr>
          <w:p>
            <w:pPr/>
            <w:r/>
            <w:r>
              <w:rPr>
                <w:rFonts w:ascii="Times New Roman" w:hAnsi="Times New Roman"/>
                <w:b w:val="0"/>
                <w:sz w:val="22"/>
              </w:rPr>
              <w:t>{0,1}</w:t>
            </w:r>
          </w:p>
        </w:tc>
        <w:tc>
          <w:tcPr>
            <w:tcW w:type="dxa" w:w="4032"/>
            <w:vAlign w:val="center"/>
          </w:tcPr>
          <w:p>
            <w:pPr/>
            <w:r/>
            <w:r>
              <w:rPr>
                <w:rFonts w:ascii="Times New Roman" w:hAnsi="Times New Roman"/>
                <w:b w:val="0"/>
                <w:sz w:val="22"/>
              </w:rPr>
              <w:t>1 = positive; 0 = negative</w:t>
            </w:r>
          </w:p>
        </w:tc>
      </w:tr>
      <w:tr>
        <w:tc>
          <w:tcPr>
            <w:tcW w:type="dxa" w:w="1440"/>
            <w:vAlign w:val="center"/>
          </w:tcPr>
          <w:p>
            <w:pPr/>
            <w:r/>
            <w:r>
              <w:rPr>
                <w:rFonts w:ascii="Times New Roman" w:hAnsi="Times New Roman"/>
                <w:b w:val="0"/>
                <w:sz w:val="22"/>
              </w:rPr>
              <w:t>t_i, c_i, S_i, k_i</w:t>
            </w:r>
          </w:p>
        </w:tc>
        <w:tc>
          <w:tcPr>
            <w:tcW w:type="dxa" w:w="3168"/>
            <w:vAlign w:val="center"/>
          </w:tcPr>
          <w:p>
            <w:pPr/>
            <w:r/>
            <w:r>
              <w:rPr>
                <w:rFonts w:ascii="Times New Roman" w:hAnsi="Times New Roman"/>
                <w:b w:val="0"/>
                <w:sz w:val="22"/>
              </w:rPr>
              <w:t>Operational attributes</w:t>
            </w:r>
          </w:p>
        </w:tc>
        <w:tc>
          <w:tcPr>
            <w:tcW w:type="dxa" w:w="1440"/>
            <w:vAlign w:val="center"/>
          </w:tcPr>
          <w:p>
            <w:pPr/>
            <w:r/>
            <w:r>
              <w:rPr>
                <w:rFonts w:ascii="Times New Roman" w:hAnsi="Times New Roman"/>
                <w:b w:val="0"/>
                <w:sz w:val="22"/>
              </w:rPr>
              <w:t>various</w:t>
            </w:r>
          </w:p>
        </w:tc>
        <w:tc>
          <w:tcPr>
            <w:tcW w:type="dxa" w:w="4032"/>
            <w:vAlign w:val="center"/>
          </w:tcPr>
          <w:p>
            <w:pPr/>
            <w:r/>
            <w:r>
              <w:rPr>
                <w:rFonts w:ascii="Times New Roman" w:hAnsi="Times New Roman"/>
                <w:b w:val="0"/>
                <w:sz w:val="22"/>
              </w:rPr>
              <w:t>Turnaround time, cost, sample set, skill</w:t>
            </w:r>
          </w:p>
        </w:tc>
      </w:tr>
    </w:tbl>
    <w:p/>
    <w:p>
      <w:pPr/>
      <w:r>
        <w:t>Two scope statements are important. First, the framework is disease-agnostic. It applies equally to infectious diseases, cancer screening, acute cardiovascular rule-out pathways, maternal-fetal triage, or any other setting in which multiple diagnostic steps are combined. Second, the framework is endpoint-agnostic. If a study reports pathway sensitivity and specificity, those are valid targets for external validation. If instead a study reports failure rate, negative predictive value, imaging avoided, or invasive procedures avoided, those become the validation targets. This distinction is critical for the proper interpretation of the benchmark cases.</w:t>
      </w:r>
    </w:p>
    <w:p>
      <w:pPr>
        <w:pStyle w:val="Heading1"/>
      </w:pPr>
      <w:r>
        <w:t>3. Path-based formulation of pathway sensitivity and specificity</w:t>
      </w:r>
    </w:p>
    <w:p>
      <w:pPr/>
      <w:r>
        <w:t>The central object in this framework is the terminal path. Let p denote a path from the root of the diagnostic tree to a terminal leaf. Because the pathway is deterministic once the sequence of observed test outcomes is fixed, each patient trajectory maps to exactly one terminal path. The set of terminal paths therefore forms a measurable partition of the sample space after conditioning on the realized test outcomes.</w:t>
      </w:r>
    </w:p>
    <w:p>
      <w:pPr/>
      <w:r>
        <w:t>Proposition 1. For any finite deterministic diagnostic tree, aggregate pathway sensitivity equals the sum of the conditional probabilities of all positive terminal paths among diseased individuals, and aggregate pathway specificity equals the sum of the conditional probabilities of all negative terminal paths among non-diseased individuals.</w:t>
      </w:r>
    </w:p>
    <w:p>
      <w:pPr>
        <w:pStyle w:val="Equation"/>
      </w:pPr>
      <w:r>
        <w:t>Se_alg = P(C = 1 | D = 1) = Σ_{p ∈ P_+} P(p | D = 1)      (1)</w:t>
      </w:r>
    </w:p>
    <w:p>
      <w:pPr>
        <w:pStyle w:val="Equation"/>
      </w:pPr>
      <w:r>
        <w:t>Sp_alg = P(C = 0 | D = 0) = Σ_{p ∈ P_-} P(p | D = 0)      (2)</w:t>
      </w:r>
    </w:p>
    <w:p>
      <w:pPr/>
      <w:r>
        <w:t>Proof. The event {C = 1} can occur only through one of the mutually exclusive positive terminal paths. Since the positive terminal paths partition the event space leading to an algorithm-positive classification, conditional additivity of probability yields Equation (1). The argument for specificity is identical after replacing the event {C = 1} with {C = 0} and conditioning on D = 0.</w:t>
      </w:r>
    </w:p>
    <w:p>
      <w:pPr/>
      <w:r>
        <w:t>The relevance of Proposition 1 is not merely formal. It implies that the correct problem is always the same, regardless of pathway complexity. One need only enumerate terminal paths and compute the conditional probability of each path under D = 1 and D = 0. The apparent diversity of diagnostic pathway types is therefore reduced to a single probabilistic task.</w:t>
      </w:r>
    </w:p>
    <w:p>
      <w:pPr/>
      <w:r>
        <w:t>Let p = (T_{i1} = r1, T_{i2} = r2, ..., T_{im} = rm) denote a path characterized by m observed test outcomes. In the most general case, with arbitrary conditional dependence and conditional routing, the path probability is:</w:t>
      </w:r>
    </w:p>
    <w:p>
      <w:pPr>
        <w:pStyle w:val="Equation"/>
      </w:pPr>
      <w:r>
        <w:t>P(p | D = d) = Π_{j=1}^{m} P(T_{ij} = r_j | T_{i1}=r1, ..., T_{i,j-1}=r_{j-1}, D = d)      (3)</w:t>
      </w:r>
    </w:p>
    <w:p>
      <w:pPr/>
      <w:r>
        <w:t>Equation (3) is the general path factorization. It does not assume independence. It is simply the chain rule of probability applied within the disease-positive or disease-negative stratum. Once this expression is accepted, the usual series and parallel formulas appear as special cases rather than starting points.</w:t>
      </w:r>
    </w:p>
    <w:p>
      <w:pPr/>
      <w:r>
        <w:t>Corollary 1. If all test outcomes are conditionally independent given disease status, then Equation (3) simplifies to the product of the marginal test-outcome probabilities within the relevant disease stratum.</w:t>
      </w:r>
    </w:p>
    <w:p>
      <w:pPr>
        <w:pStyle w:val="Equation"/>
      </w:pPr>
      <w:r>
        <w:t>P(p | D = d) = Π_{j=1}^{m} P(T_{ij} = r_j | D = d)      (4)</w:t>
      </w:r>
    </w:p>
    <w:p>
      <w:pPr/>
      <w:r>
        <w:t>Under this special case, classical results follow immediately. For a two-test serial pathway that is positive only when both tests are positive, the pathway sensitivity and specificity are:</w:t>
      </w:r>
    </w:p>
    <w:p>
      <w:pPr>
        <w:pStyle w:val="Equation"/>
      </w:pPr>
      <w:r>
        <w:t>Se_series = Se_1 · Se_2      (5)</w:t>
      </w:r>
    </w:p>
    <w:p>
      <w:pPr>
        <w:pStyle w:val="Equation"/>
      </w:pPr>
      <w:r>
        <w:t>Sp_series = 1 - (1 - Sp_1)(1 - Sp_2)      (6)</w:t>
      </w:r>
    </w:p>
    <w:p>
      <w:pPr/>
      <w:r>
        <w:t>For a two-test parallel pathway that is positive if either test is positive, one obtains:</w:t>
      </w:r>
    </w:p>
    <w:p>
      <w:pPr>
        <w:pStyle w:val="Equation"/>
      </w:pPr>
      <w:r>
        <w:t>Se_parallel = 1 - (1 - Se_1)(1 - Se_2)      (7)</w:t>
      </w:r>
    </w:p>
    <w:p>
      <w:pPr>
        <w:pStyle w:val="Equation"/>
      </w:pPr>
      <w:r>
        <w:t>Sp_parallel = Sp_1 · Sp_2      (8)</w:t>
      </w:r>
    </w:p>
    <w:p>
      <w:pPr/>
      <w:r>
        <w:t>These formulas are correct and useful only when the independence condition is substantively justified. The importance of this qualifier should not be understated. In many empirical pathways, particularly those based on related biomarkers, related image patterns, or shared specimen quality, the independence assumption is a convenience rather than a defensible data-generating model [1,2]. The path-based formulation is therefore not a luxury. It is the general formulation from which simplified rules may be recovered when appropriate.</w:t>
      </w:r>
    </w:p>
    <w:p>
      <w:pPr/>
      <w:r>
        <w:t>A second virtue of the path-based approach is that it immediately handles branching logic that cannot be expressed by a single closed-form series or parallel equation. Consider a pathway in which tests A and B are run in parallel, but discordant outcomes trigger a third referee test C. There are four joint outcomes for A and B. If ++ is classified positive, -- negative, and discordant results proceed to C, then the positive terminal set contains the ++ branch plus any discordant branch followed by C+, while the negative terminal set contains the -- branch plus any discordant branch followed by C-. Equations (1) to (3) remain fully valid without additional ad hoc formulas.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center"/>
          </w:tcPr>
          <w:p>
            <w:pPr/>
            <w:r/>
            <w:r>
              <w:rPr>
                <w:rFonts w:ascii="Times New Roman" w:hAnsi="Times New Roman"/>
                <w:b/>
                <w:sz w:val="22"/>
              </w:rPr>
              <w:t>Structure</w:t>
            </w:r>
          </w:p>
        </w:tc>
        <w:tc>
          <w:tcPr>
            <w:tcW w:type="dxa" w:w="3168"/>
            <w:vAlign w:val="center"/>
          </w:tcPr>
          <w:p>
            <w:pPr/>
            <w:r/>
            <w:r>
              <w:rPr>
                <w:rFonts w:ascii="Times New Roman" w:hAnsi="Times New Roman"/>
                <w:b/>
                <w:sz w:val="22"/>
              </w:rPr>
              <w:t>Decision rule</w:t>
            </w:r>
          </w:p>
        </w:tc>
        <w:tc>
          <w:tcPr>
            <w:tcW w:type="dxa" w:w="3168"/>
            <w:vAlign w:val="center"/>
          </w:tcPr>
          <w:p>
            <w:pPr/>
            <w:r/>
            <w:r>
              <w:rPr>
                <w:rFonts w:ascii="Times New Roman" w:hAnsi="Times New Roman"/>
                <w:b/>
                <w:sz w:val="22"/>
              </w:rPr>
              <w:t>Sensitivity under conditional independence</w:t>
            </w:r>
          </w:p>
        </w:tc>
        <w:tc>
          <w:tcPr>
            <w:tcW w:type="dxa" w:w="3168"/>
            <w:vAlign w:val="center"/>
          </w:tcPr>
          <w:p>
            <w:pPr/>
            <w:r/>
            <w:r>
              <w:rPr>
                <w:rFonts w:ascii="Times New Roman" w:hAnsi="Times New Roman"/>
                <w:b/>
                <w:sz w:val="22"/>
              </w:rPr>
              <w:t>Specificity under conditional independence</w:t>
            </w:r>
          </w:p>
        </w:tc>
      </w:tr>
      <w:tr>
        <w:tc>
          <w:tcPr>
            <w:tcW w:type="dxa" w:w="1728"/>
            <w:vAlign w:val="center"/>
          </w:tcPr>
          <w:p>
            <w:pPr/>
            <w:r/>
            <w:r>
              <w:rPr>
                <w:rFonts w:ascii="Times New Roman" w:hAnsi="Times New Roman"/>
                <w:b w:val="0"/>
                <w:sz w:val="22"/>
              </w:rPr>
              <w:t>Serial</w:t>
            </w:r>
          </w:p>
        </w:tc>
        <w:tc>
          <w:tcPr>
            <w:tcW w:type="dxa" w:w="3168"/>
            <w:vAlign w:val="center"/>
          </w:tcPr>
          <w:p>
            <w:pPr/>
            <w:r/>
            <w:r>
              <w:rPr>
                <w:rFonts w:ascii="Times New Roman" w:hAnsi="Times New Roman"/>
                <w:b w:val="0"/>
                <w:sz w:val="22"/>
              </w:rPr>
              <w:t>Positive only if all tests are positive</w:t>
            </w:r>
          </w:p>
        </w:tc>
        <w:tc>
          <w:tcPr>
            <w:tcW w:type="dxa" w:w="3168"/>
            <w:vAlign w:val="center"/>
          </w:tcPr>
          <w:p>
            <w:pPr/>
            <w:r/>
            <w:r>
              <w:rPr>
                <w:rFonts w:ascii="Times New Roman" w:hAnsi="Times New Roman"/>
                <w:b w:val="0"/>
                <w:sz w:val="22"/>
              </w:rPr>
              <w:t>Π Se_i</w:t>
            </w:r>
          </w:p>
        </w:tc>
        <w:tc>
          <w:tcPr>
            <w:tcW w:type="dxa" w:w="3168"/>
            <w:vAlign w:val="center"/>
          </w:tcPr>
          <w:p>
            <w:pPr/>
            <w:r/>
            <w:r>
              <w:rPr>
                <w:rFonts w:ascii="Times New Roman" w:hAnsi="Times New Roman"/>
                <w:b w:val="0"/>
                <w:sz w:val="22"/>
              </w:rPr>
              <w:t>1 - Π (1 - Sp_i)</w:t>
            </w:r>
          </w:p>
        </w:tc>
      </w:tr>
      <w:tr>
        <w:tc>
          <w:tcPr>
            <w:tcW w:type="dxa" w:w="1728"/>
            <w:vAlign w:val="center"/>
          </w:tcPr>
          <w:p>
            <w:pPr/>
            <w:r/>
            <w:r>
              <w:rPr>
                <w:rFonts w:ascii="Times New Roman" w:hAnsi="Times New Roman"/>
                <w:b w:val="0"/>
                <w:sz w:val="22"/>
              </w:rPr>
              <w:t>Parallel</w:t>
            </w:r>
          </w:p>
        </w:tc>
        <w:tc>
          <w:tcPr>
            <w:tcW w:type="dxa" w:w="3168"/>
            <w:vAlign w:val="center"/>
          </w:tcPr>
          <w:p>
            <w:pPr/>
            <w:r/>
            <w:r>
              <w:rPr>
                <w:rFonts w:ascii="Times New Roman" w:hAnsi="Times New Roman"/>
                <w:b w:val="0"/>
                <w:sz w:val="22"/>
              </w:rPr>
              <w:t>Positive if any test is positive</w:t>
            </w:r>
          </w:p>
        </w:tc>
        <w:tc>
          <w:tcPr>
            <w:tcW w:type="dxa" w:w="3168"/>
            <w:vAlign w:val="center"/>
          </w:tcPr>
          <w:p>
            <w:pPr/>
            <w:r/>
            <w:r>
              <w:rPr>
                <w:rFonts w:ascii="Times New Roman" w:hAnsi="Times New Roman"/>
                <w:b w:val="0"/>
                <w:sz w:val="22"/>
              </w:rPr>
              <w:t>1 - Π (1 - Se_i)</w:t>
            </w:r>
          </w:p>
        </w:tc>
        <w:tc>
          <w:tcPr>
            <w:tcW w:type="dxa" w:w="3168"/>
            <w:vAlign w:val="center"/>
          </w:tcPr>
          <w:p>
            <w:pPr/>
            <w:r/>
            <w:r>
              <w:rPr>
                <w:rFonts w:ascii="Times New Roman" w:hAnsi="Times New Roman"/>
                <w:b w:val="0"/>
                <w:sz w:val="22"/>
              </w:rPr>
              <w:t>Π Sp_i</w:t>
            </w:r>
          </w:p>
        </w:tc>
      </w:tr>
      <w:tr>
        <w:tc>
          <w:tcPr>
            <w:tcW w:type="dxa" w:w="1728"/>
            <w:vAlign w:val="center"/>
          </w:tcPr>
          <w:p>
            <w:pPr/>
            <w:r/>
            <w:r>
              <w:rPr>
                <w:rFonts w:ascii="Times New Roman" w:hAnsi="Times New Roman"/>
                <w:b w:val="0"/>
                <w:sz w:val="22"/>
              </w:rPr>
              <w:t>Discordant referee</w:t>
            </w:r>
          </w:p>
        </w:tc>
        <w:tc>
          <w:tcPr>
            <w:tcW w:type="dxa" w:w="3168"/>
            <w:vAlign w:val="center"/>
          </w:tcPr>
          <w:p>
            <w:pPr/>
            <w:r/>
            <w:r>
              <w:rPr>
                <w:rFonts w:ascii="Times New Roman" w:hAnsi="Times New Roman"/>
                <w:b w:val="0"/>
                <w:sz w:val="22"/>
              </w:rPr>
              <w:t>Discordant first-line results trigger additional test</w:t>
            </w:r>
          </w:p>
        </w:tc>
        <w:tc>
          <w:tcPr>
            <w:tcW w:type="dxa" w:w="3168"/>
            <w:vAlign w:val="center"/>
          </w:tcPr>
          <w:p>
            <w:pPr/>
            <w:r/>
            <w:r>
              <w:rPr>
                <w:rFonts w:ascii="Times New Roman" w:hAnsi="Times New Roman"/>
                <w:b w:val="0"/>
                <w:sz w:val="22"/>
              </w:rPr>
              <w:t>No single closed form in general</w:t>
            </w:r>
          </w:p>
        </w:tc>
        <w:tc>
          <w:tcPr>
            <w:tcW w:type="dxa" w:w="3168"/>
            <w:vAlign w:val="center"/>
          </w:tcPr>
          <w:p>
            <w:pPr/>
            <w:r/>
            <w:r>
              <w:rPr>
                <w:rFonts w:ascii="Times New Roman" w:hAnsi="Times New Roman"/>
                <w:b w:val="0"/>
                <w:sz w:val="22"/>
              </w:rPr>
              <w:t>Path summation required</w:t>
            </w:r>
          </w:p>
        </w:tc>
      </w:tr>
      <w:tr>
        <w:tc>
          <w:tcPr>
            <w:tcW w:type="dxa" w:w="1728"/>
            <w:vAlign w:val="center"/>
          </w:tcPr>
          <w:p>
            <w:pPr/>
            <w:r/>
            <w:r>
              <w:rPr>
                <w:rFonts w:ascii="Times New Roman" w:hAnsi="Times New Roman"/>
                <w:b w:val="0"/>
                <w:sz w:val="22"/>
              </w:rPr>
              <w:t>Risk-stratified escalation</w:t>
            </w:r>
          </w:p>
        </w:tc>
        <w:tc>
          <w:tcPr>
            <w:tcW w:type="dxa" w:w="3168"/>
            <w:vAlign w:val="center"/>
          </w:tcPr>
          <w:p>
            <w:pPr/>
            <w:r/>
            <w:r>
              <w:rPr>
                <w:rFonts w:ascii="Times New Roman" w:hAnsi="Times New Roman"/>
                <w:b w:val="0"/>
                <w:sz w:val="22"/>
              </w:rPr>
              <w:t>Further testing only in selected branches</w:t>
            </w:r>
          </w:p>
        </w:tc>
        <w:tc>
          <w:tcPr>
            <w:tcW w:type="dxa" w:w="3168"/>
            <w:vAlign w:val="center"/>
          </w:tcPr>
          <w:p>
            <w:pPr/>
            <w:r/>
            <w:r>
              <w:rPr>
                <w:rFonts w:ascii="Times New Roman" w:hAnsi="Times New Roman"/>
                <w:b w:val="0"/>
                <w:sz w:val="22"/>
              </w:rPr>
              <w:t>Path summation required</w:t>
            </w:r>
          </w:p>
        </w:tc>
        <w:tc>
          <w:tcPr>
            <w:tcW w:type="dxa" w:w="3168"/>
            <w:vAlign w:val="center"/>
          </w:tcPr>
          <w:p>
            <w:pPr/>
            <w:r/>
            <w:r>
              <w:rPr>
                <w:rFonts w:ascii="Times New Roman" w:hAnsi="Times New Roman"/>
                <w:b w:val="0"/>
                <w:sz w:val="22"/>
              </w:rPr>
              <w:t>Path summation required</w:t>
            </w:r>
          </w:p>
        </w:tc>
      </w:tr>
    </w:tbl>
    <w:p/>
    <w:p>
      <w:pPr>
        <w:pStyle w:val="Heading1"/>
      </w:pPr>
      <w:r>
        <w:t>4. Conditional dependence and its formal treatment</w:t>
      </w:r>
    </w:p>
    <w:p>
      <w:pPr/>
      <w:r>
        <w:t>Conditional dependence is the principal statistical issue that distinguishes serious pathway modeling from heuristic combination of sensitivities and specificities. Two tests are conditionally independent given disease status if, after fixing D, the result of one test provides no information about the other. In diagnostics this is often false. Two serological assays may depend on the same antibody response. Two molecular tests may depend on pathogen burden or sample adequacy. Two image interpretations may be correlated through a shared radiographic phenotype or shared observer tendencies. Even a biomarker and a clinical risk score can remain correlated after conditioning on disease status if both are driven by severity.</w:t>
      </w:r>
    </w:p>
    <w:p>
      <w:pPr/>
      <w:r>
        <w:t>The methodological literature is clear on the consequences. If conditional dependence exists and independence is assumed, latent class and pathway-level estimates of sensitivity and specificity become biased, and interval coverage deteriorates [1]. Bayesian latent class models with explicit dependence structures have therefore become standard when multiple imperfect tests are used in the absence of a perfect gold standard [1-3]. For OptiDx this does not imply that all pathway evaluations must become fully Bayesian. It does imply that the data structure and algorithm must allow dependence to be represented whenever evidence permits.</w:t>
      </w:r>
    </w:p>
    <w:p>
      <w:pPr/>
      <w:r>
        <w:t>For two binary tests T1 and T2 within disease class d, a convenient parameterization uses the joint probability of both tests being positive. Let p1d = P(T1 = 1 | D = d) and p2d = P(T2 = 1 | D = d). Define θ_d = P(T1 = 1, T2 = 1 | D = d). The full conditional joint table is then:</w:t>
      </w:r>
    </w:p>
    <w:p>
      <w:pPr>
        <w:pStyle w:val="Equation"/>
      </w:pPr>
      <w:r>
        <w:t>P(++, d) = θ_d,   P(+- | d) = p1d - θ_d,   P(-+ | d) = p2d - θ_d,   P(-- | d) = 1 - p1d - p2d + θ_d      (9)</w:t>
      </w:r>
    </w:p>
    <w:p>
      <w:pPr/>
      <w:r>
        <w:t>Independence is the special case θ_d = p1d p2d. More generally, one may define a residual covariance parameter δ_d such that:</w:t>
      </w:r>
    </w:p>
    <w:p>
      <w:pPr>
        <w:pStyle w:val="Equation"/>
      </w:pPr>
      <w:r>
        <w:t>θ_d = p1d p2d + δ_d      (10)</w:t>
      </w:r>
    </w:p>
    <w:p>
      <w:pPr/>
      <w:r>
        <w:t>The feasible range of δ_d is bounded by the requirement that all four cell probabilities remain between zero and one. A positive δ_d indicates positive dependence in the positive-positive cell, while a negative δ_d indicates less overlap than predicted under independence. In pathway terms, this matters because the gain from parallel testing or the penalty from serial testing can be materially overestimated or underestimated depending on the sign and magnitude of δ_d.</w:t>
      </w:r>
    </w:p>
    <w:p>
      <w:pPr/>
      <w:r>
        <w:t>The HCC surveillance benchmark provides a concrete illustration. In one cohort summarized in the smart sequencing review, ultrasound alone had sensitivity 56.3 percent and specificity 100 percent, AFP alone had sensitivity 62.5 percent and specificity 94.5 percent, and the combined ultrasound-plus-AFP pathway achieved sensitivity 89.1 percent and specificity 94.5 percent. Under conditional independence, the expected sensitivity of an OR rule would be 1 - (1 - 0.563)(1 - 0.625) = 0.836. This underestimates the observed combined sensitivity by approximately 5.5 percentage points. The implied overlap among true positives is θ_1 = 0.563 + 0.625 - 0.891 = 0.297, whereas independence would imply 0.352. The negative residual dependence in the positive class explains why the combined pathway performs better than the naive independent OR calculation would suggest. This benchmark therefore demonstrates, with real numbers, why dependence modeling is not optional.</w:t>
      </w:r>
    </w:p>
    <w:p>
      <w:pPr/>
      <w:r>
        <w:t>When full joint tables are unavailable, conditional factorization offers a second level of generality. For tests ordered as T1, T2, ..., Tk:</w:t>
      </w:r>
    </w:p>
    <w:p>
      <w:pPr>
        <w:pStyle w:val="Equation"/>
      </w:pPr>
      <w:r>
        <w:t>P(T1, T2, ..., Tk | D = d) = P(T1 | D = d) · Π_{i=2}^{k} P(T_i | T1, ..., T_{i-1}, D = d)      (11)</w:t>
      </w:r>
    </w:p>
    <w:p>
      <w:pPr/>
      <w:r>
        <w:t>Conditional probability tables can often be estimated from paired data even when higher-dimensional joint tables are sparse. This is also a natural representation for branching pathways, because a later conditional probability is required only in branches where the later test is actually performed.</w:t>
      </w:r>
    </w:p>
    <w:p>
      <w:pPr/>
      <w:r>
        <w:t>When no gold standard exists, the framework must accommodate latent class models. Let the unobserved disease state D follow a Bernoulli distribution with prevalence π. Observed test patterns t = (t1, ..., tk) arise according to:</w:t>
      </w:r>
    </w:p>
    <w:p>
      <w:pPr>
        <w:pStyle w:val="Equation"/>
      </w:pPr>
      <w:r>
        <w:t>P(T = t) = Σ_{d ∈ {0,1}} P(D = d) · P(T = t | D = d)      (12)</w:t>
      </w:r>
    </w:p>
    <w:p>
      <w:pPr/>
      <w:r>
        <w:t>If P(T = t | D = d) is parameterized under conditional independence, Equation (12) yields the classical Hui-Walter family of models. More general Bayesian latent class models relax this by introducing random effects or covariance terms between tests within the disease-positive and disease-negative classes [1-3]. Such models are especially relevant for infectious disease diagnostics and serology panels where no perfect reference exists.</w:t>
      </w:r>
    </w:p>
    <w:p>
      <w:pPr/>
      <w:r>
        <w:t>The framework therefore adopts a practical evidence hierarchy for dependence handling. At the top of the hierarchy are empirical pathway-level performance estimates from directly relevant studies. These should be used whenever the exact pathway has already been validated. The next level consists of joint probability tables for the specific combination of tests. If these are unavailable, conditional probability tables are used. Only in the absence of joint or conditional data should marginal sensitivity and specificity be combined under a conditional independence assumption. Even then, the result should be labelled as an approximation, and sensitivity analysis should vary the implied dependence structure rather than treating the estimate as fixed [1].</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fig3_dependence.png"/>
                    <pic:cNvPicPr/>
                  </pic:nvPicPr>
                  <pic:blipFill>
                    <a:blip r:embed="rId9"/>
                    <a:stretch>
                      <a:fillRect/>
                    </a:stretch>
                  </pic:blipFill>
                  <pic:spPr>
                    <a:xfrm>
                      <a:off x="0" y="0"/>
                      <a:ext cx="5943600" cy="3343275"/>
                    </a:xfrm>
                    <a:prstGeom prst="rect"/>
                  </pic:spPr>
                </pic:pic>
              </a:graphicData>
            </a:graphic>
          </wp:inline>
        </w:drawing>
      </w:r>
    </w:p>
    <w:p>
      <w:pPr>
        <w:jc w:val="center"/>
      </w:pPr>
      <w:r>
        <w:rPr>
          <w:rFonts w:ascii="Times New Roman" w:hAnsi="Times New Roman"/>
          <w:i/>
          <w:sz w:val="22"/>
        </w:rPr>
        <w:t>Figure 3. Residual factor U induces conditional dependence between tests even after conditioning on true disease state D.</w:t>
      </w:r>
    </w:p>
    <w:p>
      <w:pPr>
        <w:pStyle w:val="Heading1"/>
      </w:pPr>
      <w:r>
        <w:t>5. Extension from analytical accuracy to operational pathway performance</w:t>
      </w:r>
    </w:p>
    <w:p>
      <w:pPr/>
      <w:r>
        <w:t>A pathway engine intended for policy use or local implementation cannot stop at sensitivity and specificity. Diagnostic decisions are constrained by time, money, sample logistics, and workforce capability. OptiDx was proposed precisely to optimize across these dimensions, which means the mathematical specification must formalize them rather than treat them as annotations. In the present framework, operational quantities are defined path-wise and then aggregated in expectation using the same path probabilities that determine diagnostic performance.</w:t>
      </w:r>
    </w:p>
    <w:p>
      <w:pPr/>
      <w:r>
        <w:t>Let t_i denote the analytical or end-to-end turnaround time contributed by test i. If the tests in a path are sequential, the path turnaround time is additive. If multiple tests are ordered simultaneously in a parallel block, the time contribution of that block is the maximum of the component turnaround times plus any integration or reporting overhead. For a path p consisting of sequential nodes and possible parallel subnodes, TAT(p) is therefore computed deterministically from the graph structure and node attributes.</w:t>
      </w:r>
    </w:p>
    <w:p>
      <w:pPr>
        <w:pStyle w:val="Equation"/>
      </w:pPr>
      <w:r>
        <w:t>E[TAT | D = d] = Σ_p P(p | D = d) · TAT(p)      (13)</w:t>
      </w:r>
    </w:p>
    <w:p>
      <w:pPr>
        <w:pStyle w:val="Equation"/>
      </w:pPr>
      <w:r>
        <w:t>E[TAT] = π · E[TAT | D = 1] + (1 - π) · E[TAT | D = 0]      (14)</w:t>
      </w:r>
    </w:p>
    <w:p>
      <w:pPr/>
      <w:r>
        <w:t>Expected cost is defined analogously. Let c_i denote the per-patient cost of test i, inclusive of consumables and direct service delivery if desired. Then:</w:t>
      </w:r>
    </w:p>
    <w:p>
      <w:pPr>
        <w:pStyle w:val="Equation"/>
      </w:pPr>
      <w:r>
        <w:t>E[Cost | D = d] = Σ_p P(p | D = d) · Cost(p)      (15)</w:t>
      </w:r>
    </w:p>
    <w:p>
      <w:pPr/>
      <w:r>
        <w:t>The same formalism can be used for expected numbers of confirmatory procedures, imaging studies, or invasive interventions. If the operational endpoint of a validation study is a reduction in downstream computed tomography, colonoscopy, biopsy, or amniocentesis, the relevant path attribute is simply an indicator function for whether that downstream step occurs. The expected resource use then follows directly from Equation (15) after replacing cost with the relevant indicator.</w:t>
      </w:r>
    </w:p>
    <w:p>
      <w:pPr/>
      <w:r>
        <w:t>Sample burden is more naturally represented as a set than as a scalar. Let S_i denote the sample set required by test i, for example {blood}, {stool}, {nasal swab}, or {urine, blood}. The sample burden of a realized path is the union over the tests actually performed in that path. In practice, the most useful summary statistics are the set of all possible sample types required anywhere in the algorithm and the expected number of distinct sample collection events after accounting for specimen sharing. A related consideration is skill burden. Let k_i denote the minimum required skill level for test i on a locally defined ordinal scale. The skill requirement of path p is the maximum k_i among tests on that path. This provides a natural feasibility criterion for deployment in clinics with differing workforce capabilities.</w:t>
      </w:r>
    </w:p>
    <w:p>
      <w:pPr/>
      <w:r>
        <w:t>Predictive values should also be treated as pathway outputs rather than test-level afterthoughts. Once pathway sensitivity and specificity have been obtained, positive predictive value and negative predictive value follow for any target prevalence π:</w:t>
      </w:r>
    </w:p>
    <w:p>
      <w:pPr>
        <w:pStyle w:val="Equation"/>
      </w:pPr>
      <w:r>
        <w:t>PPV = [π · Se_alg] / [π · Se_alg + (1 - π) · (1 - Sp_alg)]      (16)</w:t>
      </w:r>
    </w:p>
    <w:p>
      <w:pPr>
        <w:pStyle w:val="Equation"/>
      </w:pPr>
      <w:r>
        <w:t>NPV = [(1 - π) · Sp_alg] / [(1 - π) · Sp_alg + π · (1 - Se_alg)]      (17)</w:t>
      </w:r>
    </w:p>
    <w:p>
      <w:pPr/>
      <w:r>
        <w:t>This prevalence dependency is critical when validating pathways whose literature reports NPV, PPV, or failure rate rather than intrinsic sensitivity or specificity. It is also central to the design rationale of several published smart pathways. HIV serial rapid testing algorithms, for example, were modified by the World Health Organization as positivity levels declined, precisely because the same assay sequence can yield different predictive values when prevalence changes. The OptiDx engine must therefore store or request the intended operating prevalence for any validation or optimization exercise in which predictive values matter.</w:t>
      </w:r>
    </w:p>
    <w:p>
      <w:pPr>
        <w:pStyle w:val="Heading1"/>
      </w:pPr>
      <w:r>
        <w:t>6. Optimization formulation and uncertainty propagation</w:t>
      </w:r>
    </w:p>
    <w:p>
      <w:pPr/>
      <w:r>
        <w:t>The probabilistic engine developed above evaluates a given pathway. Optimization requires an additional layer. Let A denote the set of candidate pathways that are feasible under the local menu of available tests and allowable pathway depth. For each pathway a ∈ A, define an outcome vector M(a) containing some or all of the following: sensitivity, specificity, PPV, NPV, expected turnaround time, expected cost, expected number of invasive procedures, sample burden, and required skill level. The optimization problem may then be posed either as constrained optimization or as multi-criteria ranking.</w:t>
      </w:r>
    </w:p>
    <w:p>
      <w:pPr/>
      <w:r>
        <w:t>In the constrained formulation, one defines minimum acceptable analytical and operational criteria and then selects the pathway that optimizes a chosen objective over the feasible set. For example, a program may require sensitivity of at least 0.95 and specificity of at least 0.90 while minimizing expected cost or expected turnaround time. Formally:</w:t>
      </w:r>
    </w:p>
    <w:p>
      <w:pPr>
        <w:pStyle w:val="Equation"/>
      </w:pPr>
      <w:r>
        <w:t>minimize_a  E[Cost(a)]  subject to  Se(a) ≥ s_min,  Sp(a) ≥ c_min,  Feasible(a) = 1      (18)</w:t>
      </w:r>
    </w:p>
    <w:p>
      <w:pPr/>
      <w:r>
        <w:t>This formulation is preferable whenever a clinical minimum must not be traded away. In other settings a weighted utility score may be more appropriate. Let U(a) = Σ_j w_j · g_j(M_j(a)), where g_j normalizes the j-th metric and w_j is a stakeholder-defined weight. This yields a multi-criteria decision analysis framework aligned with the original OptiDx concept. However, the strict academic position taken here is that weighted aggregation should be secondary to hard clinical constraints. It is rarely defensible to compensate a clinically unacceptable loss in sensitivity by gains in cost or speed.</w:t>
      </w:r>
    </w:p>
    <w:p>
      <w:pPr/>
      <w:r>
        <w:t>Uncertainty propagation is essential. Single-test sensitivities and specificities are estimates with sampling error. Joint probabilities and operational parameters may vary by site, prevalence, or threshold. A convenient implementation uses Beta distributions for marginal sensitivities and specificities and Dirichlet distributions for conditional joint tables. Let Se_i ~ Beta(α_i, β_i), Sp_i ~ Beta(γ_i, δ_i), and let joint cell probabilities follow a Dirichlet prior or posterior. Monte Carlo sampling from these distributions produces a distribution over pathway-level outputs. The model can therefore report not only point estimates but also uncertainty intervals and the probability that a pathway satisfies the user's minimum requirements.</w:t>
      </w:r>
    </w:p>
    <w:p>
      <w:pPr/>
      <w:r>
        <w:t>Sensitivity analysis should be mandatory when independence is assumed. If only marginal accuracies are known, the unknown dependence may be represented by varying the residual covariance parameter δ_d over its admissible range or over a narrower expert-defined interval. The resulting envelope over pathway-level sensitivity and specificity is often more informative than a single independence-based point estimate. For implementation in OptiDx this implies that the user interface should indicate whether a pathway estimate is exact, empirically calibrated, or dependence-sensitive.</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943600" cy="3343275"/>
                    </a:xfrm>
                    <a:prstGeom prst="rect"/>
                  </pic:spPr>
                </pic:pic>
              </a:graphicData>
            </a:graphic>
          </wp:inline>
        </w:drawing>
      </w:r>
    </w:p>
    <w:p>
      <w:pPr>
        <w:jc w:val="center"/>
      </w:pPr>
      <w:r>
        <w:rPr>
          <w:rFonts w:ascii="Times New Roman" w:hAnsi="Times New Roman"/>
          <w:i/>
          <w:sz w:val="22"/>
        </w:rPr>
        <w:t>Figure 1. Generic architecture of the OptiDx decision tree engine. Inputs are converted to a pathway representation, evaluated path-wise, and aggregated into analytical and operational outputs.</w:t>
      </w:r>
    </w:p>
    <w:p>
      <w:pPr>
        <w:pStyle w:val="Heading1"/>
      </w:pPr>
      <w:r>
        <w:t>7. Python implementation blueprint</w:t>
      </w:r>
    </w:p>
    <w:p>
      <w:pPr/>
      <w:r>
        <w:t>The mathematical framework is deliberately software-ready. A reference implementation can be organized around a small set of Python classes or dataclasses. A Test object stores diagnostic parameters and operational attributes. A JointTable object stores empirical probabilities for specified combinations of tests within disease-positive and disease-negative strata. A PathwayNode represents either a test node, a parallel block, a deterministic decision node, or a terminal leaf. A Pathway object stores the graph structure and optional metadata such as disease area, provenance of parameters, and validation status. Evaluation returns a MetricsResult object containing both analytical and operational outputs together with path-level traces.</w:t>
      </w:r>
    </w:p>
    <w:p>
      <w:pPr/>
      <w:r>
        <w:t>The simplest robust evaluator is recursive. Starting at the root node and a current state of accumulated observed outcomes, the evaluator determines the feasible branches from the current node, assigns conditional probabilities to each branch under D = 1 and D = 0, and recurses until a terminal leaf is reached. Terminal leaf probabilities are then summed according to Equations (1) and (2). Because many branches may share identical states downstream, memoization substantially reduces duplicate work.</w:t>
      </w:r>
    </w:p>
    <w:p>
      <w:pPr>
        <w:pStyle w:val="CodeBlock"/>
      </w:pPr>
      <w:r>
        <w:t>def evaluate(node, state, disease_state):</w:t>
      </w:r>
    </w:p>
    <w:p>
      <w:pPr>
        <w:pStyle w:val="CodeBlock"/>
      </w:pPr>
      <w:r>
        <w:t xml:space="preserve">    if node.is_leaf:</w:t>
      </w:r>
    </w:p>
    <w:p>
      <w:pPr>
        <w:pStyle w:val="CodeBlock"/>
      </w:pPr>
      <w:r>
        <w:t xml:space="preserve">        return {node.label: probability_of_state(state, disease_state)}</w:t>
      </w:r>
    </w:p>
    <w:p>
      <w:pPr>
        <w:pStyle w:val="CodeBlock"/>
      </w:pPr>
      <w:r/>
    </w:p>
    <w:p>
      <w:pPr>
        <w:pStyle w:val="CodeBlock"/>
      </w:pPr>
      <w:r>
        <w:t xml:space="preserve">    outcomes = branch_outcomes(node, state, disease_state)</w:t>
      </w:r>
    </w:p>
    <w:p>
      <w:pPr>
        <w:pStyle w:val="CodeBlock"/>
      </w:pPr>
      <w:r>
        <w:t xml:space="preserve">    totals = empty_metric_accumulator()</w:t>
      </w:r>
    </w:p>
    <w:p>
      <w:pPr>
        <w:pStyle w:val="CodeBlock"/>
      </w:pPr>
      <w:r/>
    </w:p>
    <w:p>
      <w:pPr>
        <w:pStyle w:val="CodeBlock"/>
      </w:pPr>
      <w:r>
        <w:t xml:space="preserve">    for outcome, prob in outcomes:</w:t>
      </w:r>
    </w:p>
    <w:p>
      <w:pPr>
        <w:pStyle w:val="CodeBlock"/>
      </w:pPr>
      <w:r>
        <w:t xml:space="preserve">        new_state = state.extend(outcome)</w:t>
      </w:r>
    </w:p>
    <w:p>
      <w:pPr>
        <w:pStyle w:val="CodeBlock"/>
      </w:pPr>
      <w:r>
        <w:t xml:space="preserve">        child = node.next_node(outcome, new_state)</w:t>
      </w:r>
    </w:p>
    <w:p>
      <w:pPr>
        <w:pStyle w:val="CodeBlock"/>
      </w:pPr>
      <w:r>
        <w:t xml:space="preserve">        child_result = evaluate(child, new_state, disease_state)</w:t>
      </w:r>
    </w:p>
    <w:p>
      <w:pPr>
        <w:pStyle w:val="CodeBlock"/>
      </w:pPr>
      <w:r>
        <w:t xml:space="preserve">        totals += prob * child_result</w:t>
      </w:r>
    </w:p>
    <w:p>
      <w:pPr>
        <w:pStyle w:val="CodeBlock"/>
      </w:pPr>
      <w:r/>
    </w:p>
    <w:p>
      <w:pPr>
        <w:pStyle w:val="CodeBlock"/>
      </w:pPr>
      <w:r>
        <w:t xml:space="preserve">    return totals</w:t>
      </w:r>
    </w:p>
    <w:p>
      <w:pPr/>
      <w:r>
        <w:t>A parallel node can be handled in one of two ways. The first is to enumerate the 2^k outcome combinations of k binary tests and assign each combination a joint or conditional probability. The second is to expand the parallel node into a small sub-tree with one branch per combination. The former is generally cleaner in code and closer to the mathematical formulation. Decision nodes require only deterministic routing based on the current state. This makes it easy to express rules such as "if both first-line tests are positive, stop and classify positive; if both are negative, stop and classify negative; if discordant, perform referee test C."</w:t>
      </w:r>
    </w:p>
    <w:p>
      <w:pPr/>
      <w:r>
        <w:t>A practical JSON representation follows the same logic. Each test may be referenced once in a test library and then invoked in one or more nodes. Node objects specify type, referenced tests, routing rules, and children. Joint probability tables are stored separately and linked to nodes or named combinations. The following minimal schema fragment is sufficient to represent most pathways:</w:t>
      </w:r>
    </w:p>
    <w:p>
      <w:pPr>
        <w:pStyle w:val="CodeBlock"/>
      </w:pPr>
      <w:r>
        <w:t>{</w:t>
      </w:r>
    </w:p>
    <w:p>
      <w:pPr>
        <w:pStyle w:val="CodeBlock"/>
      </w:pPr>
      <w:r>
        <w:t xml:space="preserve">  "tests": {</w:t>
      </w:r>
    </w:p>
    <w:p>
      <w:pPr>
        <w:pStyle w:val="CodeBlock"/>
      </w:pPr>
      <w:r>
        <w:t xml:space="preserve">    "A": {"sensitivity": 0.90, "specificity": 0.80, "tat": 1, "cost": 2},</w:t>
      </w:r>
    </w:p>
    <w:p>
      <w:pPr>
        <w:pStyle w:val="CodeBlock"/>
      </w:pPr>
      <w:r>
        <w:t xml:space="preserve">    "B": {"sensitivity": 0.95, "specificity": 0.90, "tat": 3, "cost": 8}</w:t>
      </w:r>
    </w:p>
    <w:p>
      <w:pPr>
        <w:pStyle w:val="CodeBlock"/>
      </w:pPr>
      <w:r>
        <w:t xml:space="preserve">  },</w:t>
      </w:r>
    </w:p>
    <w:p>
      <w:pPr>
        <w:pStyle w:val="CodeBlock"/>
      </w:pPr>
      <w:r>
        <w:t xml:space="preserve">  "root": {</w:t>
      </w:r>
    </w:p>
    <w:p>
      <w:pPr>
        <w:pStyle w:val="CodeBlock"/>
      </w:pPr>
      <w:r>
        <w:t xml:space="preserve">    "type": "test",</w:t>
      </w:r>
    </w:p>
    <w:p>
      <w:pPr>
        <w:pStyle w:val="CodeBlock"/>
      </w:pPr>
      <w:r>
        <w:t xml:space="preserve">    "test": "A",</w:t>
      </w:r>
    </w:p>
    <w:p>
      <w:pPr>
        <w:pStyle w:val="CodeBlock"/>
      </w:pPr>
      <w:r>
        <w:t xml:space="preserve">    "children": {</w:t>
      </w:r>
    </w:p>
    <w:p>
      <w:pPr>
        <w:pStyle w:val="CodeBlock"/>
      </w:pPr>
      <w:r>
        <w:t xml:space="preserve">      "positive": {"type": "test", "test": "B", "children": {"positive": "leaf_pos", "negative": "leaf_neg"}},</w:t>
      </w:r>
    </w:p>
    <w:p>
      <w:pPr>
        <w:pStyle w:val="CodeBlock"/>
      </w:pPr>
      <w:r>
        <w:t xml:space="preserve">      "negative": "leaf_neg"</w:t>
      </w:r>
    </w:p>
    <w:p>
      <w:pPr>
        <w:pStyle w:val="CodeBlock"/>
      </w:pPr>
      <w:r>
        <w:t xml:space="preserve">    }</w:t>
      </w:r>
    </w:p>
    <w:p>
      <w:pPr>
        <w:pStyle w:val="CodeBlock"/>
      </w:pPr>
      <w:r>
        <w:t xml:space="preserve">  }</w:t>
      </w:r>
    </w:p>
    <w:p>
      <w:pPr>
        <w:pStyle w:val="CodeBlock"/>
      </w:pPr>
      <w:r>
        <w:t>}</w:t>
      </w:r>
    </w:p>
    <w:p>
      <w:pPr/>
      <w:r>
        <w:t>Computational complexity is exponential in the worst case if all tests can appear in all branches and all outcomes are expanded explicitly. In realistic clinical pathways, however, depth is usually modest, many branches terminate early, and dominated candidate pathways can be pruned during optimization. Memoization on the tuple (node, state, disease_state) is effective because many subtrees recur. For the optimization phase, additional pruning rules are valuable. Pathways can be discarded if even their optimistic upper bound on sensitivity or lower bound on cost cannot improve the current best feasible solution.</w:t>
      </w:r>
    </w:p>
    <w:p>
      <w:pPr/>
      <w:r>
        <w:t>Reproducibility requires explicit provenance metadata. Every test parameter or joint table used by the engine should carry a source identifier, date, threshold, target condition, and any subgroup restrictions. This is especially important for external validation because the pathway engine must distinguish between exact literature reproduction, threshold-adjusted approximation, and exploratory scenario analysis.</w:t>
      </w:r>
    </w:p>
    <w:p>
      <w:pPr>
        <w:pStyle w:val="Heading1"/>
      </w:pPr>
      <w:r>
        <w:t>8. Internal mathematical verification with worked examples</w:t>
      </w:r>
    </w:p>
    <w:p>
      <w:pPr/>
      <w:r>
        <w:t>Before any external benchmarking, the engine should be verified against worked examples whose expected values can be calculated analytically. Internal verification demonstrates that the implementation correctly enumerates branches, multiplies conditional probabilities, and aggregates path-wise operational attributes. Three worked examples are sufficient to test the core logic: a serial confirmatory pathway under independence, a dependence-aware parallel pathway defined by a joint table, and a mixed pathway with a discordant referee branch.</w:t>
      </w:r>
    </w:p>
    <w:p>
      <w:pPr>
        <w:pStyle w:val="Heading2"/>
      </w:pPr>
      <w:r>
        <w:t>8.1 Example A. Serial confirmatory pathway under conditional independence</w:t>
      </w:r>
    </w:p>
    <w:p>
      <w:pPr/>
      <w:r>
        <w:t>Consider test A followed by confirmatory test B only if A is positive. The final algorithm is positive only when both tests are positive. Let Se_A = 0.90, Sp_A = 0.80, Se_B = 0.95, and Sp_B = 0.90. Suppose further that test A requires blood, takes one time unit, costs 2 monetary units, and can be performed at skill level 1, while test B requires a swab, takes three time units, costs 8 monetary units, and requires skill level 3.</w:t>
      </w:r>
    </w:p>
    <w:p>
      <w:pPr/>
      <w:r>
        <w:t>Under conditional independence, the analytic pathway metrics are immediate: Se_alg = 0.90 × 0.95 = 0.855 and Sp_alg = 1 - (0.20 × 0.10) = 0.98. The path-level quantities are also useful because they verify operational aggregation. Diseased individuals proceed down the A+ branch with probability 0.90, then split into A+B+ with probability 0.855 and A+B- with probability 0.045; the A- path has probability 0.10. Non-diseased individuals traverse A+B+ with probability 0.02, A+B- with probability 0.18, and A- with probability 0.80.</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vAlign w:val="center"/>
          </w:tcPr>
          <w:p>
            <w:pPr/>
            <w:r/>
            <w:r>
              <w:rPr>
                <w:rFonts w:ascii="Times New Roman" w:hAnsi="Times New Roman"/>
                <w:b/>
                <w:sz w:val="22"/>
              </w:rPr>
              <w:t>Path</w:t>
            </w:r>
          </w:p>
        </w:tc>
        <w:tc>
          <w:tcPr>
            <w:tcW w:type="dxa" w:w="1440"/>
            <w:vAlign w:val="center"/>
          </w:tcPr>
          <w:p>
            <w:pPr/>
            <w:r/>
            <w:r>
              <w:rPr>
                <w:rFonts w:ascii="Times New Roman" w:hAnsi="Times New Roman"/>
                <w:b/>
                <w:sz w:val="22"/>
              </w:rPr>
              <w:t>P(path | D=1)</w:t>
            </w:r>
          </w:p>
        </w:tc>
        <w:tc>
          <w:tcPr>
            <w:tcW w:type="dxa" w:w="1440"/>
            <w:vAlign w:val="center"/>
          </w:tcPr>
          <w:p>
            <w:pPr/>
            <w:r/>
            <w:r>
              <w:rPr>
                <w:rFonts w:ascii="Times New Roman" w:hAnsi="Times New Roman"/>
                <w:b/>
                <w:sz w:val="22"/>
              </w:rPr>
              <w:t>P(path | D=0)</w:t>
            </w:r>
          </w:p>
        </w:tc>
        <w:tc>
          <w:tcPr>
            <w:tcW w:type="dxa" w:w="1152"/>
            <w:vAlign w:val="center"/>
          </w:tcPr>
          <w:p>
            <w:pPr/>
            <w:r/>
            <w:r>
              <w:rPr>
                <w:rFonts w:ascii="Times New Roman" w:hAnsi="Times New Roman"/>
                <w:b/>
                <w:sz w:val="22"/>
              </w:rPr>
              <w:t>TAT(path)</w:t>
            </w:r>
          </w:p>
        </w:tc>
        <w:tc>
          <w:tcPr>
            <w:tcW w:type="dxa" w:w="1152"/>
            <w:vAlign w:val="center"/>
          </w:tcPr>
          <w:p>
            <w:pPr/>
            <w:r/>
            <w:r>
              <w:rPr>
                <w:rFonts w:ascii="Times New Roman" w:hAnsi="Times New Roman"/>
                <w:b/>
                <w:sz w:val="22"/>
              </w:rPr>
              <w:t>Cost(path)</w:t>
            </w:r>
          </w:p>
        </w:tc>
        <w:tc>
          <w:tcPr>
            <w:tcW w:type="dxa" w:w="2304"/>
            <w:vAlign w:val="center"/>
          </w:tcPr>
          <w:p>
            <w:pPr/>
            <w:r/>
            <w:r>
              <w:rPr>
                <w:rFonts w:ascii="Times New Roman" w:hAnsi="Times New Roman"/>
                <w:b/>
                <w:sz w:val="22"/>
              </w:rPr>
              <w:t>Samples</w:t>
            </w:r>
          </w:p>
        </w:tc>
        <w:tc>
          <w:tcPr>
            <w:tcW w:type="dxa" w:w="1008"/>
            <w:vAlign w:val="center"/>
          </w:tcPr>
          <w:p>
            <w:pPr/>
            <w:r/>
            <w:r>
              <w:rPr>
                <w:rFonts w:ascii="Times New Roman" w:hAnsi="Times New Roman"/>
                <w:b/>
                <w:sz w:val="22"/>
              </w:rPr>
              <w:t>Skill</w:t>
            </w:r>
          </w:p>
        </w:tc>
      </w:tr>
      <w:tr>
        <w:tc>
          <w:tcPr>
            <w:tcW w:type="dxa" w:w="2592"/>
            <w:vAlign w:val="center"/>
          </w:tcPr>
          <w:p>
            <w:pPr/>
            <w:r/>
            <w:r>
              <w:rPr>
                <w:rFonts w:ascii="Times New Roman" w:hAnsi="Times New Roman"/>
                <w:b w:val="0"/>
                <w:sz w:val="22"/>
              </w:rPr>
              <w:t>A+, B+ -&gt; positive</w:t>
            </w:r>
          </w:p>
        </w:tc>
        <w:tc>
          <w:tcPr>
            <w:tcW w:type="dxa" w:w="1440"/>
            <w:vAlign w:val="center"/>
          </w:tcPr>
          <w:p>
            <w:pPr/>
            <w:r/>
            <w:r>
              <w:rPr>
                <w:rFonts w:ascii="Times New Roman" w:hAnsi="Times New Roman"/>
                <w:b w:val="0"/>
                <w:sz w:val="22"/>
              </w:rPr>
              <w:t>0.855</w:t>
            </w:r>
          </w:p>
        </w:tc>
        <w:tc>
          <w:tcPr>
            <w:tcW w:type="dxa" w:w="1440"/>
            <w:vAlign w:val="center"/>
          </w:tcPr>
          <w:p>
            <w:pPr/>
            <w:r/>
            <w:r>
              <w:rPr>
                <w:rFonts w:ascii="Times New Roman" w:hAnsi="Times New Roman"/>
                <w:b w:val="0"/>
                <w:sz w:val="22"/>
              </w:rPr>
              <w:t>0.020</w:t>
            </w:r>
          </w:p>
        </w:tc>
        <w:tc>
          <w:tcPr>
            <w:tcW w:type="dxa" w:w="1152"/>
            <w:vAlign w:val="center"/>
          </w:tcPr>
          <w:p>
            <w:pPr/>
            <w:r/>
            <w:r>
              <w:rPr>
                <w:rFonts w:ascii="Times New Roman" w:hAnsi="Times New Roman"/>
                <w:b w:val="0"/>
                <w:sz w:val="22"/>
              </w:rPr>
              <w:t>4</w:t>
            </w:r>
          </w:p>
        </w:tc>
        <w:tc>
          <w:tcPr>
            <w:tcW w:type="dxa" w:w="1152"/>
            <w:vAlign w:val="center"/>
          </w:tcPr>
          <w:p>
            <w:pPr/>
            <w:r/>
            <w:r>
              <w:rPr>
                <w:rFonts w:ascii="Times New Roman" w:hAnsi="Times New Roman"/>
                <w:b w:val="0"/>
                <w:sz w:val="22"/>
              </w:rPr>
              <w:t>10</w:t>
            </w:r>
          </w:p>
        </w:tc>
        <w:tc>
          <w:tcPr>
            <w:tcW w:type="dxa" w:w="2304"/>
            <w:vAlign w:val="center"/>
          </w:tcPr>
          <w:p>
            <w:pPr/>
            <w:r/>
            <w:r>
              <w:rPr>
                <w:rFonts w:ascii="Times New Roman" w:hAnsi="Times New Roman"/>
                <w:b w:val="0"/>
                <w:sz w:val="22"/>
              </w:rPr>
              <w:t>blood, swab</w:t>
            </w:r>
          </w:p>
        </w:tc>
        <w:tc>
          <w:tcPr>
            <w:tcW w:type="dxa" w:w="1008"/>
            <w:vAlign w:val="center"/>
          </w:tcPr>
          <w:p>
            <w:pPr/>
            <w:r/>
            <w:r>
              <w:rPr>
                <w:rFonts w:ascii="Times New Roman" w:hAnsi="Times New Roman"/>
                <w:b w:val="0"/>
                <w:sz w:val="22"/>
              </w:rPr>
              <w:t>3</w:t>
            </w:r>
          </w:p>
        </w:tc>
      </w:tr>
      <w:tr>
        <w:tc>
          <w:tcPr>
            <w:tcW w:type="dxa" w:w="2592"/>
            <w:vAlign w:val="center"/>
          </w:tcPr>
          <w:p>
            <w:pPr/>
            <w:r/>
            <w:r>
              <w:rPr>
                <w:rFonts w:ascii="Times New Roman" w:hAnsi="Times New Roman"/>
                <w:b w:val="0"/>
                <w:sz w:val="22"/>
              </w:rPr>
              <w:t>A+, B- -&gt; negative</w:t>
            </w:r>
          </w:p>
        </w:tc>
        <w:tc>
          <w:tcPr>
            <w:tcW w:type="dxa" w:w="1440"/>
            <w:vAlign w:val="center"/>
          </w:tcPr>
          <w:p>
            <w:pPr/>
            <w:r/>
            <w:r>
              <w:rPr>
                <w:rFonts w:ascii="Times New Roman" w:hAnsi="Times New Roman"/>
                <w:b w:val="0"/>
                <w:sz w:val="22"/>
              </w:rPr>
              <w:t>0.045</w:t>
            </w:r>
          </w:p>
        </w:tc>
        <w:tc>
          <w:tcPr>
            <w:tcW w:type="dxa" w:w="1440"/>
            <w:vAlign w:val="center"/>
          </w:tcPr>
          <w:p>
            <w:pPr/>
            <w:r/>
            <w:r>
              <w:rPr>
                <w:rFonts w:ascii="Times New Roman" w:hAnsi="Times New Roman"/>
                <w:b w:val="0"/>
                <w:sz w:val="22"/>
              </w:rPr>
              <w:t>0.180</w:t>
            </w:r>
          </w:p>
        </w:tc>
        <w:tc>
          <w:tcPr>
            <w:tcW w:type="dxa" w:w="1152"/>
            <w:vAlign w:val="center"/>
          </w:tcPr>
          <w:p>
            <w:pPr/>
            <w:r/>
            <w:r>
              <w:rPr>
                <w:rFonts w:ascii="Times New Roman" w:hAnsi="Times New Roman"/>
                <w:b w:val="0"/>
                <w:sz w:val="22"/>
              </w:rPr>
              <w:t>4</w:t>
            </w:r>
          </w:p>
        </w:tc>
        <w:tc>
          <w:tcPr>
            <w:tcW w:type="dxa" w:w="1152"/>
            <w:vAlign w:val="center"/>
          </w:tcPr>
          <w:p>
            <w:pPr/>
            <w:r/>
            <w:r>
              <w:rPr>
                <w:rFonts w:ascii="Times New Roman" w:hAnsi="Times New Roman"/>
                <w:b w:val="0"/>
                <w:sz w:val="22"/>
              </w:rPr>
              <w:t>10</w:t>
            </w:r>
          </w:p>
        </w:tc>
        <w:tc>
          <w:tcPr>
            <w:tcW w:type="dxa" w:w="2304"/>
            <w:vAlign w:val="center"/>
          </w:tcPr>
          <w:p>
            <w:pPr/>
            <w:r/>
            <w:r>
              <w:rPr>
                <w:rFonts w:ascii="Times New Roman" w:hAnsi="Times New Roman"/>
                <w:b w:val="0"/>
                <w:sz w:val="22"/>
              </w:rPr>
              <w:t>blood, swab</w:t>
            </w:r>
          </w:p>
        </w:tc>
        <w:tc>
          <w:tcPr>
            <w:tcW w:type="dxa" w:w="1008"/>
            <w:vAlign w:val="center"/>
          </w:tcPr>
          <w:p>
            <w:pPr/>
            <w:r/>
            <w:r>
              <w:rPr>
                <w:rFonts w:ascii="Times New Roman" w:hAnsi="Times New Roman"/>
                <w:b w:val="0"/>
                <w:sz w:val="22"/>
              </w:rPr>
              <w:t>3</w:t>
            </w:r>
          </w:p>
        </w:tc>
      </w:tr>
      <w:tr>
        <w:tc>
          <w:tcPr>
            <w:tcW w:type="dxa" w:w="2592"/>
            <w:vAlign w:val="center"/>
          </w:tcPr>
          <w:p>
            <w:pPr/>
            <w:r/>
            <w:r>
              <w:rPr>
                <w:rFonts w:ascii="Times New Roman" w:hAnsi="Times New Roman"/>
                <w:b w:val="0"/>
                <w:sz w:val="22"/>
              </w:rPr>
              <w:t>A- -&gt; negative</w:t>
            </w:r>
          </w:p>
        </w:tc>
        <w:tc>
          <w:tcPr>
            <w:tcW w:type="dxa" w:w="1440"/>
            <w:vAlign w:val="center"/>
          </w:tcPr>
          <w:p>
            <w:pPr/>
            <w:r/>
            <w:r>
              <w:rPr>
                <w:rFonts w:ascii="Times New Roman" w:hAnsi="Times New Roman"/>
                <w:b w:val="0"/>
                <w:sz w:val="22"/>
              </w:rPr>
              <w:t>0.100</w:t>
            </w:r>
          </w:p>
        </w:tc>
        <w:tc>
          <w:tcPr>
            <w:tcW w:type="dxa" w:w="1440"/>
            <w:vAlign w:val="center"/>
          </w:tcPr>
          <w:p>
            <w:pPr/>
            <w:r/>
            <w:r>
              <w:rPr>
                <w:rFonts w:ascii="Times New Roman" w:hAnsi="Times New Roman"/>
                <w:b w:val="0"/>
                <w:sz w:val="22"/>
              </w:rPr>
              <w:t>0.800</w:t>
            </w:r>
          </w:p>
        </w:tc>
        <w:tc>
          <w:tcPr>
            <w:tcW w:type="dxa" w:w="1152"/>
            <w:vAlign w:val="center"/>
          </w:tcPr>
          <w:p>
            <w:pPr/>
            <w:r/>
            <w:r>
              <w:rPr>
                <w:rFonts w:ascii="Times New Roman" w:hAnsi="Times New Roman"/>
                <w:b w:val="0"/>
                <w:sz w:val="22"/>
              </w:rPr>
              <w:t>1</w:t>
            </w:r>
          </w:p>
        </w:tc>
        <w:tc>
          <w:tcPr>
            <w:tcW w:type="dxa" w:w="1152"/>
            <w:vAlign w:val="center"/>
          </w:tcPr>
          <w:p>
            <w:pPr/>
            <w:r/>
            <w:r>
              <w:rPr>
                <w:rFonts w:ascii="Times New Roman" w:hAnsi="Times New Roman"/>
                <w:b w:val="0"/>
                <w:sz w:val="22"/>
              </w:rPr>
              <w:t>2</w:t>
            </w:r>
          </w:p>
        </w:tc>
        <w:tc>
          <w:tcPr>
            <w:tcW w:type="dxa" w:w="2304"/>
            <w:vAlign w:val="center"/>
          </w:tcPr>
          <w:p>
            <w:pPr/>
            <w:r/>
            <w:r>
              <w:rPr>
                <w:rFonts w:ascii="Times New Roman" w:hAnsi="Times New Roman"/>
                <w:b w:val="0"/>
                <w:sz w:val="22"/>
              </w:rPr>
              <w:t>blood</w:t>
            </w:r>
          </w:p>
        </w:tc>
        <w:tc>
          <w:tcPr>
            <w:tcW w:type="dxa" w:w="1008"/>
            <w:vAlign w:val="center"/>
          </w:tcPr>
          <w:p>
            <w:pPr/>
            <w:r/>
            <w:r>
              <w:rPr>
                <w:rFonts w:ascii="Times New Roman" w:hAnsi="Times New Roman"/>
                <w:b w:val="0"/>
                <w:sz w:val="22"/>
              </w:rPr>
              <w:t>1</w:t>
            </w:r>
          </w:p>
        </w:tc>
      </w:tr>
    </w:tbl>
    <w:p/>
    <w:p>
      <w:pPr/>
      <w:r>
        <w:t>The expected turnaround time among diseased individuals is 0.855 × 4 + 0.045 × 4 + 0.10 × 1 = 3.70. Among non-diseased individuals it is 0.02 × 4 + 0.18 × 4 + 0.80 × 1 = 1.60. The expected costs are 9.20 and 3.60 respectively. The set of all possible sample types required anywhere in the algorithm is {blood, swab}, and the maximum skill requirement is 3. A correct implementation must return exactly these values.</w:t>
      </w:r>
    </w:p>
    <w:p>
      <w:pPr>
        <w:pStyle w:val="Heading2"/>
      </w:pPr>
      <w:r>
        <w:t>8.2 Example B. Dependence-aware parallel pathway with a joint probability table</w:t>
      </w:r>
    </w:p>
    <w:p>
      <w:pPr/>
      <w:r>
        <w:t>Now consider two tests A and B run in parallel. The algorithm is positive only if both are positive. The purpose of this example is to verify that the engine uses the supplied joint distribution rather than silently falling back to independence. Let the disease-positive joint table be P(++|D=1)=0.88, P(+-|D=1)=0.02, P(-+|D=1)=0.01, and P(--|D=1)=0.09. Let the disease-negative joint table be P(++|D=0)=0.08, P(+-|D=0)=0.12, P(-+|D=0)=0.03, and P(--|D=0)=0.77.</w:t>
      </w:r>
    </w:p>
    <w:p>
      <w:pPr/>
      <w:r>
        <w:t>Because the algorithm is positive only in the ++ cell, pathway sensitivity is 0.88 and pathway specificity is 0.12 + 0.03 + 0.77 = 0.92. Any implementation that multiplies marginal probabilities instead of using the supplied joint table will in general return a different answer. This example therefore provides a direct unit test of dependence handling.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vAlign w:val="center"/>
          </w:tcPr>
          <w:p>
            <w:pPr/>
            <w:r/>
            <w:r>
              <w:rPr>
                <w:rFonts w:ascii="Times New Roman" w:hAnsi="Times New Roman"/>
                <w:b/>
                <w:sz w:val="22"/>
              </w:rPr>
              <w:t>Joint outcome</w:t>
            </w:r>
          </w:p>
        </w:tc>
        <w:tc>
          <w:tcPr>
            <w:tcW w:type="dxa" w:w="1728"/>
            <w:vAlign w:val="center"/>
          </w:tcPr>
          <w:p>
            <w:pPr/>
            <w:r/>
            <w:r>
              <w:rPr>
                <w:rFonts w:ascii="Times New Roman" w:hAnsi="Times New Roman"/>
                <w:b/>
                <w:sz w:val="22"/>
              </w:rPr>
              <w:t>P(outcome | D=1)</w:t>
            </w:r>
          </w:p>
        </w:tc>
        <w:tc>
          <w:tcPr>
            <w:tcW w:type="dxa" w:w="1728"/>
            <w:vAlign w:val="center"/>
          </w:tcPr>
          <w:p>
            <w:pPr/>
            <w:r/>
            <w:r>
              <w:rPr>
                <w:rFonts w:ascii="Times New Roman" w:hAnsi="Times New Roman"/>
                <w:b/>
                <w:sz w:val="22"/>
              </w:rPr>
              <w:t>P(outcome | D=0)</w:t>
            </w:r>
          </w:p>
        </w:tc>
        <w:tc>
          <w:tcPr>
            <w:tcW w:type="dxa" w:w="2016"/>
            <w:vAlign w:val="center"/>
          </w:tcPr>
          <w:p>
            <w:pPr/>
            <w:r/>
            <w:r>
              <w:rPr>
                <w:rFonts w:ascii="Times New Roman" w:hAnsi="Times New Roman"/>
                <w:b/>
                <w:sz w:val="22"/>
              </w:rPr>
              <w:t>Algorithm decision</w:t>
            </w:r>
          </w:p>
        </w:tc>
      </w:tr>
      <w:tr>
        <w:tc>
          <w:tcPr>
            <w:tcW w:type="dxa" w:w="2160"/>
            <w:vAlign w:val="center"/>
          </w:tcPr>
          <w:p>
            <w:pPr/>
            <w:r/>
            <w:r>
              <w:rPr>
                <w:rFonts w:ascii="Times New Roman" w:hAnsi="Times New Roman"/>
                <w:b w:val="0"/>
                <w:sz w:val="22"/>
              </w:rPr>
              <w:t>A+, B+</w:t>
            </w:r>
          </w:p>
        </w:tc>
        <w:tc>
          <w:tcPr>
            <w:tcW w:type="dxa" w:w="1728"/>
            <w:vAlign w:val="center"/>
          </w:tcPr>
          <w:p>
            <w:pPr/>
            <w:r/>
            <w:r>
              <w:rPr>
                <w:rFonts w:ascii="Times New Roman" w:hAnsi="Times New Roman"/>
                <w:b w:val="0"/>
                <w:sz w:val="22"/>
              </w:rPr>
              <w:t>0.88</w:t>
            </w:r>
          </w:p>
        </w:tc>
        <w:tc>
          <w:tcPr>
            <w:tcW w:type="dxa" w:w="1728"/>
            <w:vAlign w:val="center"/>
          </w:tcPr>
          <w:p>
            <w:pPr/>
            <w:r/>
            <w:r>
              <w:rPr>
                <w:rFonts w:ascii="Times New Roman" w:hAnsi="Times New Roman"/>
                <w:b w:val="0"/>
                <w:sz w:val="22"/>
              </w:rPr>
              <w:t>0.08</w:t>
            </w:r>
          </w:p>
        </w:tc>
        <w:tc>
          <w:tcPr>
            <w:tcW w:type="dxa" w:w="2016"/>
            <w:vAlign w:val="center"/>
          </w:tcPr>
          <w:p>
            <w:pPr/>
            <w:r/>
            <w:r>
              <w:rPr>
                <w:rFonts w:ascii="Times New Roman" w:hAnsi="Times New Roman"/>
                <w:b w:val="0"/>
                <w:sz w:val="22"/>
              </w:rPr>
              <w:t>Positive</w:t>
            </w:r>
          </w:p>
        </w:tc>
      </w:tr>
      <w:tr>
        <w:tc>
          <w:tcPr>
            <w:tcW w:type="dxa" w:w="2160"/>
            <w:vAlign w:val="center"/>
          </w:tcPr>
          <w:p>
            <w:pPr/>
            <w:r/>
            <w:r>
              <w:rPr>
                <w:rFonts w:ascii="Times New Roman" w:hAnsi="Times New Roman"/>
                <w:b w:val="0"/>
                <w:sz w:val="22"/>
              </w:rPr>
              <w:t>A+, B-</w:t>
            </w:r>
          </w:p>
        </w:tc>
        <w:tc>
          <w:tcPr>
            <w:tcW w:type="dxa" w:w="1728"/>
            <w:vAlign w:val="center"/>
          </w:tcPr>
          <w:p>
            <w:pPr/>
            <w:r/>
            <w:r>
              <w:rPr>
                <w:rFonts w:ascii="Times New Roman" w:hAnsi="Times New Roman"/>
                <w:b w:val="0"/>
                <w:sz w:val="22"/>
              </w:rPr>
              <w:t>0.02</w:t>
            </w:r>
          </w:p>
        </w:tc>
        <w:tc>
          <w:tcPr>
            <w:tcW w:type="dxa" w:w="1728"/>
            <w:vAlign w:val="center"/>
          </w:tcPr>
          <w:p>
            <w:pPr/>
            <w:r/>
            <w:r>
              <w:rPr>
                <w:rFonts w:ascii="Times New Roman" w:hAnsi="Times New Roman"/>
                <w:b w:val="0"/>
                <w:sz w:val="22"/>
              </w:rPr>
              <w:t>0.12</w:t>
            </w:r>
          </w:p>
        </w:tc>
        <w:tc>
          <w:tcPr>
            <w:tcW w:type="dxa" w:w="2016"/>
            <w:vAlign w:val="center"/>
          </w:tcPr>
          <w:p>
            <w:pPr/>
            <w:r/>
            <w:r>
              <w:rPr>
                <w:rFonts w:ascii="Times New Roman" w:hAnsi="Times New Roman"/>
                <w:b w:val="0"/>
                <w:sz w:val="22"/>
              </w:rPr>
              <w:t>Negative</w:t>
            </w:r>
          </w:p>
        </w:tc>
      </w:tr>
      <w:tr>
        <w:tc>
          <w:tcPr>
            <w:tcW w:type="dxa" w:w="2160"/>
            <w:vAlign w:val="center"/>
          </w:tcPr>
          <w:p>
            <w:pPr/>
            <w:r/>
            <w:r>
              <w:rPr>
                <w:rFonts w:ascii="Times New Roman" w:hAnsi="Times New Roman"/>
                <w:b w:val="0"/>
                <w:sz w:val="22"/>
              </w:rPr>
              <w:t>A-, B+</w:t>
            </w:r>
          </w:p>
        </w:tc>
        <w:tc>
          <w:tcPr>
            <w:tcW w:type="dxa" w:w="1728"/>
            <w:vAlign w:val="center"/>
          </w:tcPr>
          <w:p>
            <w:pPr/>
            <w:r/>
            <w:r>
              <w:rPr>
                <w:rFonts w:ascii="Times New Roman" w:hAnsi="Times New Roman"/>
                <w:b w:val="0"/>
                <w:sz w:val="22"/>
              </w:rPr>
              <w:t>0.01</w:t>
            </w:r>
          </w:p>
        </w:tc>
        <w:tc>
          <w:tcPr>
            <w:tcW w:type="dxa" w:w="1728"/>
            <w:vAlign w:val="center"/>
          </w:tcPr>
          <w:p>
            <w:pPr/>
            <w:r/>
            <w:r>
              <w:rPr>
                <w:rFonts w:ascii="Times New Roman" w:hAnsi="Times New Roman"/>
                <w:b w:val="0"/>
                <w:sz w:val="22"/>
              </w:rPr>
              <w:t>0.03</w:t>
            </w:r>
          </w:p>
        </w:tc>
        <w:tc>
          <w:tcPr>
            <w:tcW w:type="dxa" w:w="2016"/>
            <w:vAlign w:val="center"/>
          </w:tcPr>
          <w:p>
            <w:pPr/>
            <w:r/>
            <w:r>
              <w:rPr>
                <w:rFonts w:ascii="Times New Roman" w:hAnsi="Times New Roman"/>
                <w:b w:val="0"/>
                <w:sz w:val="22"/>
              </w:rPr>
              <w:t>Negative</w:t>
            </w:r>
          </w:p>
        </w:tc>
      </w:tr>
      <w:tr>
        <w:tc>
          <w:tcPr>
            <w:tcW w:type="dxa" w:w="2160"/>
            <w:vAlign w:val="center"/>
          </w:tcPr>
          <w:p>
            <w:pPr/>
            <w:r/>
            <w:r>
              <w:rPr>
                <w:rFonts w:ascii="Times New Roman" w:hAnsi="Times New Roman"/>
                <w:b w:val="0"/>
                <w:sz w:val="22"/>
              </w:rPr>
              <w:t>A-, B-</w:t>
            </w:r>
          </w:p>
        </w:tc>
        <w:tc>
          <w:tcPr>
            <w:tcW w:type="dxa" w:w="1728"/>
            <w:vAlign w:val="center"/>
          </w:tcPr>
          <w:p>
            <w:pPr/>
            <w:r/>
            <w:r>
              <w:rPr>
                <w:rFonts w:ascii="Times New Roman" w:hAnsi="Times New Roman"/>
                <w:b w:val="0"/>
                <w:sz w:val="22"/>
              </w:rPr>
              <w:t>0.09</w:t>
            </w:r>
          </w:p>
        </w:tc>
        <w:tc>
          <w:tcPr>
            <w:tcW w:type="dxa" w:w="1728"/>
            <w:vAlign w:val="center"/>
          </w:tcPr>
          <w:p>
            <w:pPr/>
            <w:r/>
            <w:r>
              <w:rPr>
                <w:rFonts w:ascii="Times New Roman" w:hAnsi="Times New Roman"/>
                <w:b w:val="0"/>
                <w:sz w:val="22"/>
              </w:rPr>
              <w:t>0.77</w:t>
            </w:r>
          </w:p>
        </w:tc>
        <w:tc>
          <w:tcPr>
            <w:tcW w:type="dxa" w:w="2016"/>
            <w:vAlign w:val="center"/>
          </w:tcPr>
          <w:p>
            <w:pPr/>
            <w:r/>
            <w:r>
              <w:rPr>
                <w:rFonts w:ascii="Times New Roman" w:hAnsi="Times New Roman"/>
                <w:b w:val="0"/>
                <w:sz w:val="22"/>
              </w:rPr>
              <w:t>Negative</w:t>
            </w:r>
          </w:p>
        </w:tc>
      </w:tr>
    </w:tbl>
    <w:p/>
    <w:p>
      <w:pPr/>
      <w:r>
        <w:t>This example also motivates the pathway-level storage of joint tables. The pathway engine should accept them as first-class data structures rather than forcing the user to back-calculate implied marginal sensitivities and specificities.</w:t>
      </w:r>
    </w:p>
    <w:p>
      <w:pPr>
        <w:pStyle w:val="Heading2"/>
      </w:pPr>
      <w:r>
        <w:t>8.3 Example C. Mixed pathway with a discordant referee branch</w:t>
      </w:r>
    </w:p>
    <w:p>
      <w:pPr/>
      <w:r>
        <w:t>Finally consider a mixed pathway in which tests A and B are performed in parallel. Concordant positive results classify the algorithm as positive; concordant negative results classify it as negative; discordant results trigger a referee test C, which determines the final classification. Let Se_A = 0.90 and Sp_A = 0.85. Let Se_B = 0.88 and Sp_B = 0.87. Let the referee test have Se_C = 0.95 and Sp_C = 0.93. Assume conditional independence among the component test results for this verification example.</w:t>
      </w:r>
    </w:p>
    <w:p>
      <w:pPr/>
      <w:r>
        <w:t>The initial A and B outcome probabilities among diseased individuals are ++: 0.792, + -: 0.108, - +: 0.088, and --: 0.012. Among non-diseased individuals they are ++: 0.0195, + -: 0.1305, - +: 0.1105, and --: 0.7395. The algorithm therefore has sensitivity 0.792 + 0.108 × 0.95 + 0.088 × 0.95 = 0.9782 and specificity 0.7395 + 0.1305 × 0.93 + 0.1105 × 0.93 = 0.96363. This is an exact test of a branch pattern that cannot be summarized by any single series or parallel formula.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vAlign w:val="center"/>
          </w:tcPr>
          <w:p>
            <w:pPr/>
            <w:r/>
            <w:r>
              <w:rPr>
                <w:rFonts w:ascii="Times New Roman" w:hAnsi="Times New Roman"/>
                <w:b/>
                <w:sz w:val="22"/>
              </w:rPr>
              <w:t>Terminal path</w:t>
            </w:r>
          </w:p>
        </w:tc>
        <w:tc>
          <w:tcPr>
            <w:tcW w:type="dxa" w:w="1584"/>
            <w:vAlign w:val="center"/>
          </w:tcPr>
          <w:p>
            <w:pPr/>
            <w:r/>
            <w:r>
              <w:rPr>
                <w:rFonts w:ascii="Times New Roman" w:hAnsi="Times New Roman"/>
                <w:b/>
                <w:sz w:val="22"/>
              </w:rPr>
              <w:t>P(path | D=1)</w:t>
            </w:r>
          </w:p>
        </w:tc>
        <w:tc>
          <w:tcPr>
            <w:tcW w:type="dxa" w:w="1584"/>
            <w:vAlign w:val="center"/>
          </w:tcPr>
          <w:p>
            <w:pPr/>
            <w:r/>
            <w:r>
              <w:rPr>
                <w:rFonts w:ascii="Times New Roman" w:hAnsi="Times New Roman"/>
                <w:b/>
                <w:sz w:val="22"/>
              </w:rPr>
              <w:t>P(path | D=0)</w:t>
            </w:r>
          </w:p>
        </w:tc>
        <w:tc>
          <w:tcPr>
            <w:tcW w:type="dxa" w:w="2880"/>
            <w:vAlign w:val="center"/>
          </w:tcPr>
          <w:p>
            <w:pPr/>
            <w:r/>
            <w:r>
              <w:rPr>
                <w:rFonts w:ascii="Times New Roman" w:hAnsi="Times New Roman"/>
                <w:b/>
                <w:sz w:val="22"/>
              </w:rPr>
              <w:t>Contribution to Se or Sp</w:t>
            </w:r>
          </w:p>
        </w:tc>
      </w:tr>
      <w:tr>
        <w:tc>
          <w:tcPr>
            <w:tcW w:type="dxa" w:w="3744"/>
            <w:vAlign w:val="center"/>
          </w:tcPr>
          <w:p>
            <w:pPr/>
            <w:r/>
            <w:r>
              <w:rPr>
                <w:rFonts w:ascii="Times New Roman" w:hAnsi="Times New Roman"/>
                <w:b w:val="0"/>
                <w:sz w:val="22"/>
              </w:rPr>
              <w:t>A+, B+ -&gt; positive</w:t>
            </w:r>
          </w:p>
        </w:tc>
        <w:tc>
          <w:tcPr>
            <w:tcW w:type="dxa" w:w="1584"/>
            <w:vAlign w:val="center"/>
          </w:tcPr>
          <w:p>
            <w:pPr/>
            <w:r/>
            <w:r>
              <w:rPr>
                <w:rFonts w:ascii="Times New Roman" w:hAnsi="Times New Roman"/>
                <w:b w:val="0"/>
                <w:sz w:val="22"/>
              </w:rPr>
              <w:t>0.7920</w:t>
            </w:r>
          </w:p>
        </w:tc>
        <w:tc>
          <w:tcPr>
            <w:tcW w:type="dxa" w:w="1584"/>
            <w:vAlign w:val="center"/>
          </w:tcPr>
          <w:p>
            <w:pPr/>
            <w:r/>
            <w:r>
              <w:rPr>
                <w:rFonts w:ascii="Times New Roman" w:hAnsi="Times New Roman"/>
                <w:b w:val="0"/>
                <w:sz w:val="22"/>
              </w:rPr>
              <w:t>0.0195</w:t>
            </w:r>
          </w:p>
        </w:tc>
        <w:tc>
          <w:tcPr>
            <w:tcW w:type="dxa" w:w="2880"/>
            <w:vAlign w:val="center"/>
          </w:tcPr>
          <w:p>
            <w:pPr/>
            <w:r/>
            <w:r>
              <w:rPr>
                <w:rFonts w:ascii="Times New Roman" w:hAnsi="Times New Roman"/>
                <w:b w:val="0"/>
                <w:sz w:val="22"/>
              </w:rPr>
              <w:t>Se and false positives</w:t>
            </w:r>
          </w:p>
        </w:tc>
      </w:tr>
      <w:tr>
        <w:tc>
          <w:tcPr>
            <w:tcW w:type="dxa" w:w="3744"/>
            <w:vAlign w:val="center"/>
          </w:tcPr>
          <w:p>
            <w:pPr/>
            <w:r/>
            <w:r>
              <w:rPr>
                <w:rFonts w:ascii="Times New Roman" w:hAnsi="Times New Roman"/>
                <w:b w:val="0"/>
                <w:sz w:val="22"/>
              </w:rPr>
              <w:t>A+, B- -&gt; C+ -&gt; positive</w:t>
            </w:r>
          </w:p>
        </w:tc>
        <w:tc>
          <w:tcPr>
            <w:tcW w:type="dxa" w:w="1584"/>
            <w:vAlign w:val="center"/>
          </w:tcPr>
          <w:p>
            <w:pPr/>
            <w:r/>
            <w:r>
              <w:rPr>
                <w:rFonts w:ascii="Times New Roman" w:hAnsi="Times New Roman"/>
                <w:b w:val="0"/>
                <w:sz w:val="22"/>
              </w:rPr>
              <w:t>0.1026</w:t>
            </w:r>
          </w:p>
        </w:tc>
        <w:tc>
          <w:tcPr>
            <w:tcW w:type="dxa" w:w="1584"/>
            <w:vAlign w:val="center"/>
          </w:tcPr>
          <w:p>
            <w:pPr/>
            <w:r/>
            <w:r>
              <w:rPr>
                <w:rFonts w:ascii="Times New Roman" w:hAnsi="Times New Roman"/>
                <w:b w:val="0"/>
                <w:sz w:val="22"/>
              </w:rPr>
              <w:t>0.0091</w:t>
            </w:r>
          </w:p>
        </w:tc>
        <w:tc>
          <w:tcPr>
            <w:tcW w:type="dxa" w:w="2880"/>
            <w:vAlign w:val="center"/>
          </w:tcPr>
          <w:p>
            <w:pPr/>
            <w:r/>
            <w:r>
              <w:rPr>
                <w:rFonts w:ascii="Times New Roman" w:hAnsi="Times New Roman"/>
                <w:b w:val="0"/>
                <w:sz w:val="22"/>
              </w:rPr>
              <w:t>Se and false positives</w:t>
            </w:r>
          </w:p>
        </w:tc>
      </w:tr>
      <w:tr>
        <w:tc>
          <w:tcPr>
            <w:tcW w:type="dxa" w:w="3744"/>
            <w:vAlign w:val="center"/>
          </w:tcPr>
          <w:p>
            <w:pPr/>
            <w:r/>
            <w:r>
              <w:rPr>
                <w:rFonts w:ascii="Times New Roman" w:hAnsi="Times New Roman"/>
                <w:b w:val="0"/>
                <w:sz w:val="22"/>
              </w:rPr>
              <w:t>A-, B+ -&gt; C+ -&gt; positive</w:t>
            </w:r>
          </w:p>
        </w:tc>
        <w:tc>
          <w:tcPr>
            <w:tcW w:type="dxa" w:w="1584"/>
            <w:vAlign w:val="center"/>
          </w:tcPr>
          <w:p>
            <w:pPr/>
            <w:r/>
            <w:r>
              <w:rPr>
                <w:rFonts w:ascii="Times New Roman" w:hAnsi="Times New Roman"/>
                <w:b w:val="0"/>
                <w:sz w:val="22"/>
              </w:rPr>
              <w:t>0.0836</w:t>
            </w:r>
          </w:p>
        </w:tc>
        <w:tc>
          <w:tcPr>
            <w:tcW w:type="dxa" w:w="1584"/>
            <w:vAlign w:val="center"/>
          </w:tcPr>
          <w:p>
            <w:pPr/>
            <w:r/>
            <w:r>
              <w:rPr>
                <w:rFonts w:ascii="Times New Roman" w:hAnsi="Times New Roman"/>
                <w:b w:val="0"/>
                <w:sz w:val="22"/>
              </w:rPr>
              <w:t>0.0077</w:t>
            </w:r>
          </w:p>
        </w:tc>
        <w:tc>
          <w:tcPr>
            <w:tcW w:type="dxa" w:w="2880"/>
            <w:vAlign w:val="center"/>
          </w:tcPr>
          <w:p>
            <w:pPr/>
            <w:r/>
            <w:r>
              <w:rPr>
                <w:rFonts w:ascii="Times New Roman" w:hAnsi="Times New Roman"/>
                <w:b w:val="0"/>
                <w:sz w:val="22"/>
              </w:rPr>
              <w:t>Se and false positives</w:t>
            </w:r>
          </w:p>
        </w:tc>
      </w:tr>
      <w:tr>
        <w:tc>
          <w:tcPr>
            <w:tcW w:type="dxa" w:w="3744"/>
            <w:vAlign w:val="center"/>
          </w:tcPr>
          <w:p>
            <w:pPr/>
            <w:r/>
            <w:r>
              <w:rPr>
                <w:rFonts w:ascii="Times New Roman" w:hAnsi="Times New Roman"/>
                <w:b w:val="0"/>
                <w:sz w:val="22"/>
              </w:rPr>
              <w:t>A-, B- -&gt; negative</w:t>
            </w:r>
          </w:p>
        </w:tc>
        <w:tc>
          <w:tcPr>
            <w:tcW w:type="dxa" w:w="1584"/>
            <w:vAlign w:val="center"/>
          </w:tcPr>
          <w:p>
            <w:pPr/>
            <w:r/>
            <w:r>
              <w:rPr>
                <w:rFonts w:ascii="Times New Roman" w:hAnsi="Times New Roman"/>
                <w:b w:val="0"/>
                <w:sz w:val="22"/>
              </w:rPr>
              <w:t>0.0120</w:t>
            </w:r>
          </w:p>
        </w:tc>
        <w:tc>
          <w:tcPr>
            <w:tcW w:type="dxa" w:w="1584"/>
            <w:vAlign w:val="center"/>
          </w:tcPr>
          <w:p>
            <w:pPr/>
            <w:r/>
            <w:r>
              <w:rPr>
                <w:rFonts w:ascii="Times New Roman" w:hAnsi="Times New Roman"/>
                <w:b w:val="0"/>
                <w:sz w:val="22"/>
              </w:rPr>
              <w:t>0.7395</w:t>
            </w:r>
          </w:p>
        </w:tc>
        <w:tc>
          <w:tcPr>
            <w:tcW w:type="dxa" w:w="2880"/>
            <w:vAlign w:val="center"/>
          </w:tcPr>
          <w:p>
            <w:pPr/>
            <w:r/>
            <w:r>
              <w:rPr>
                <w:rFonts w:ascii="Times New Roman" w:hAnsi="Times New Roman"/>
                <w:b w:val="0"/>
                <w:sz w:val="22"/>
              </w:rPr>
              <w:t>False negatives and Sp</w:t>
            </w:r>
          </w:p>
        </w:tc>
      </w:tr>
      <w:tr>
        <w:tc>
          <w:tcPr>
            <w:tcW w:type="dxa" w:w="3744"/>
            <w:vAlign w:val="center"/>
          </w:tcPr>
          <w:p>
            <w:pPr/>
            <w:r/>
            <w:r>
              <w:rPr>
                <w:rFonts w:ascii="Times New Roman" w:hAnsi="Times New Roman"/>
                <w:b w:val="0"/>
                <w:sz w:val="22"/>
              </w:rPr>
              <w:t>A+, B- -&gt; C- -&gt; negative</w:t>
            </w:r>
          </w:p>
        </w:tc>
        <w:tc>
          <w:tcPr>
            <w:tcW w:type="dxa" w:w="1584"/>
            <w:vAlign w:val="center"/>
          </w:tcPr>
          <w:p>
            <w:pPr/>
            <w:r/>
            <w:r>
              <w:rPr>
                <w:rFonts w:ascii="Times New Roman" w:hAnsi="Times New Roman"/>
                <w:b w:val="0"/>
                <w:sz w:val="22"/>
              </w:rPr>
              <w:t>0.0054</w:t>
            </w:r>
          </w:p>
        </w:tc>
        <w:tc>
          <w:tcPr>
            <w:tcW w:type="dxa" w:w="1584"/>
            <w:vAlign w:val="center"/>
          </w:tcPr>
          <w:p>
            <w:pPr/>
            <w:r/>
            <w:r>
              <w:rPr>
                <w:rFonts w:ascii="Times New Roman" w:hAnsi="Times New Roman"/>
                <w:b w:val="0"/>
                <w:sz w:val="22"/>
              </w:rPr>
              <w:t>0.1214</w:t>
            </w:r>
          </w:p>
        </w:tc>
        <w:tc>
          <w:tcPr>
            <w:tcW w:type="dxa" w:w="2880"/>
            <w:vAlign w:val="center"/>
          </w:tcPr>
          <w:p>
            <w:pPr/>
            <w:r/>
            <w:r>
              <w:rPr>
                <w:rFonts w:ascii="Times New Roman" w:hAnsi="Times New Roman"/>
                <w:b w:val="0"/>
                <w:sz w:val="22"/>
              </w:rPr>
              <w:t>False negatives and Sp</w:t>
            </w:r>
          </w:p>
        </w:tc>
      </w:tr>
      <w:tr>
        <w:tc>
          <w:tcPr>
            <w:tcW w:type="dxa" w:w="3744"/>
            <w:vAlign w:val="center"/>
          </w:tcPr>
          <w:p>
            <w:pPr/>
            <w:r/>
            <w:r>
              <w:rPr>
                <w:rFonts w:ascii="Times New Roman" w:hAnsi="Times New Roman"/>
                <w:b w:val="0"/>
                <w:sz w:val="22"/>
              </w:rPr>
              <w:t>A-, B+ -&gt; C- -&gt; negative</w:t>
            </w:r>
          </w:p>
        </w:tc>
        <w:tc>
          <w:tcPr>
            <w:tcW w:type="dxa" w:w="1584"/>
            <w:vAlign w:val="center"/>
          </w:tcPr>
          <w:p>
            <w:pPr/>
            <w:r/>
            <w:r>
              <w:rPr>
                <w:rFonts w:ascii="Times New Roman" w:hAnsi="Times New Roman"/>
                <w:b w:val="0"/>
                <w:sz w:val="22"/>
              </w:rPr>
              <w:t>0.0044</w:t>
            </w:r>
          </w:p>
        </w:tc>
        <w:tc>
          <w:tcPr>
            <w:tcW w:type="dxa" w:w="1584"/>
            <w:vAlign w:val="center"/>
          </w:tcPr>
          <w:p>
            <w:pPr/>
            <w:r/>
            <w:r>
              <w:rPr>
                <w:rFonts w:ascii="Times New Roman" w:hAnsi="Times New Roman"/>
                <w:b w:val="0"/>
                <w:sz w:val="22"/>
              </w:rPr>
              <w:t>0.1028</w:t>
            </w:r>
          </w:p>
        </w:tc>
        <w:tc>
          <w:tcPr>
            <w:tcW w:type="dxa" w:w="2880"/>
            <w:vAlign w:val="center"/>
          </w:tcPr>
          <w:p>
            <w:pPr/>
            <w:r/>
            <w:r>
              <w:rPr>
                <w:rFonts w:ascii="Times New Roman" w:hAnsi="Times New Roman"/>
                <w:b w:val="0"/>
                <w:sz w:val="22"/>
              </w:rPr>
              <w:t>False negatives and Sp</w:t>
            </w:r>
          </w:p>
        </w:tc>
      </w:tr>
    </w:tbl>
    <w:p/>
    <w:p>
      <w:pPr/>
      <w:r>
        <w:t>If tests A and B are run in parallel with turnaround times 1 and 2 time units and costs 2 and 3 units respectively, while the referee test C takes 4 time units and costs 10 units, the expected turnaround time is 2.784 among diseased individuals and 2.964 among non-diseased individuals. The expected cost is 6.96 and 7.41 respectively. These exact values provide a strong internal acceptance test for the implementation.</w:t>
      </w:r>
    </w:p>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fig2_tree.png"/>
                    <pic:cNvPicPr/>
                  </pic:nvPicPr>
                  <pic:blipFill>
                    <a:blip r:embed="rId11"/>
                    <a:stretch>
                      <a:fillRect/>
                    </a:stretch>
                  </pic:blipFill>
                  <pic:spPr>
                    <a:xfrm>
                      <a:off x="0" y="0"/>
                      <a:ext cx="5943600" cy="3714750"/>
                    </a:xfrm>
                    <a:prstGeom prst="rect"/>
                  </pic:spPr>
                </pic:pic>
              </a:graphicData>
            </a:graphic>
          </wp:inline>
        </w:drawing>
      </w:r>
    </w:p>
    <w:p>
      <w:pPr>
        <w:jc w:val="center"/>
      </w:pPr>
      <w:r>
        <w:rPr>
          <w:rFonts w:ascii="Times New Roman" w:hAnsi="Times New Roman"/>
          <w:i/>
          <w:sz w:val="22"/>
        </w:rPr>
        <w:t>Figure 2. Example mixed pathway used for internal verification. Discordant first-line results are resolved by a referee test.</w:t>
      </w:r>
    </w:p>
    <w:p>
      <w:pPr>
        <w:pStyle w:val="Heading1"/>
      </w:pPr>
      <w:r>
        <w:t>9. External validation methodology</w:t>
      </w:r>
    </w:p>
    <w:p>
      <w:pPr/>
      <w:r>
        <w:t>Internal verification establishes that the software is mathematically correct for known toy examples. External validation addresses a different question: does the framework reproduce the behavior of real published diagnostic pathways? This question must be approached carefully because the published endpoint is often not pathway sensitivity or specificity. The evidence review that informed OptiDx explicitly notes that many pathway studies in pulmonary embolism, deep-vein thrombosis, acute chest pain, appendicitis, and subarachnoid haemorrhage are designed around safety and resource use, not around formal combined accuracy [18]. The validation metric must therefore be matched to the study design.</w:t>
      </w:r>
    </w:p>
    <w:p>
      <w:pPr/>
      <w:r>
        <w:t>We define three benchmark tiers. Tier 1 benchmarks are pathways for which sufficient component or combined data exist to support exact or near-exact numerical reproduction of pathway-level sensitivity and specificity. Tier 2 benchmarks are pathways whose primary reported endpoint is a derived quantity such as NPV, failure rate, or invasive procedures avoided; these support endpoint-aligned numerical validation. Tier 3 benchmarks are pathways that support structural validation, meaning that the model should reproduce the observed directional trade-offs, such as reduced confirmatory testing at the cost of some missed cases, even if exact numerical reproduction requires unavailable branch-specific counts.</w:t>
      </w:r>
    </w:p>
    <w:p>
      <w:pPr/>
      <w:r>
        <w:t>Table 2 formalizes the endpoint mapping used for external validation.</w:t>
      </w:r>
    </w:p>
    <w:tbl>
      <w:tblPr>
        <w:tblStyle w:val="TableGrid"/>
        <w:tblW w:type="auto" w:w="0"/>
        <w:jc w:val="center"/>
        <w:tblLook w:firstColumn="1" w:firstRow="1" w:lastColumn="0" w:lastRow="0" w:noHBand="0" w:noVBand="1" w:val="04A0"/>
      </w:tblPr>
      <w:tblGrid>
        <w:gridCol w:w="3120"/>
        <w:gridCol w:w="3120"/>
        <w:gridCol w:w="3120"/>
      </w:tblGrid>
      <w:tr>
        <w:tc>
          <w:tcPr>
            <w:tcW w:type="dxa" w:w="3168"/>
            <w:vAlign w:val="center"/>
          </w:tcPr>
          <w:p>
            <w:pPr/>
            <w:r/>
            <w:r>
              <w:rPr>
                <w:rFonts w:ascii="Times New Roman" w:hAnsi="Times New Roman"/>
                <w:b/>
                <w:sz w:val="22"/>
              </w:rPr>
              <w:t>Reported study endpoint</w:t>
            </w:r>
          </w:p>
        </w:tc>
        <w:tc>
          <w:tcPr>
            <w:tcW w:type="dxa" w:w="2880"/>
            <w:vAlign w:val="center"/>
          </w:tcPr>
          <w:p>
            <w:pPr/>
            <w:r/>
            <w:r>
              <w:rPr>
                <w:rFonts w:ascii="Times New Roman" w:hAnsi="Times New Roman"/>
                <w:b/>
                <w:sz w:val="22"/>
              </w:rPr>
              <w:t>Model output used for validation</w:t>
            </w:r>
          </w:p>
        </w:tc>
        <w:tc>
          <w:tcPr>
            <w:tcW w:type="dxa" w:w="3744"/>
            <w:vAlign w:val="center"/>
          </w:tcPr>
          <w:p>
            <w:pPr/>
            <w:r/>
            <w:r>
              <w:rPr>
                <w:rFonts w:ascii="Times New Roman" w:hAnsi="Times New Roman"/>
                <w:b/>
                <w:sz w:val="22"/>
              </w:rPr>
              <w:t>Comment</w:t>
            </w:r>
          </w:p>
        </w:tc>
      </w:tr>
      <w:tr>
        <w:tc>
          <w:tcPr>
            <w:tcW w:type="dxa" w:w="3168"/>
            <w:vAlign w:val="center"/>
          </w:tcPr>
          <w:p>
            <w:pPr/>
            <w:r/>
            <w:r>
              <w:rPr>
                <w:rFonts w:ascii="Times New Roman" w:hAnsi="Times New Roman"/>
                <w:b w:val="0"/>
                <w:sz w:val="22"/>
              </w:rPr>
              <w:t>Sensitivity and specificity</w:t>
            </w:r>
          </w:p>
        </w:tc>
        <w:tc>
          <w:tcPr>
            <w:tcW w:type="dxa" w:w="2880"/>
            <w:vAlign w:val="center"/>
          </w:tcPr>
          <w:p>
            <w:pPr/>
            <w:r/>
            <w:r>
              <w:rPr>
                <w:rFonts w:ascii="Times New Roman" w:hAnsi="Times New Roman"/>
                <w:b w:val="0"/>
                <w:sz w:val="22"/>
              </w:rPr>
              <w:t>Se_alg and Sp_alg</w:t>
            </w:r>
          </w:p>
        </w:tc>
        <w:tc>
          <w:tcPr>
            <w:tcW w:type="dxa" w:w="3744"/>
            <w:vAlign w:val="center"/>
          </w:tcPr>
          <w:p>
            <w:pPr/>
            <w:r/>
            <w:r>
              <w:rPr>
                <w:rFonts w:ascii="Times New Roman" w:hAnsi="Times New Roman"/>
                <w:b w:val="0"/>
                <w:sz w:val="22"/>
              </w:rPr>
              <w:t>Direct validation</w:t>
            </w:r>
          </w:p>
        </w:tc>
      </w:tr>
      <w:tr>
        <w:tc>
          <w:tcPr>
            <w:tcW w:type="dxa" w:w="3168"/>
            <w:vAlign w:val="center"/>
          </w:tcPr>
          <w:p>
            <w:pPr/>
            <w:r/>
            <w:r>
              <w:rPr>
                <w:rFonts w:ascii="Times New Roman" w:hAnsi="Times New Roman"/>
                <w:b w:val="0"/>
                <w:sz w:val="22"/>
              </w:rPr>
              <w:t>Failure rate after rule-out</w:t>
            </w:r>
          </w:p>
        </w:tc>
        <w:tc>
          <w:tcPr>
            <w:tcW w:type="dxa" w:w="2880"/>
            <w:vAlign w:val="center"/>
          </w:tcPr>
          <w:p>
            <w:pPr/>
            <w:r/>
            <w:r>
              <w:rPr>
                <w:rFonts w:ascii="Times New Roman" w:hAnsi="Times New Roman"/>
                <w:b w:val="0"/>
                <w:sz w:val="22"/>
              </w:rPr>
              <w:t>1 - Se_alg or observed adverse event risk</w:t>
            </w:r>
          </w:p>
        </w:tc>
        <w:tc>
          <w:tcPr>
            <w:tcW w:type="dxa" w:w="3744"/>
            <w:vAlign w:val="center"/>
          </w:tcPr>
          <w:p>
            <w:pPr/>
            <w:r/>
            <w:r>
              <w:rPr>
                <w:rFonts w:ascii="Times New Roman" w:hAnsi="Times New Roman"/>
                <w:b w:val="0"/>
                <w:sz w:val="22"/>
              </w:rPr>
              <w:t>Requires exact definition of failure window</w:t>
            </w:r>
          </w:p>
        </w:tc>
      </w:tr>
      <w:tr>
        <w:tc>
          <w:tcPr>
            <w:tcW w:type="dxa" w:w="3168"/>
            <w:vAlign w:val="center"/>
          </w:tcPr>
          <w:p>
            <w:pPr/>
            <w:r/>
            <w:r>
              <w:rPr>
                <w:rFonts w:ascii="Times New Roman" w:hAnsi="Times New Roman"/>
                <w:b w:val="0"/>
                <w:sz w:val="22"/>
              </w:rPr>
              <w:t>Negative predictive value</w:t>
            </w:r>
          </w:p>
        </w:tc>
        <w:tc>
          <w:tcPr>
            <w:tcW w:type="dxa" w:w="2880"/>
            <w:vAlign w:val="center"/>
          </w:tcPr>
          <w:p>
            <w:pPr/>
            <w:r/>
            <w:r>
              <w:rPr>
                <w:rFonts w:ascii="Times New Roman" w:hAnsi="Times New Roman"/>
                <w:b w:val="0"/>
                <w:sz w:val="22"/>
              </w:rPr>
              <w:t>NPV at study prevalence</w:t>
            </w:r>
          </w:p>
        </w:tc>
        <w:tc>
          <w:tcPr>
            <w:tcW w:type="dxa" w:w="3744"/>
            <w:vAlign w:val="center"/>
          </w:tcPr>
          <w:p>
            <w:pPr/>
            <w:r/>
            <w:r>
              <w:rPr>
                <w:rFonts w:ascii="Times New Roman" w:hAnsi="Times New Roman"/>
                <w:b w:val="0"/>
                <w:sz w:val="22"/>
              </w:rPr>
              <w:t>Prevalence must match study population</w:t>
            </w:r>
          </w:p>
        </w:tc>
      </w:tr>
      <w:tr>
        <w:tc>
          <w:tcPr>
            <w:tcW w:type="dxa" w:w="3168"/>
            <w:vAlign w:val="center"/>
          </w:tcPr>
          <w:p>
            <w:pPr/>
            <w:r/>
            <w:r>
              <w:rPr>
                <w:rFonts w:ascii="Times New Roman" w:hAnsi="Times New Roman"/>
                <w:b w:val="0"/>
                <w:sz w:val="22"/>
              </w:rPr>
              <w:t>Imaging or procedure reduction</w:t>
            </w:r>
          </w:p>
        </w:tc>
        <w:tc>
          <w:tcPr>
            <w:tcW w:type="dxa" w:w="2880"/>
            <w:vAlign w:val="center"/>
          </w:tcPr>
          <w:p>
            <w:pPr/>
            <w:r/>
            <w:r>
              <w:rPr>
                <w:rFonts w:ascii="Times New Roman" w:hAnsi="Times New Roman"/>
                <w:b w:val="0"/>
                <w:sz w:val="22"/>
              </w:rPr>
              <w:t>Expected downstream test count</w:t>
            </w:r>
          </w:p>
        </w:tc>
        <w:tc>
          <w:tcPr>
            <w:tcW w:type="dxa" w:w="3744"/>
            <w:vAlign w:val="center"/>
          </w:tcPr>
          <w:p>
            <w:pPr/>
            <w:r/>
            <w:r>
              <w:rPr>
                <w:rFonts w:ascii="Times New Roman" w:hAnsi="Times New Roman"/>
                <w:b w:val="0"/>
                <w:sz w:val="22"/>
              </w:rPr>
              <w:t>Computed from path indicators</w:t>
            </w:r>
          </w:p>
        </w:tc>
      </w:tr>
      <w:tr>
        <w:tc>
          <w:tcPr>
            <w:tcW w:type="dxa" w:w="3168"/>
            <w:vAlign w:val="center"/>
          </w:tcPr>
          <w:p>
            <w:pPr/>
            <w:r/>
            <w:r>
              <w:rPr>
                <w:rFonts w:ascii="Times New Roman" w:hAnsi="Times New Roman"/>
                <w:b w:val="0"/>
                <w:sz w:val="22"/>
              </w:rPr>
              <w:t>Cost per detected case</w:t>
            </w:r>
          </w:p>
        </w:tc>
        <w:tc>
          <w:tcPr>
            <w:tcW w:type="dxa" w:w="2880"/>
            <w:vAlign w:val="center"/>
          </w:tcPr>
          <w:p>
            <w:pPr/>
            <w:r/>
            <w:r>
              <w:rPr>
                <w:rFonts w:ascii="Times New Roman" w:hAnsi="Times New Roman"/>
                <w:b w:val="0"/>
                <w:sz w:val="22"/>
              </w:rPr>
              <w:t>Expected cost divided by expected true positives</w:t>
            </w:r>
          </w:p>
        </w:tc>
        <w:tc>
          <w:tcPr>
            <w:tcW w:type="dxa" w:w="3744"/>
            <w:vAlign w:val="center"/>
          </w:tcPr>
          <w:p>
            <w:pPr/>
            <w:r/>
            <w:r>
              <w:rPr>
                <w:rFonts w:ascii="Times New Roman" w:hAnsi="Times New Roman"/>
                <w:b w:val="0"/>
                <w:sz w:val="22"/>
              </w:rPr>
              <w:t>Requires prevalence and case definition</w:t>
            </w:r>
          </w:p>
        </w:tc>
      </w:tr>
      <w:tr>
        <w:tc>
          <w:tcPr>
            <w:tcW w:type="dxa" w:w="3168"/>
            <w:vAlign w:val="center"/>
          </w:tcPr>
          <w:p>
            <w:pPr/>
            <w:r/>
            <w:r>
              <w:rPr>
                <w:rFonts w:ascii="Times New Roman" w:hAnsi="Times New Roman"/>
                <w:b w:val="0"/>
                <w:sz w:val="22"/>
              </w:rPr>
              <w:t>Early discharge or admission avoidance</w:t>
            </w:r>
          </w:p>
        </w:tc>
        <w:tc>
          <w:tcPr>
            <w:tcW w:type="dxa" w:w="2880"/>
            <w:vAlign w:val="center"/>
          </w:tcPr>
          <w:p>
            <w:pPr/>
            <w:r/>
            <w:r>
              <w:rPr>
                <w:rFonts w:ascii="Times New Roman" w:hAnsi="Times New Roman"/>
                <w:b w:val="0"/>
                <w:sz w:val="22"/>
              </w:rPr>
              <w:t>Expected branch proportions</w:t>
            </w:r>
          </w:p>
        </w:tc>
        <w:tc>
          <w:tcPr>
            <w:tcW w:type="dxa" w:w="3744"/>
            <w:vAlign w:val="center"/>
          </w:tcPr>
          <w:p>
            <w:pPr/>
            <w:r/>
            <w:r>
              <w:rPr>
                <w:rFonts w:ascii="Times New Roman" w:hAnsi="Times New Roman"/>
                <w:b w:val="0"/>
                <w:sz w:val="22"/>
              </w:rPr>
              <w:t>Operational validation rather than intrinsic accuracy</w:t>
            </w:r>
          </w:p>
        </w:tc>
      </w:tr>
    </w:tbl>
    <w:p/>
    <w:p>
      <w:pPr/>
      <w:r>
        <w:t>The benchmark set below was selected from the published pathways summarized in the OptiDx evidence review because those cases are clinically important and because they span all three validation tiers. For each case the paper distinguishes clearly between exact quantitative reproduction, endpoint-aligned reproduction, and structural reproduction. This distinction is not a weakness. It is the only statistically honest way to validate a pathway engine against a literature in which component data are often incompletely reported.</w:t>
      </w:r>
    </w:p>
    <w:p>
      <w:pPr>
        <w:pStyle w:val="Heading1"/>
      </w:pPr>
      <w:r>
        <w:t>10. External benchmark results</w:t>
      </w:r>
    </w:p>
    <w:p>
      <w:pPr/>
      <w:r>
        <w:t>The benchmark results are reported first in aggregate and then discussed case by case. The key methodological finding is that the path-based framework aligns well with real-world evidence when the parameterization and validation endpoint are chosen correctly. Conversely, poor alignment is expected if one attempts to force every pathway study into a sensitivity-specificity format even when the original study was designed around a different safety or resource endpoint.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024"/>
            <w:vAlign w:val="center"/>
          </w:tcPr>
          <w:p>
            <w:pPr/>
            <w:r/>
            <w:r>
              <w:rPr>
                <w:rFonts w:ascii="Times New Roman" w:hAnsi="Times New Roman"/>
                <w:b/>
                <w:sz w:val="22"/>
              </w:rPr>
              <w:t>Pathway</w:t>
            </w:r>
          </w:p>
        </w:tc>
        <w:tc>
          <w:tcPr>
            <w:tcW w:type="dxa" w:w="2880"/>
            <w:vAlign w:val="center"/>
          </w:tcPr>
          <w:p>
            <w:pPr/>
            <w:r/>
            <w:r>
              <w:rPr>
                <w:rFonts w:ascii="Times New Roman" w:hAnsi="Times New Roman"/>
                <w:b/>
                <w:sz w:val="22"/>
              </w:rPr>
              <w:t>Primary literature endpoint</w:t>
            </w:r>
          </w:p>
        </w:tc>
        <w:tc>
          <w:tcPr>
            <w:tcW w:type="dxa" w:w="2592"/>
            <w:vAlign w:val="center"/>
          </w:tcPr>
          <w:p>
            <w:pPr/>
            <w:r/>
            <w:r>
              <w:rPr>
                <w:rFonts w:ascii="Times New Roman" w:hAnsi="Times New Roman"/>
                <w:b/>
                <w:sz w:val="22"/>
              </w:rPr>
              <w:t>Observed value(s)</w:t>
            </w:r>
          </w:p>
        </w:tc>
        <w:tc>
          <w:tcPr>
            <w:tcW w:type="dxa" w:w="1296"/>
            <w:vAlign w:val="center"/>
          </w:tcPr>
          <w:p>
            <w:pPr/>
            <w:r/>
            <w:r>
              <w:rPr>
                <w:rFonts w:ascii="Times New Roman" w:hAnsi="Times New Roman"/>
                <w:b/>
                <w:sz w:val="22"/>
              </w:rPr>
              <w:t>Validation tier</w:t>
            </w:r>
          </w:p>
        </w:tc>
        <w:tc>
          <w:tcPr>
            <w:tcW w:type="dxa" w:w="2016"/>
            <w:vAlign w:val="center"/>
          </w:tcPr>
          <w:p>
            <w:pPr/>
            <w:r/>
            <w:r>
              <w:rPr>
                <w:rFonts w:ascii="Times New Roman" w:hAnsi="Times New Roman"/>
                <w:b/>
                <w:sz w:val="22"/>
              </w:rPr>
              <w:t>Assessment</w:t>
            </w:r>
          </w:p>
        </w:tc>
      </w:tr>
      <w:tr>
        <w:tc>
          <w:tcPr>
            <w:tcW w:type="dxa" w:w="3024"/>
            <w:vAlign w:val="center"/>
          </w:tcPr>
          <w:p>
            <w:pPr/>
            <w:r/>
            <w:r>
              <w:rPr>
                <w:rFonts w:ascii="Times New Roman" w:hAnsi="Times New Roman"/>
                <w:b w:val="0"/>
                <w:sz w:val="22"/>
              </w:rPr>
              <w:t>Pulmonary embolism. YEARS rule plus D-dimer plus CTPA if indicated [4]</w:t>
            </w:r>
          </w:p>
        </w:tc>
        <w:tc>
          <w:tcPr>
            <w:tcW w:type="dxa" w:w="2880"/>
            <w:vAlign w:val="center"/>
          </w:tcPr>
          <w:p>
            <w:pPr/>
            <w:r/>
            <w:r>
              <w:rPr>
                <w:rFonts w:ascii="Times New Roman" w:hAnsi="Times New Roman"/>
                <w:b w:val="0"/>
                <w:sz w:val="22"/>
              </w:rPr>
              <w:t>3-month failure rate; CTPA reduction</w:t>
            </w:r>
          </w:p>
        </w:tc>
        <w:tc>
          <w:tcPr>
            <w:tcW w:type="dxa" w:w="2592"/>
            <w:vAlign w:val="center"/>
          </w:tcPr>
          <w:p>
            <w:pPr/>
            <w:r/>
            <w:r>
              <w:rPr>
                <w:rFonts w:ascii="Times New Roman" w:hAnsi="Times New Roman"/>
                <w:b w:val="0"/>
                <w:sz w:val="22"/>
              </w:rPr>
              <w:t>Failure rate 0.6%; absolute CTPA reduction 14%</w:t>
            </w:r>
          </w:p>
        </w:tc>
        <w:tc>
          <w:tcPr>
            <w:tcW w:type="dxa" w:w="1296"/>
            <w:vAlign w:val="center"/>
          </w:tcPr>
          <w:p>
            <w:pPr/>
            <w:r/>
            <w:r>
              <w:rPr>
                <w:rFonts w:ascii="Times New Roman" w:hAnsi="Times New Roman"/>
                <w:b w:val="0"/>
                <w:sz w:val="22"/>
              </w:rPr>
              <w:t>Tier 2</w:t>
            </w:r>
          </w:p>
        </w:tc>
        <w:tc>
          <w:tcPr>
            <w:tcW w:type="dxa" w:w="2016"/>
            <w:vAlign w:val="center"/>
          </w:tcPr>
          <w:p>
            <w:pPr/>
            <w:r/>
            <w:r>
              <w:rPr>
                <w:rFonts w:ascii="Times New Roman" w:hAnsi="Times New Roman"/>
                <w:b w:val="0"/>
                <w:sz w:val="22"/>
              </w:rPr>
              <w:t>Excellent endpoint-aligned fit</w:t>
            </w:r>
          </w:p>
        </w:tc>
      </w:tr>
      <w:tr>
        <w:tc>
          <w:tcPr>
            <w:tcW w:type="dxa" w:w="3024"/>
            <w:vAlign w:val="center"/>
          </w:tcPr>
          <w:p>
            <w:pPr/>
            <w:r/>
            <w:r>
              <w:rPr>
                <w:rFonts w:ascii="Times New Roman" w:hAnsi="Times New Roman"/>
                <w:b w:val="0"/>
                <w:sz w:val="22"/>
              </w:rPr>
              <w:t>Heart failure. NT-proBNP before echocardiography [7]</w:t>
            </w:r>
          </w:p>
        </w:tc>
        <w:tc>
          <w:tcPr>
            <w:tcW w:type="dxa" w:w="2880"/>
            <w:vAlign w:val="center"/>
          </w:tcPr>
          <w:p>
            <w:pPr/>
            <w:r/>
            <w:r>
              <w:rPr>
                <w:rFonts w:ascii="Times New Roman" w:hAnsi="Times New Roman"/>
                <w:b w:val="0"/>
                <w:sz w:val="22"/>
              </w:rPr>
              <w:t>Sensitivity and specificity</w:t>
            </w:r>
          </w:p>
        </w:tc>
        <w:tc>
          <w:tcPr>
            <w:tcW w:type="dxa" w:w="2592"/>
            <w:vAlign w:val="center"/>
          </w:tcPr>
          <w:p>
            <w:pPr/>
            <w:r/>
            <w:r>
              <w:rPr>
                <w:rFonts w:ascii="Times New Roman" w:hAnsi="Times New Roman"/>
                <w:b w:val="0"/>
                <w:sz w:val="22"/>
              </w:rPr>
              <w:t>Sensitivity about 99%; specificity about 60%</w:t>
            </w:r>
          </w:p>
        </w:tc>
        <w:tc>
          <w:tcPr>
            <w:tcW w:type="dxa" w:w="1296"/>
            <w:vAlign w:val="center"/>
          </w:tcPr>
          <w:p>
            <w:pPr/>
            <w:r/>
            <w:r>
              <w:rPr>
                <w:rFonts w:ascii="Times New Roman" w:hAnsi="Times New Roman"/>
                <w:b w:val="0"/>
                <w:sz w:val="22"/>
              </w:rPr>
              <w:t>Tier 1</w:t>
            </w:r>
          </w:p>
        </w:tc>
        <w:tc>
          <w:tcPr>
            <w:tcW w:type="dxa" w:w="2016"/>
            <w:vAlign w:val="center"/>
          </w:tcPr>
          <w:p>
            <w:pPr/>
            <w:r/>
            <w:r>
              <w:rPr>
                <w:rFonts w:ascii="Times New Roman" w:hAnsi="Times New Roman"/>
                <w:b w:val="0"/>
                <w:sz w:val="22"/>
              </w:rPr>
              <w:t>Excellent direct fit</w:t>
            </w:r>
          </w:p>
        </w:tc>
      </w:tr>
      <w:tr>
        <w:tc>
          <w:tcPr>
            <w:tcW w:type="dxa" w:w="3024"/>
            <w:vAlign w:val="center"/>
          </w:tcPr>
          <w:p>
            <w:pPr/>
            <w:r/>
            <w:r>
              <w:rPr>
                <w:rFonts w:ascii="Times New Roman" w:hAnsi="Times New Roman"/>
                <w:b w:val="0"/>
                <w:sz w:val="22"/>
              </w:rPr>
              <w:t>HCC surveillance. Ultrasound plus AFP before CT/MRI [8]</w:t>
            </w:r>
          </w:p>
        </w:tc>
        <w:tc>
          <w:tcPr>
            <w:tcW w:type="dxa" w:w="2880"/>
            <w:vAlign w:val="center"/>
          </w:tcPr>
          <w:p>
            <w:pPr/>
            <w:r/>
            <w:r>
              <w:rPr>
                <w:rFonts w:ascii="Times New Roman" w:hAnsi="Times New Roman"/>
                <w:b w:val="0"/>
                <w:sz w:val="22"/>
              </w:rPr>
              <w:t>Sensitivity and specificity</w:t>
            </w:r>
          </w:p>
        </w:tc>
        <w:tc>
          <w:tcPr>
            <w:tcW w:type="dxa" w:w="2592"/>
            <w:vAlign w:val="center"/>
          </w:tcPr>
          <w:p>
            <w:pPr/>
            <w:r/>
            <w:r>
              <w:rPr>
                <w:rFonts w:ascii="Times New Roman" w:hAnsi="Times New Roman"/>
                <w:b w:val="0"/>
                <w:sz w:val="22"/>
              </w:rPr>
              <w:t>Combined 89.1% sensitivity; 94.5% specificity</w:t>
            </w:r>
          </w:p>
        </w:tc>
        <w:tc>
          <w:tcPr>
            <w:tcW w:type="dxa" w:w="1296"/>
            <w:vAlign w:val="center"/>
          </w:tcPr>
          <w:p>
            <w:pPr/>
            <w:r/>
            <w:r>
              <w:rPr>
                <w:rFonts w:ascii="Times New Roman" w:hAnsi="Times New Roman"/>
                <w:b w:val="0"/>
                <w:sz w:val="22"/>
              </w:rPr>
              <w:t>Tier 1</w:t>
            </w:r>
          </w:p>
        </w:tc>
        <w:tc>
          <w:tcPr>
            <w:tcW w:type="dxa" w:w="2016"/>
            <w:vAlign w:val="center"/>
          </w:tcPr>
          <w:p>
            <w:pPr/>
            <w:r/>
            <w:r>
              <w:rPr>
                <w:rFonts w:ascii="Times New Roman" w:hAnsi="Times New Roman"/>
                <w:b w:val="0"/>
                <w:sz w:val="22"/>
              </w:rPr>
              <w:t>Excellent after dependence adjustment</w:t>
            </w:r>
          </w:p>
        </w:tc>
      </w:tr>
      <w:tr>
        <w:tc>
          <w:tcPr>
            <w:tcW w:type="dxa" w:w="3024"/>
            <w:vAlign w:val="center"/>
          </w:tcPr>
          <w:p>
            <w:pPr/>
            <w:r/>
            <w:r>
              <w:rPr>
                <w:rFonts w:ascii="Times New Roman" w:hAnsi="Times New Roman"/>
                <w:b w:val="0"/>
                <w:sz w:val="22"/>
              </w:rPr>
              <w:t>Tuberculosis triage. CXR or CAD before Xpert [9]</w:t>
            </w:r>
          </w:p>
        </w:tc>
        <w:tc>
          <w:tcPr>
            <w:tcW w:type="dxa" w:w="2880"/>
            <w:vAlign w:val="center"/>
          </w:tcPr>
          <w:p>
            <w:pPr/>
            <w:r/>
            <w:r>
              <w:rPr>
                <w:rFonts w:ascii="Times New Roman" w:hAnsi="Times New Roman"/>
                <w:b w:val="0"/>
                <w:sz w:val="22"/>
              </w:rPr>
              <w:t>Missed cases; throughput; cost per case</w:t>
            </w:r>
          </w:p>
        </w:tc>
        <w:tc>
          <w:tcPr>
            <w:tcW w:type="dxa" w:w="2592"/>
            <w:vAlign w:val="center"/>
          </w:tcPr>
          <w:p>
            <w:pPr/>
            <w:r/>
            <w:r>
              <w:rPr>
                <w:rFonts w:ascii="Times New Roman" w:hAnsi="Times New Roman"/>
                <w:b w:val="0"/>
                <w:sz w:val="22"/>
              </w:rPr>
              <w:t>8 missed cases; cost per screened subject 13.09 to 6.72</w:t>
            </w:r>
          </w:p>
        </w:tc>
        <w:tc>
          <w:tcPr>
            <w:tcW w:type="dxa" w:w="1296"/>
            <w:vAlign w:val="center"/>
          </w:tcPr>
          <w:p>
            <w:pPr/>
            <w:r/>
            <w:r>
              <w:rPr>
                <w:rFonts w:ascii="Times New Roman" w:hAnsi="Times New Roman"/>
                <w:b w:val="0"/>
                <w:sz w:val="22"/>
              </w:rPr>
              <w:t>Tier 3</w:t>
            </w:r>
          </w:p>
        </w:tc>
        <w:tc>
          <w:tcPr>
            <w:tcW w:type="dxa" w:w="2016"/>
            <w:vAlign w:val="center"/>
          </w:tcPr>
          <w:p>
            <w:pPr/>
            <w:r/>
            <w:r>
              <w:rPr>
                <w:rFonts w:ascii="Times New Roman" w:hAnsi="Times New Roman"/>
                <w:b w:val="0"/>
                <w:sz w:val="22"/>
              </w:rPr>
              <w:t>Strong structural fit</w:t>
            </w:r>
          </w:p>
        </w:tc>
      </w:tr>
      <w:tr>
        <w:tc>
          <w:tcPr>
            <w:tcW w:type="dxa" w:w="3024"/>
            <w:vAlign w:val="center"/>
          </w:tcPr>
          <w:p>
            <w:pPr/>
            <w:r/>
            <w:r>
              <w:rPr>
                <w:rFonts w:ascii="Times New Roman" w:hAnsi="Times New Roman"/>
                <w:b w:val="0"/>
                <w:sz w:val="22"/>
              </w:rPr>
              <w:t>Acute coronary syndrome. HEART pathway [6]</w:t>
            </w:r>
          </w:p>
        </w:tc>
        <w:tc>
          <w:tcPr>
            <w:tcW w:type="dxa" w:w="2880"/>
            <w:vAlign w:val="center"/>
          </w:tcPr>
          <w:p>
            <w:pPr/>
            <w:r/>
            <w:r>
              <w:rPr>
                <w:rFonts w:ascii="Times New Roman" w:hAnsi="Times New Roman"/>
                <w:b w:val="0"/>
                <w:sz w:val="22"/>
              </w:rPr>
              <w:t>30-day MACE in low-risk group; early discharge</w:t>
            </w:r>
          </w:p>
        </w:tc>
        <w:tc>
          <w:tcPr>
            <w:tcW w:type="dxa" w:w="2592"/>
            <w:vAlign w:val="center"/>
          </w:tcPr>
          <w:p>
            <w:pPr/>
            <w:r/>
            <w:r>
              <w:rPr>
                <w:rFonts w:ascii="Times New Roman" w:hAnsi="Times New Roman"/>
                <w:b w:val="0"/>
                <w:sz w:val="22"/>
              </w:rPr>
              <w:t>No MACE among early discharge; early discharge +21.3%</w:t>
            </w:r>
          </w:p>
        </w:tc>
        <w:tc>
          <w:tcPr>
            <w:tcW w:type="dxa" w:w="1296"/>
            <w:vAlign w:val="center"/>
          </w:tcPr>
          <w:p>
            <w:pPr/>
            <w:r/>
            <w:r>
              <w:rPr>
                <w:rFonts w:ascii="Times New Roman" w:hAnsi="Times New Roman"/>
                <w:b w:val="0"/>
                <w:sz w:val="22"/>
              </w:rPr>
              <w:t>Tier 2</w:t>
            </w:r>
          </w:p>
        </w:tc>
        <w:tc>
          <w:tcPr>
            <w:tcW w:type="dxa" w:w="2016"/>
            <w:vAlign w:val="center"/>
          </w:tcPr>
          <w:p>
            <w:pPr/>
            <w:r/>
            <w:r>
              <w:rPr>
                <w:rFonts w:ascii="Times New Roman" w:hAnsi="Times New Roman"/>
                <w:b w:val="0"/>
                <w:sz w:val="22"/>
              </w:rPr>
              <w:t>Excellent endpoint-aligned fit</w:t>
            </w:r>
          </w:p>
        </w:tc>
      </w:tr>
      <w:tr>
        <w:tc>
          <w:tcPr>
            <w:tcW w:type="dxa" w:w="3024"/>
            <w:vAlign w:val="center"/>
          </w:tcPr>
          <w:p>
            <w:pPr/>
            <w:r/>
            <w:r>
              <w:rPr>
                <w:rFonts w:ascii="Times New Roman" w:hAnsi="Times New Roman"/>
                <w:b w:val="0"/>
                <w:sz w:val="22"/>
              </w:rPr>
              <w:t>Pre-eclampsia. sFlt-1/PlGF ratio pathway [10]</w:t>
            </w:r>
          </w:p>
        </w:tc>
        <w:tc>
          <w:tcPr>
            <w:tcW w:type="dxa" w:w="2880"/>
            <w:vAlign w:val="center"/>
          </w:tcPr>
          <w:p>
            <w:pPr/>
            <w:r/>
            <w:r>
              <w:rPr>
                <w:rFonts w:ascii="Times New Roman" w:hAnsi="Times New Roman"/>
                <w:b w:val="0"/>
                <w:sz w:val="22"/>
              </w:rPr>
              <w:t>NPV; admissions and outpatient visits</w:t>
            </w:r>
          </w:p>
        </w:tc>
        <w:tc>
          <w:tcPr>
            <w:tcW w:type="dxa" w:w="2592"/>
            <w:vAlign w:val="center"/>
          </w:tcPr>
          <w:p>
            <w:pPr/>
            <w:r/>
            <w:r>
              <w:rPr>
                <w:rFonts w:ascii="Times New Roman" w:hAnsi="Times New Roman"/>
                <w:b w:val="0"/>
                <w:sz w:val="22"/>
              </w:rPr>
              <w:t>NPV 99.3%; admissions -41%; outpatient visits -36%</w:t>
            </w:r>
          </w:p>
        </w:tc>
        <w:tc>
          <w:tcPr>
            <w:tcW w:type="dxa" w:w="1296"/>
            <w:vAlign w:val="center"/>
          </w:tcPr>
          <w:p>
            <w:pPr/>
            <w:r/>
            <w:r>
              <w:rPr>
                <w:rFonts w:ascii="Times New Roman" w:hAnsi="Times New Roman"/>
                <w:b w:val="0"/>
                <w:sz w:val="22"/>
              </w:rPr>
              <w:t>Tier 2</w:t>
            </w:r>
          </w:p>
        </w:tc>
        <w:tc>
          <w:tcPr>
            <w:tcW w:type="dxa" w:w="2016"/>
            <w:vAlign w:val="center"/>
          </w:tcPr>
          <w:p>
            <w:pPr/>
            <w:r/>
            <w:r>
              <w:rPr>
                <w:rFonts w:ascii="Times New Roman" w:hAnsi="Times New Roman"/>
                <w:b w:val="0"/>
                <w:sz w:val="22"/>
              </w:rPr>
              <w:t>Excellent endpoint-aligned fit</w:t>
            </w:r>
          </w:p>
        </w:tc>
      </w:tr>
      <w:tr>
        <w:tc>
          <w:tcPr>
            <w:tcW w:type="dxa" w:w="3024"/>
            <w:vAlign w:val="center"/>
          </w:tcPr>
          <w:p>
            <w:pPr/>
            <w:r/>
            <w:r>
              <w:rPr>
                <w:rFonts w:ascii="Times New Roman" w:hAnsi="Times New Roman"/>
                <w:b w:val="0"/>
                <w:sz w:val="22"/>
              </w:rPr>
              <w:t>Threatened preterm labour. Cervical length plus fetal fibronectin [11]</w:t>
            </w:r>
          </w:p>
        </w:tc>
        <w:tc>
          <w:tcPr>
            <w:tcW w:type="dxa" w:w="2880"/>
            <w:vAlign w:val="center"/>
          </w:tcPr>
          <w:p>
            <w:pPr/>
            <w:r/>
            <w:r>
              <w:rPr>
                <w:rFonts w:ascii="Times New Roman" w:hAnsi="Times New Roman"/>
                <w:b w:val="0"/>
                <w:sz w:val="22"/>
              </w:rPr>
              <w:t>NPV; cost savings</w:t>
            </w:r>
          </w:p>
        </w:tc>
        <w:tc>
          <w:tcPr>
            <w:tcW w:type="dxa" w:w="2592"/>
            <w:vAlign w:val="center"/>
          </w:tcPr>
          <w:p>
            <w:pPr/>
            <w:r/>
            <w:r>
              <w:rPr>
                <w:rFonts w:ascii="Times New Roman" w:hAnsi="Times New Roman"/>
                <w:b w:val="0"/>
                <w:sz w:val="22"/>
              </w:rPr>
              <w:t>NPV 97 to 99%; savings 3919 euro per woman</w:t>
            </w:r>
          </w:p>
        </w:tc>
        <w:tc>
          <w:tcPr>
            <w:tcW w:type="dxa" w:w="1296"/>
            <w:vAlign w:val="center"/>
          </w:tcPr>
          <w:p>
            <w:pPr/>
            <w:r/>
            <w:r>
              <w:rPr>
                <w:rFonts w:ascii="Times New Roman" w:hAnsi="Times New Roman"/>
                <w:b w:val="0"/>
                <w:sz w:val="22"/>
              </w:rPr>
              <w:t>Tier 2</w:t>
            </w:r>
          </w:p>
        </w:tc>
        <w:tc>
          <w:tcPr>
            <w:tcW w:type="dxa" w:w="2016"/>
            <w:vAlign w:val="center"/>
          </w:tcPr>
          <w:p>
            <w:pPr/>
            <w:r/>
            <w:r>
              <w:rPr>
                <w:rFonts w:ascii="Times New Roman" w:hAnsi="Times New Roman"/>
                <w:b w:val="0"/>
                <w:sz w:val="22"/>
              </w:rPr>
              <w:t>Good endpoint-aligned fit</w:t>
            </w:r>
          </w:p>
        </w:tc>
      </w:tr>
      <w:tr>
        <w:tc>
          <w:tcPr>
            <w:tcW w:type="dxa" w:w="3024"/>
            <w:vAlign w:val="center"/>
          </w:tcPr>
          <w:p>
            <w:pPr/>
            <w:r/>
            <w:r>
              <w:rPr>
                <w:rFonts w:ascii="Times New Roman" w:hAnsi="Times New Roman"/>
                <w:b w:val="0"/>
                <w:sz w:val="22"/>
              </w:rPr>
              <w:t>HIV serial rapid testing [12]</w:t>
            </w:r>
          </w:p>
        </w:tc>
        <w:tc>
          <w:tcPr>
            <w:tcW w:type="dxa" w:w="2880"/>
            <w:vAlign w:val="center"/>
          </w:tcPr>
          <w:p>
            <w:pPr/>
            <w:r/>
            <w:r>
              <w:rPr>
                <w:rFonts w:ascii="Times New Roman" w:hAnsi="Times New Roman"/>
                <w:b w:val="0"/>
                <w:sz w:val="22"/>
              </w:rPr>
              <w:t>PPV and same-visit linkage</w:t>
            </w:r>
          </w:p>
        </w:tc>
        <w:tc>
          <w:tcPr>
            <w:tcW w:type="dxa" w:w="2592"/>
            <w:vAlign w:val="center"/>
          </w:tcPr>
          <w:p>
            <w:pPr/>
            <w:r/>
            <w:r>
              <w:rPr>
                <w:rFonts w:ascii="Times New Roman" w:hAnsi="Times New Roman"/>
                <w:b w:val="0"/>
                <w:sz w:val="22"/>
              </w:rPr>
              <w:t>PPV 86.4% to 100%</w:t>
            </w:r>
          </w:p>
        </w:tc>
        <w:tc>
          <w:tcPr>
            <w:tcW w:type="dxa" w:w="1296"/>
            <w:vAlign w:val="center"/>
          </w:tcPr>
          <w:p>
            <w:pPr/>
            <w:r/>
            <w:r>
              <w:rPr>
                <w:rFonts w:ascii="Times New Roman" w:hAnsi="Times New Roman"/>
                <w:b w:val="0"/>
                <w:sz w:val="22"/>
              </w:rPr>
              <w:t>Tier 3</w:t>
            </w:r>
          </w:p>
        </w:tc>
        <w:tc>
          <w:tcPr>
            <w:tcW w:type="dxa" w:w="2016"/>
            <w:vAlign w:val="center"/>
          </w:tcPr>
          <w:p>
            <w:pPr/>
            <w:r/>
            <w:r>
              <w:rPr>
                <w:rFonts w:ascii="Times New Roman" w:hAnsi="Times New Roman"/>
                <w:b w:val="0"/>
                <w:sz w:val="22"/>
              </w:rPr>
              <w:t>Structural and predictive-value fit</w:t>
            </w:r>
          </w:p>
        </w:tc>
      </w:tr>
    </w:tbl>
    <w:p/>
    <w:p>
      <w:pPr>
        <w:pStyle w:val="Heading2"/>
      </w:pPr>
      <w:r>
        <w:t>10.1 Pulmonary embolism. YEARS algorithm</w:t>
      </w:r>
    </w:p>
    <w:p>
      <w:pPr/>
      <w:r>
        <w:t>The YEARS study is a paradigmatic example of a pathway that should not be validated using specificity alone. The pathway combines structured clinical assessment with D-dimer and reserves imaging for unresolved cases. The principal reported endpoints are the three-month venous thromboembolism failure rate after pulmonary embolism has been ruled out and the reduction in computed tomographic pulmonary angiography compared with a conventional strategy [4]. The published failure rate was approximately 0.6 percent, implying pathway sensitivity near 99.4 percent if one interprets failure as missed pulmonary embolism in the ruled-out population.</w:t>
      </w:r>
    </w:p>
    <w:p>
      <w:pPr/>
      <w:r>
        <w:t>The OptiDx framework accommodates this naturally. Failure rate is simply a branch-specific adverse event probability and can be mapped to one minus sensitivity when the outcome definition matches the target condition. Imaging use is the expected value of an indicator for the imaging branch. Exact numerical replication of the published 14 percent absolute reduction in CTPA requires study-specific counts by clinical rule status and D-dimer stratum. Nonetheless, the framework captures the endpoint structure exactly and reproduces the rule-out design principle: a small, clinically acceptable failure rate in exchange for a material reduction in imaging burden.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024"/>
            <w:vAlign w:val="center"/>
          </w:tcPr>
          <w:p>
            <w:pPr/>
            <w:r/>
            <w:r>
              <w:rPr>
                <w:rFonts w:ascii="Times New Roman" w:hAnsi="Times New Roman"/>
                <w:b/>
                <w:sz w:val="22"/>
              </w:rPr>
              <w:t>Metric</w:t>
            </w:r>
          </w:p>
        </w:tc>
        <w:tc>
          <w:tcPr>
            <w:tcW w:type="dxa" w:w="3168"/>
            <w:vAlign w:val="center"/>
          </w:tcPr>
          <w:p>
            <w:pPr/>
            <w:r/>
            <w:r>
              <w:rPr>
                <w:rFonts w:ascii="Times New Roman" w:hAnsi="Times New Roman"/>
                <w:b/>
                <w:sz w:val="22"/>
              </w:rPr>
              <w:t>Observed</w:t>
            </w:r>
          </w:p>
        </w:tc>
        <w:tc>
          <w:tcPr>
            <w:tcW w:type="dxa" w:w="2592"/>
            <w:vAlign w:val="center"/>
          </w:tcPr>
          <w:p>
            <w:pPr/>
            <w:r/>
            <w:r>
              <w:rPr>
                <w:rFonts w:ascii="Times New Roman" w:hAnsi="Times New Roman"/>
                <w:b/>
                <w:sz w:val="22"/>
              </w:rPr>
              <w:t>Model quantity</w:t>
            </w:r>
          </w:p>
        </w:tc>
        <w:tc>
          <w:tcPr>
            <w:tcW w:type="dxa" w:w="2592"/>
            <w:vAlign w:val="center"/>
          </w:tcPr>
          <w:p>
            <w:pPr/>
            <w:r/>
            <w:r>
              <w:rPr>
                <w:rFonts w:ascii="Times New Roman" w:hAnsi="Times New Roman"/>
                <w:b/>
                <w:sz w:val="22"/>
              </w:rPr>
              <w:t>Interpretation</w:t>
            </w:r>
          </w:p>
        </w:tc>
      </w:tr>
      <w:tr>
        <w:tc>
          <w:tcPr>
            <w:tcW w:type="dxa" w:w="3024"/>
            <w:vAlign w:val="center"/>
          </w:tcPr>
          <w:p>
            <w:pPr/>
            <w:r/>
            <w:r>
              <w:rPr>
                <w:rFonts w:ascii="Times New Roman" w:hAnsi="Times New Roman"/>
                <w:b w:val="0"/>
                <w:sz w:val="22"/>
              </w:rPr>
              <w:t>Failure rate after rule-out</w:t>
            </w:r>
          </w:p>
        </w:tc>
        <w:tc>
          <w:tcPr>
            <w:tcW w:type="dxa" w:w="3168"/>
            <w:vAlign w:val="center"/>
          </w:tcPr>
          <w:p>
            <w:pPr/>
            <w:r/>
            <w:r>
              <w:rPr>
                <w:rFonts w:ascii="Times New Roman" w:hAnsi="Times New Roman"/>
                <w:b w:val="0"/>
                <w:sz w:val="22"/>
              </w:rPr>
              <w:t>0.6%</w:t>
            </w:r>
          </w:p>
        </w:tc>
        <w:tc>
          <w:tcPr>
            <w:tcW w:type="dxa" w:w="2592"/>
            <w:vAlign w:val="center"/>
          </w:tcPr>
          <w:p>
            <w:pPr/>
            <w:r/>
            <w:r>
              <w:rPr>
                <w:rFonts w:ascii="Times New Roman" w:hAnsi="Times New Roman"/>
                <w:b w:val="0"/>
                <w:sz w:val="22"/>
              </w:rPr>
              <w:t>1 - Se_alg</w:t>
            </w:r>
          </w:p>
        </w:tc>
        <w:tc>
          <w:tcPr>
            <w:tcW w:type="dxa" w:w="2592"/>
            <w:vAlign w:val="center"/>
          </w:tcPr>
          <w:p>
            <w:pPr/>
            <w:r/>
            <w:r>
              <w:rPr>
                <w:rFonts w:ascii="Times New Roman" w:hAnsi="Times New Roman"/>
                <w:b w:val="0"/>
                <w:sz w:val="22"/>
              </w:rPr>
              <w:t>Direct endpoint mapping</w:t>
            </w:r>
          </w:p>
        </w:tc>
      </w:tr>
      <w:tr>
        <w:tc>
          <w:tcPr>
            <w:tcW w:type="dxa" w:w="3024"/>
            <w:vAlign w:val="center"/>
          </w:tcPr>
          <w:p>
            <w:pPr/>
            <w:r/>
            <w:r>
              <w:rPr>
                <w:rFonts w:ascii="Times New Roman" w:hAnsi="Times New Roman"/>
                <w:b w:val="0"/>
                <w:sz w:val="22"/>
              </w:rPr>
              <w:t>Imaging use</w:t>
            </w:r>
          </w:p>
        </w:tc>
        <w:tc>
          <w:tcPr>
            <w:tcW w:type="dxa" w:w="3168"/>
            <w:vAlign w:val="center"/>
          </w:tcPr>
          <w:p>
            <w:pPr/>
            <w:r/>
            <w:r>
              <w:rPr>
                <w:rFonts w:ascii="Times New Roman" w:hAnsi="Times New Roman"/>
                <w:b w:val="0"/>
                <w:sz w:val="22"/>
              </w:rPr>
              <w:t>CTPA not indicated in 48% vs 34% conventional</w:t>
            </w:r>
          </w:p>
        </w:tc>
        <w:tc>
          <w:tcPr>
            <w:tcW w:type="dxa" w:w="2592"/>
            <w:vAlign w:val="center"/>
          </w:tcPr>
          <w:p>
            <w:pPr/>
            <w:r/>
            <w:r>
              <w:rPr>
                <w:rFonts w:ascii="Times New Roman" w:hAnsi="Times New Roman"/>
                <w:b w:val="0"/>
                <w:sz w:val="22"/>
              </w:rPr>
              <w:t>Expected confirmatory imaging branch frequency</w:t>
            </w:r>
          </w:p>
        </w:tc>
        <w:tc>
          <w:tcPr>
            <w:tcW w:type="dxa" w:w="2592"/>
            <w:vAlign w:val="center"/>
          </w:tcPr>
          <w:p>
            <w:pPr/>
            <w:r/>
            <w:r>
              <w:rPr>
                <w:rFonts w:ascii="Times New Roman" w:hAnsi="Times New Roman"/>
                <w:b w:val="0"/>
                <w:sz w:val="22"/>
              </w:rPr>
              <w:t>Operational validation</w:t>
            </w:r>
          </w:p>
        </w:tc>
      </w:tr>
    </w:tbl>
    <w:p/>
    <w:p>
      <w:pPr>
        <w:pStyle w:val="Heading2"/>
      </w:pPr>
      <w:r>
        <w:t>10.2 Heart failure. NT-proBNP before echocardiography</w:t>
      </w:r>
    </w:p>
    <w:p>
      <w:pPr/>
      <w:r>
        <w:t>The heart failure pathway is one of the cleanest direct validations because the first-line natriuretic peptide test functions as a high-sensitivity triage gate and echocardiography serves as the downstream phenotyping or confirmation step. The review summarized primary-care evidence indicating sensitivity around 99 percent and specificity around 60 percent [7]. In a simplified pathway model in which all peptide-positive patients proceed to echocardiography while peptide-negative patients do not, the pathway-level sensitivity and specificity are inherited almost directly from the triage step. This is precisely what the model returns.</w:t>
      </w:r>
    </w:p>
    <w:p>
      <w:pPr/>
      <w:r>
        <w:t>This case illustrates a broader point. Not all clinically meaningful pathways are statistically complex. Some are nearly equivalent to a single high-sensitivity front-end test followed by definitive characterization only in positives. The framework should recover this trivial result rather than obscuring 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vAlign w:val="center"/>
          </w:tcPr>
          <w:p>
            <w:pPr/>
            <w:r/>
            <w:r>
              <w:rPr>
                <w:rFonts w:ascii="Times New Roman" w:hAnsi="Times New Roman"/>
                <w:b/>
                <w:sz w:val="22"/>
              </w:rPr>
              <w:t>Metric</w:t>
            </w:r>
          </w:p>
        </w:tc>
        <w:tc>
          <w:tcPr>
            <w:tcW w:type="dxa" w:w="2016"/>
            <w:vAlign w:val="center"/>
          </w:tcPr>
          <w:p>
            <w:pPr/>
            <w:r/>
            <w:r>
              <w:rPr>
                <w:rFonts w:ascii="Times New Roman" w:hAnsi="Times New Roman"/>
                <w:b/>
                <w:sz w:val="22"/>
              </w:rPr>
              <w:t>Model</w:t>
            </w:r>
          </w:p>
        </w:tc>
        <w:tc>
          <w:tcPr>
            <w:tcW w:type="dxa" w:w="2016"/>
            <w:vAlign w:val="center"/>
          </w:tcPr>
          <w:p>
            <w:pPr/>
            <w:r/>
            <w:r>
              <w:rPr>
                <w:rFonts w:ascii="Times New Roman" w:hAnsi="Times New Roman"/>
                <w:b/>
                <w:sz w:val="22"/>
              </w:rPr>
              <w:t>Observed</w:t>
            </w:r>
          </w:p>
        </w:tc>
        <w:tc>
          <w:tcPr>
            <w:tcW w:type="dxa" w:w="2304"/>
            <w:vAlign w:val="center"/>
          </w:tcPr>
          <w:p>
            <w:pPr/>
            <w:r/>
            <w:r>
              <w:rPr>
                <w:rFonts w:ascii="Times New Roman" w:hAnsi="Times New Roman"/>
                <w:b/>
                <w:sz w:val="22"/>
              </w:rPr>
              <w:t>Absolute difference</w:t>
            </w:r>
          </w:p>
        </w:tc>
      </w:tr>
      <w:tr>
        <w:tc>
          <w:tcPr>
            <w:tcW w:type="dxa" w:w="2592"/>
            <w:vAlign w:val="center"/>
          </w:tcPr>
          <w:p>
            <w:pPr/>
            <w:r/>
            <w:r>
              <w:rPr>
                <w:rFonts w:ascii="Times New Roman" w:hAnsi="Times New Roman"/>
                <w:b w:val="0"/>
                <w:sz w:val="22"/>
              </w:rPr>
              <w:t>Sensitivity</w:t>
            </w:r>
          </w:p>
        </w:tc>
        <w:tc>
          <w:tcPr>
            <w:tcW w:type="dxa" w:w="2016"/>
            <w:vAlign w:val="center"/>
          </w:tcPr>
          <w:p>
            <w:pPr/>
            <w:r/>
            <w:r>
              <w:rPr>
                <w:rFonts w:ascii="Times New Roman" w:hAnsi="Times New Roman"/>
                <w:b w:val="0"/>
                <w:sz w:val="22"/>
              </w:rPr>
              <w:t>0.99</w:t>
            </w:r>
          </w:p>
        </w:tc>
        <w:tc>
          <w:tcPr>
            <w:tcW w:type="dxa" w:w="2016"/>
            <w:vAlign w:val="center"/>
          </w:tcPr>
          <w:p>
            <w:pPr/>
            <w:r/>
            <w:r>
              <w:rPr>
                <w:rFonts w:ascii="Times New Roman" w:hAnsi="Times New Roman"/>
                <w:b w:val="0"/>
                <w:sz w:val="22"/>
              </w:rPr>
              <w:t>about 0.99</w:t>
            </w:r>
          </w:p>
        </w:tc>
        <w:tc>
          <w:tcPr>
            <w:tcW w:type="dxa" w:w="2304"/>
            <w:vAlign w:val="center"/>
          </w:tcPr>
          <w:p>
            <w:pPr/>
            <w:r/>
            <w:r>
              <w:rPr>
                <w:rFonts w:ascii="Times New Roman" w:hAnsi="Times New Roman"/>
                <w:b w:val="0"/>
                <w:sz w:val="22"/>
              </w:rPr>
              <w:t>&lt;0.01</w:t>
            </w:r>
          </w:p>
        </w:tc>
      </w:tr>
      <w:tr>
        <w:tc>
          <w:tcPr>
            <w:tcW w:type="dxa" w:w="2592"/>
            <w:vAlign w:val="center"/>
          </w:tcPr>
          <w:p>
            <w:pPr/>
            <w:r/>
            <w:r>
              <w:rPr>
                <w:rFonts w:ascii="Times New Roman" w:hAnsi="Times New Roman"/>
                <w:b w:val="0"/>
                <w:sz w:val="22"/>
              </w:rPr>
              <w:t>Specificity</w:t>
            </w:r>
          </w:p>
        </w:tc>
        <w:tc>
          <w:tcPr>
            <w:tcW w:type="dxa" w:w="2016"/>
            <w:vAlign w:val="center"/>
          </w:tcPr>
          <w:p>
            <w:pPr/>
            <w:r/>
            <w:r>
              <w:rPr>
                <w:rFonts w:ascii="Times New Roman" w:hAnsi="Times New Roman"/>
                <w:b w:val="0"/>
                <w:sz w:val="22"/>
              </w:rPr>
              <w:t>0.58 to 0.62</w:t>
            </w:r>
          </w:p>
        </w:tc>
        <w:tc>
          <w:tcPr>
            <w:tcW w:type="dxa" w:w="2016"/>
            <w:vAlign w:val="center"/>
          </w:tcPr>
          <w:p>
            <w:pPr/>
            <w:r/>
            <w:r>
              <w:rPr>
                <w:rFonts w:ascii="Times New Roman" w:hAnsi="Times New Roman"/>
                <w:b w:val="0"/>
                <w:sz w:val="22"/>
              </w:rPr>
              <w:t>about 0.60</w:t>
            </w:r>
          </w:p>
        </w:tc>
        <w:tc>
          <w:tcPr>
            <w:tcW w:type="dxa" w:w="2304"/>
            <w:vAlign w:val="center"/>
          </w:tcPr>
          <w:p>
            <w:pPr/>
            <w:r/>
            <w:r>
              <w:rPr>
                <w:rFonts w:ascii="Times New Roman" w:hAnsi="Times New Roman"/>
                <w:b w:val="0"/>
                <w:sz w:val="22"/>
              </w:rPr>
              <w:t>&lt;0.02</w:t>
            </w:r>
          </w:p>
        </w:tc>
      </w:tr>
    </w:tbl>
    <w:p/>
    <w:p>
      <w:pPr>
        <w:pStyle w:val="Heading2"/>
      </w:pPr>
      <w:r>
        <w:t>10.3 Hepatocellular carcinoma surveillance. Ultrasound plus AFP</w:t>
      </w:r>
    </w:p>
    <w:p>
      <w:pPr/>
      <w:r>
        <w:t>This benchmark is particularly informative because it demonstrates why dependence modeling matters. The review reports one cohort with ultrasound sensitivity 56.3 percent and specificity 100 percent, AFP sensitivity 62.5 percent and specificity 94.5 percent, and combined pathway sensitivity 89.1 percent with specificity 94.5 percent [18]. If independence is assumed, the OR-rule sensitivity is 83.6 percent, which is materially lower than the observed 89.1 percent. Once the positive-class overlap is calibrated using Equation (9), the exact combined sensitivity is recovered without difficulty.</w:t>
      </w:r>
    </w:p>
    <w:p>
      <w:pPr/>
      <w:r>
        <w:t>In other words, the pathway engine succeeds only if dependence is allowed. This is precisely the type of case that justifies the present methodological architecture. A simplistic spreadsheet that multiplies sensitivity complements would understate the value of combining ultrasound with AFP in this setting.</w:t>
      </w:r>
    </w:p>
    <w:tbl>
      <w:tblPr>
        <w:tblStyle w:val="TableGrid"/>
        <w:tblW w:type="auto" w:w="0"/>
        <w:jc w:val="center"/>
        <w:tblLook w:firstColumn="1" w:firstRow="1" w:lastColumn="0" w:lastRow="0" w:noHBand="0" w:noVBand="1" w:val="04A0"/>
      </w:tblPr>
      <w:tblGrid>
        <w:gridCol w:w="4680"/>
        <w:gridCol w:w="4680"/>
      </w:tblGrid>
      <w:tr>
        <w:tc>
          <w:tcPr>
            <w:tcW w:type="dxa" w:w="4896"/>
            <w:vAlign w:val="center"/>
          </w:tcPr>
          <w:p>
            <w:pPr/>
            <w:r/>
            <w:r>
              <w:rPr>
                <w:rFonts w:ascii="Times New Roman" w:hAnsi="Times New Roman"/>
                <w:b/>
                <w:sz w:val="22"/>
              </w:rPr>
              <w:t>Quantity</w:t>
            </w:r>
          </w:p>
        </w:tc>
        <w:tc>
          <w:tcPr>
            <w:tcW w:type="dxa" w:w="2880"/>
            <w:vAlign w:val="center"/>
          </w:tcPr>
          <w:p>
            <w:pPr/>
            <w:r/>
            <w:r>
              <w:rPr>
                <w:rFonts w:ascii="Times New Roman" w:hAnsi="Times New Roman"/>
                <w:b/>
                <w:sz w:val="22"/>
              </w:rPr>
              <w:t>Value</w:t>
            </w:r>
          </w:p>
        </w:tc>
      </w:tr>
      <w:tr>
        <w:tc>
          <w:tcPr>
            <w:tcW w:type="dxa" w:w="4896"/>
            <w:vAlign w:val="center"/>
          </w:tcPr>
          <w:p>
            <w:pPr/>
            <w:r/>
            <w:r>
              <w:rPr>
                <w:rFonts w:ascii="Times New Roman" w:hAnsi="Times New Roman"/>
                <w:b w:val="0"/>
                <w:sz w:val="22"/>
              </w:rPr>
              <w:t>Ultrasound alone. Se / Sp</w:t>
            </w:r>
          </w:p>
        </w:tc>
        <w:tc>
          <w:tcPr>
            <w:tcW w:type="dxa" w:w="2880"/>
            <w:vAlign w:val="center"/>
          </w:tcPr>
          <w:p>
            <w:pPr/>
            <w:r/>
            <w:r>
              <w:rPr>
                <w:rFonts w:ascii="Times New Roman" w:hAnsi="Times New Roman"/>
                <w:b w:val="0"/>
                <w:sz w:val="22"/>
              </w:rPr>
              <w:t>0.563 / 1.000</w:t>
            </w:r>
          </w:p>
        </w:tc>
      </w:tr>
      <w:tr>
        <w:tc>
          <w:tcPr>
            <w:tcW w:type="dxa" w:w="4896"/>
            <w:vAlign w:val="center"/>
          </w:tcPr>
          <w:p>
            <w:pPr/>
            <w:r/>
            <w:r>
              <w:rPr>
                <w:rFonts w:ascii="Times New Roman" w:hAnsi="Times New Roman"/>
                <w:b w:val="0"/>
                <w:sz w:val="22"/>
              </w:rPr>
              <w:t>AFP alone. Se / Sp</w:t>
            </w:r>
          </w:p>
        </w:tc>
        <w:tc>
          <w:tcPr>
            <w:tcW w:type="dxa" w:w="2880"/>
            <w:vAlign w:val="center"/>
          </w:tcPr>
          <w:p>
            <w:pPr/>
            <w:r/>
            <w:r>
              <w:rPr>
                <w:rFonts w:ascii="Times New Roman" w:hAnsi="Times New Roman"/>
                <w:b w:val="0"/>
                <w:sz w:val="22"/>
              </w:rPr>
              <w:t>0.625 / 0.945</w:t>
            </w:r>
          </w:p>
        </w:tc>
      </w:tr>
      <w:tr>
        <w:tc>
          <w:tcPr>
            <w:tcW w:type="dxa" w:w="4896"/>
            <w:vAlign w:val="center"/>
          </w:tcPr>
          <w:p>
            <w:pPr/>
            <w:r/>
            <w:r>
              <w:rPr>
                <w:rFonts w:ascii="Times New Roman" w:hAnsi="Times New Roman"/>
                <w:b w:val="0"/>
                <w:sz w:val="22"/>
              </w:rPr>
              <w:t>Combined observed. Se / Sp</w:t>
            </w:r>
          </w:p>
        </w:tc>
        <w:tc>
          <w:tcPr>
            <w:tcW w:type="dxa" w:w="2880"/>
            <w:vAlign w:val="center"/>
          </w:tcPr>
          <w:p>
            <w:pPr/>
            <w:r/>
            <w:r>
              <w:rPr>
                <w:rFonts w:ascii="Times New Roman" w:hAnsi="Times New Roman"/>
                <w:b w:val="0"/>
                <w:sz w:val="22"/>
              </w:rPr>
              <w:t>0.891 / 0.945</w:t>
            </w:r>
          </w:p>
        </w:tc>
      </w:tr>
      <w:tr>
        <w:tc>
          <w:tcPr>
            <w:tcW w:type="dxa" w:w="4896"/>
            <w:vAlign w:val="center"/>
          </w:tcPr>
          <w:p>
            <w:pPr/>
            <w:r/>
            <w:r>
              <w:rPr>
                <w:rFonts w:ascii="Times New Roman" w:hAnsi="Times New Roman"/>
                <w:b w:val="0"/>
                <w:sz w:val="22"/>
              </w:rPr>
              <w:t>Combined under independence. Se / Sp</w:t>
            </w:r>
          </w:p>
        </w:tc>
        <w:tc>
          <w:tcPr>
            <w:tcW w:type="dxa" w:w="2880"/>
            <w:vAlign w:val="center"/>
          </w:tcPr>
          <w:p>
            <w:pPr/>
            <w:r/>
            <w:r>
              <w:rPr>
                <w:rFonts w:ascii="Times New Roman" w:hAnsi="Times New Roman"/>
                <w:b w:val="0"/>
                <w:sz w:val="22"/>
              </w:rPr>
              <w:t>0.836 / 0.945</w:t>
            </w:r>
          </w:p>
        </w:tc>
      </w:tr>
      <w:tr>
        <w:tc>
          <w:tcPr>
            <w:tcW w:type="dxa" w:w="4896"/>
            <w:vAlign w:val="center"/>
          </w:tcPr>
          <w:p>
            <w:pPr/>
            <w:r/>
            <w:r>
              <w:rPr>
                <w:rFonts w:ascii="Times New Roman" w:hAnsi="Times New Roman"/>
                <w:b w:val="0"/>
                <w:sz w:val="22"/>
              </w:rPr>
              <w:t>Implied θ_1 = P(US+ and AFP+ | D=1)</w:t>
            </w:r>
          </w:p>
        </w:tc>
        <w:tc>
          <w:tcPr>
            <w:tcW w:type="dxa" w:w="2880"/>
            <w:vAlign w:val="center"/>
          </w:tcPr>
          <w:p>
            <w:pPr/>
            <w:r/>
            <w:r>
              <w:rPr>
                <w:rFonts w:ascii="Times New Roman" w:hAnsi="Times New Roman"/>
                <w:b w:val="0"/>
                <w:sz w:val="22"/>
              </w:rPr>
              <w:t>0.297</w:t>
            </w:r>
          </w:p>
        </w:tc>
      </w:tr>
      <w:tr>
        <w:tc>
          <w:tcPr>
            <w:tcW w:type="dxa" w:w="4896"/>
            <w:vAlign w:val="center"/>
          </w:tcPr>
          <w:p>
            <w:pPr/>
            <w:r/>
            <w:r>
              <w:rPr>
                <w:rFonts w:ascii="Times New Roman" w:hAnsi="Times New Roman"/>
                <w:b w:val="0"/>
                <w:sz w:val="22"/>
              </w:rPr>
              <w:t>Residual dependence δ_1 = θ_1 - Se_US × Se_AFP</w:t>
            </w:r>
          </w:p>
        </w:tc>
        <w:tc>
          <w:tcPr>
            <w:tcW w:type="dxa" w:w="2880"/>
            <w:vAlign w:val="center"/>
          </w:tcPr>
          <w:p>
            <w:pPr/>
            <w:r/>
            <w:r>
              <w:rPr>
                <w:rFonts w:ascii="Times New Roman" w:hAnsi="Times New Roman"/>
                <w:b w:val="0"/>
                <w:sz w:val="22"/>
              </w:rPr>
              <w:t>-0.0549</w:t>
            </w:r>
          </w:p>
        </w:tc>
      </w:tr>
    </w:tbl>
    <w:p/>
    <w:p>
      <w:pPr>
        <w:pStyle w:val="Heading2"/>
      </w:pPr>
      <w:r>
        <w:t>10.4 Tuberculosis triage. Chest radiography or CAD before Xpert</w:t>
      </w:r>
    </w:p>
    <w:p>
      <w:pPr/>
      <w:r>
        <w:t>Tuberculosis triage illustrates structural validation. In the prospective CAD4TB study summarized in the review, Xpert alone had sensitivity 78.9 percent and specificity 98.1 percent, while a pre-screen strategy that referred only 40 percent of presumptive cases to Xpert reduced the cost per screened subject from 13.09 to 6.72 US dollars and the cost per notified tuberculosis case from 90.70 to 54.34 US dollars, at the cost of eight missed tuberculosis cases [9,18]. Exact numerical reproduction of this benchmark requires the triage threshold, prevalence in the screened cohort, and branch-specific test distributions. Those details are not fully recoverable from the summary alone.</w:t>
      </w:r>
    </w:p>
    <w:p>
      <w:pPr/>
      <w:r>
        <w:t>However, the pathway engine reproduces the essential structure exactly. A lower-cost and lower-capacity triage front end reduces the number of second-line molecular tests and thereby improves throughput and cost efficiency, but it does so by accepting some loss in sensitivity. This is precisely the trade-off that OptiDx is intended to quantify and optimize. The case therefore serves as a high-value structural benchmark even when only partial numerical parameterization is possible.</w:t>
      </w:r>
    </w:p>
    <w:tbl>
      <w:tblPr>
        <w:tblStyle w:val="TableGrid"/>
        <w:tblW w:type="auto" w:w="0"/>
        <w:jc w:val="center"/>
        <w:tblLook w:firstColumn="1" w:firstRow="1" w:lastColumn="0" w:lastRow="0" w:noHBand="0" w:noVBand="1" w:val="04A0"/>
      </w:tblPr>
      <w:tblGrid>
        <w:gridCol w:w="4680"/>
        <w:gridCol w:w="4680"/>
      </w:tblGrid>
      <w:tr>
        <w:tc>
          <w:tcPr>
            <w:tcW w:type="dxa" w:w="4320"/>
            <w:vAlign w:val="center"/>
          </w:tcPr>
          <w:p>
            <w:pPr/>
            <w:r/>
            <w:r>
              <w:rPr>
                <w:rFonts w:ascii="Times New Roman" w:hAnsi="Times New Roman"/>
                <w:b/>
                <w:sz w:val="22"/>
              </w:rPr>
              <w:t>Observed implementation outcome</w:t>
            </w:r>
          </w:p>
        </w:tc>
        <w:tc>
          <w:tcPr>
            <w:tcW w:type="dxa" w:w="4320"/>
            <w:vAlign w:val="center"/>
          </w:tcPr>
          <w:p>
            <w:pPr/>
            <w:r/>
            <w:r>
              <w:rPr>
                <w:rFonts w:ascii="Times New Roman" w:hAnsi="Times New Roman"/>
                <w:b/>
                <w:sz w:val="22"/>
              </w:rPr>
              <w:t>Implication for model validation</w:t>
            </w:r>
          </w:p>
        </w:tc>
      </w:tr>
      <w:tr>
        <w:tc>
          <w:tcPr>
            <w:tcW w:type="dxa" w:w="4320"/>
            <w:vAlign w:val="center"/>
          </w:tcPr>
          <w:p>
            <w:pPr/>
            <w:r/>
            <w:r>
              <w:rPr>
                <w:rFonts w:ascii="Times New Roman" w:hAnsi="Times New Roman"/>
                <w:b w:val="0"/>
                <w:sz w:val="22"/>
              </w:rPr>
              <w:t>8 missed TB cases</w:t>
            </w:r>
          </w:p>
        </w:tc>
        <w:tc>
          <w:tcPr>
            <w:tcW w:type="dxa" w:w="4320"/>
            <w:vAlign w:val="center"/>
          </w:tcPr>
          <w:p>
            <w:pPr/>
            <w:r/>
            <w:r>
              <w:rPr>
                <w:rFonts w:ascii="Times New Roman" w:hAnsi="Times New Roman"/>
                <w:b w:val="0"/>
                <w:sz w:val="22"/>
              </w:rPr>
              <w:t>Model should predict non-zero false negatives after triage</w:t>
            </w:r>
          </w:p>
        </w:tc>
      </w:tr>
      <w:tr>
        <w:tc>
          <w:tcPr>
            <w:tcW w:type="dxa" w:w="4320"/>
            <w:vAlign w:val="center"/>
          </w:tcPr>
          <w:p>
            <w:pPr/>
            <w:r/>
            <w:r>
              <w:rPr>
                <w:rFonts w:ascii="Times New Roman" w:hAnsi="Times New Roman"/>
                <w:b w:val="0"/>
                <w:sz w:val="22"/>
              </w:rPr>
              <w:t>Cost per screened subject 13.09 to 6.72 USD</w:t>
            </w:r>
          </w:p>
        </w:tc>
        <w:tc>
          <w:tcPr>
            <w:tcW w:type="dxa" w:w="4320"/>
            <w:vAlign w:val="center"/>
          </w:tcPr>
          <w:p>
            <w:pPr/>
            <w:r/>
            <w:r>
              <w:rPr>
                <w:rFonts w:ascii="Times New Roman" w:hAnsi="Times New Roman"/>
                <w:b w:val="0"/>
                <w:sz w:val="22"/>
              </w:rPr>
              <w:t>Model should predict substantial cost reduction</w:t>
            </w:r>
          </w:p>
        </w:tc>
      </w:tr>
      <w:tr>
        <w:tc>
          <w:tcPr>
            <w:tcW w:type="dxa" w:w="4320"/>
            <w:vAlign w:val="center"/>
          </w:tcPr>
          <w:p>
            <w:pPr/>
            <w:r/>
            <w:r>
              <w:rPr>
                <w:rFonts w:ascii="Times New Roman" w:hAnsi="Times New Roman"/>
                <w:b w:val="0"/>
                <w:sz w:val="22"/>
              </w:rPr>
              <w:t>Throughput 45 to 113 patients per day</w:t>
            </w:r>
          </w:p>
        </w:tc>
        <w:tc>
          <w:tcPr>
            <w:tcW w:type="dxa" w:w="4320"/>
            <w:vAlign w:val="center"/>
          </w:tcPr>
          <w:p>
            <w:pPr/>
            <w:r/>
            <w:r>
              <w:rPr>
                <w:rFonts w:ascii="Times New Roman" w:hAnsi="Times New Roman"/>
                <w:b w:val="0"/>
                <w:sz w:val="22"/>
              </w:rPr>
              <w:t>Model should predict large improvement in effective capacity</w:t>
            </w:r>
          </w:p>
        </w:tc>
      </w:tr>
    </w:tbl>
    <w:p/>
    <w:p>
      <w:pPr>
        <w:pStyle w:val="Heading2"/>
      </w:pPr>
      <w:r>
        <w:t>10.5 Acute coronary syndrome. HEART pathway</w:t>
      </w:r>
    </w:p>
    <w:p>
      <w:pPr/>
      <w:r>
        <w:t>The HEART pathway is another endpoint-aligned benchmark rather than a pure Se-Sp benchmark. In the randomized trial summarized in the review, the pathway reduced objective cardiac testing by 12.1 percent, shortened length of stay by 12 hours, increased early discharges by 21.3 percent, and recorded no major adverse cardiac events at 30 days among the early-discharge group [6,18]. A pathway engine should therefore be evaluated primarily on its ability to reproduce very high NPV or very low failure risk in the low-risk branch, together with the branch proportion sent to early discharge.</w:t>
      </w:r>
    </w:p>
    <w:p>
      <w:pPr/>
      <w:r>
        <w:t>The path-based OptiDx framework is well suited to this because the low-risk discharge branch is simply one set of terminal paths. The expected branch proportion is computed directly, and the safety of that branch is evaluated either as NPV or as observed event risk over the follow-up horizon used by the study. This again emphasizes that pathway evaluation must respect the original study endpoint.</w:t>
      </w:r>
    </w:p>
    <w:p>
      <w:pPr>
        <w:pStyle w:val="Heading2"/>
      </w:pPr>
      <w:r>
        <w:t>10.6 Maternal-fetal triage benchmarks</w:t>
      </w:r>
    </w:p>
    <w:p>
      <w:pPr/>
      <w:r>
        <w:t>Two maternal-fetal pathways in the review provide strong endpoint-aligned benchmarks. First, the sFlt-1/PlGF ratio pathway for suspected pre-eclampsia reported an NPV of 99.3 percent for ruling out disease within one week and was associated in implementation analyses with fewer admissions and outpatient visits [10,18]. Second, the threatened preterm labour pathway combining cervical length and fetal fibronectin consistently reported NPV in the range of 97 to 99 percent and substantial savings when fibronectin was restricted to the intermediate-risk cervical length zone [11,18]. In both cases, the pathway model should be calibrated to NPV and resource use rather than to specificity alone.</w:t>
      </w:r>
    </w:p>
    <w:p>
      <w:pPr/>
      <w:r>
        <w:t>These examples are important because they broaden the validation set beyond infectious disease and acute cardiovascular care. They show that the same mathematical framework accommodates pathways where the principal policy question is whether a negative result safely prevents admission, treatment, or transfer.</w:t>
      </w:r>
    </w:p>
    <w:p>
      <w:pPr>
        <w:pStyle w:val="Heading2"/>
      </w:pPr>
      <w:r>
        <w:t>10.7 Predictive-value and serial confirmation benchmarks</w:t>
      </w:r>
    </w:p>
    <w:p>
      <w:pPr/>
      <w:r>
        <w:t>The review also documents pathway types in which predictive value, not intrinsic test accuracy, is the decision-critical outcome. HIV serial rapid testing is the clearest example. In non-clinical testing sites, a multi-test rapid algorithm improved positive predictive value from 86.4 percent for a single rapid test to 100 percent while enabling same-visit referral to care [12,18]. The general lesson is that when prevalence falls, the value of serial confirmation is often expressed through PPV rather than through pathway sensitivity. The present framework captures this directly through Equation (16), provided that the target prevalence or positivity level is known.</w:t>
      </w:r>
    </w:p>
    <w:p>
      <w:pPr/>
      <w:r>
        <w:t>Collectively, the benchmark set supports the central claim of the paper. A single mathematical engine can evaluate and optimize a wide range of diagnostic pathways, but the validation target must be selected to match the quantity that the original study actually estimated.</w:t>
      </w:r>
    </w:p>
    <w:p>
      <w:pPr>
        <w:pStyle w:val="Heading1"/>
      </w:pPr>
      <w:r>
        <w:t>11. Discussion</w:t>
      </w:r>
    </w:p>
    <w:p>
      <w:pPr/>
      <w:r>
        <w:t>The results above support several conclusions of direct methodological importance. First, the correct general object for pathway evaluation is the terminal path, not the test pair or the pathway label. Once the terminal path is defined, sensitivity, specificity, predictive values, resource use, and feasibility all become conditional expectations or conditional probabilities over the same finite set of paths. This unification is conceptually elegant and computationally practical.</w:t>
      </w:r>
    </w:p>
    <w:p>
      <w:pPr/>
      <w:r>
        <w:t>Second, conditional dependence is not a secondary refinement. The HCC benchmark shows that a clinically meaningful pathway conclusion can change materially if independence is imposed inappropriately. In that example the naive independent OR rule underestimates the combined sensitivity of ultrasound plus AFP by roughly 5.5 percentage points. In some settings the direction of bias could be reversed. The methodological literature on latent class models has made this point repeatedly [1-3]. The present paper extends the same lesson from latent class estimation to pathway optimization.</w:t>
      </w:r>
    </w:p>
    <w:p>
      <w:pPr/>
      <w:r>
        <w:t>Third, pathway validation must be endpoint-aware. The literature on smart diagnostic sequencing often reports exactly the outcomes that matter for implementation. This includes missed-event rates, imaging avoided, admissions avoided, throughput, or cost per detected case [4,6,9,10]. Attempting to coerce all such pathways into a single pooled sensitivity-specificity comparison is both statistically and clinically inappropriate. A valid diagnostic pathway engine should be judged by its ability to reproduce the metric that guided the original clinical decision.</w:t>
      </w:r>
    </w:p>
    <w:p>
      <w:pPr/>
      <w:r>
        <w:t>Fourth, the evidence review reveals an important challenge for future work. Published pathway studies often do not provide the branch-specific joint distributions needed for exact replication. This is not a flaw in the framework; it is a property of the evidence base. The practical consequence is that benchmark cases should be labeled by validation tier, and uncertainty should be propagated explicitly whenever branch-specific dependence is not empirically observed.</w:t>
      </w:r>
    </w:p>
    <w:p>
      <w:pPr/>
      <w:r>
        <w:t>Several limitations warrant discussion. The paper focuses on binary decision outputs, although the framework extends naturally to multi-category or threshold-indexed tests by expanding the branch set. The operational metrics are deterministic labels attached to nodes; real service-delivery times and costs may themselves be stochastic. The current formulation does not model learning effects, queueing, or adaptive prevalence estimation over time. Finally, local implementation may require calibration to context-specific prevalence and capacity constraints that are not available from published studies alone.</w:t>
      </w:r>
    </w:p>
    <w:p>
      <w:pPr/>
      <w:r>
        <w:t>Despite these limitations, the framework is sufficiently general to support a serious optimization platform. It formalizes the problem in a way that is transparent, extensible, and directly implementable. It also provides a principled basis for combining analytical accuracy with operational outcomes, which is the central requirement for a decision-support tool intended for health-system use.</w:t>
      </w:r>
    </w:p>
    <w:p>
      <w:pPr>
        <w:pStyle w:val="Heading1"/>
      </w:pPr>
      <w:r>
        <w:t>12. Direct alignment with the OptiDx platform</w:t>
      </w:r>
    </w:p>
    <w:p>
      <w:pPr/>
      <w:r>
        <w:t>The present specification was developed as the mathematical core of OptiDx. The alignment with the platform's design goals is direct. First, the path-based evaluator and optimization layer instantiate the optimization-engine objective of computing composite performance for serial, parallel, and branching diagnostic pathways. Second, the requirement that every parameter carry provenance metadata matches the proposed evidence database architecture. Third, the explicit distinction between exact, endpoint-aligned, and structural validation corresponds to the platform's planned proof-of-concept validation phase. Fourth, the inclusion of cost, turnaround time, sample burden, and skill burden provides the quantitative substrate needed for the multi-criteria ranking logic originally envisaged for low-resource settings.</w:t>
      </w:r>
    </w:p>
    <w:p>
      <w:pPr/>
      <w:r>
        <w:t>In translational terms, the mathematical results of this paper imply several design requirements for the software. The user interface must clearly communicate whether a reported pathway estimate is based on empirical pathway validation, joint probability data, conditional independence, or scenario analysis. The database must store threshold-specific parameters and not only generic test-level sensitivities and specificities. The optimization routine should default to constrained optimization with clinically meaningful minimum accuracy criteria, while leaving multi-criteria weighting as an optional layer. Finally, the validation module should report the benchmark tier for each pathway and should avoid overstating numerical precision when the literature does not support it.</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tcPr>
          <w:p>
            <w:pPr/>
            <w:r/>
            <w:r>
              <w:rPr>
                <w:rFonts w:ascii="Times New Roman" w:hAnsi="Times New Roman"/>
                <w:b/>
                <w:sz w:val="22"/>
              </w:rPr>
              <w:t>OptiDx workstream</w:t>
            </w:r>
          </w:p>
        </w:tc>
        <w:tc>
          <w:tcPr>
            <w:tcW w:type="dxa" w:w="2592"/>
            <w:vAlign w:val="center"/>
          </w:tcPr>
          <w:p>
            <w:pPr/>
            <w:r/>
            <w:r>
              <w:rPr>
                <w:rFonts w:ascii="Times New Roman" w:hAnsi="Times New Roman"/>
                <w:b/>
                <w:sz w:val="22"/>
              </w:rPr>
              <w:t>Paper component</w:t>
            </w:r>
          </w:p>
        </w:tc>
        <w:tc>
          <w:tcPr>
            <w:tcW w:type="dxa" w:w="4320"/>
            <w:vAlign w:val="center"/>
          </w:tcPr>
          <w:p>
            <w:pPr/>
            <w:r/>
            <w:r>
              <w:rPr>
                <w:rFonts w:ascii="Times New Roman" w:hAnsi="Times New Roman"/>
                <w:b/>
                <w:sz w:val="22"/>
              </w:rPr>
              <w:t>Implementation implication</w:t>
            </w:r>
          </w:p>
        </w:tc>
      </w:tr>
      <w:tr>
        <w:tc>
          <w:tcPr>
            <w:tcW w:type="dxa" w:w="2592"/>
            <w:vAlign w:val="center"/>
          </w:tcPr>
          <w:p>
            <w:pPr/>
            <w:r/>
            <w:r>
              <w:rPr>
                <w:rFonts w:ascii="Times New Roman" w:hAnsi="Times New Roman"/>
                <w:b w:val="0"/>
                <w:sz w:val="22"/>
              </w:rPr>
              <w:t>Optimization engine</w:t>
            </w:r>
          </w:p>
        </w:tc>
        <w:tc>
          <w:tcPr>
            <w:tcW w:type="dxa" w:w="2592"/>
            <w:vAlign w:val="center"/>
          </w:tcPr>
          <w:p>
            <w:pPr/>
            <w:r/>
            <w:r>
              <w:rPr>
                <w:rFonts w:ascii="Times New Roman" w:hAnsi="Times New Roman"/>
                <w:b w:val="0"/>
                <w:sz w:val="22"/>
              </w:rPr>
              <w:t>Sections 3 to 7</w:t>
            </w:r>
          </w:p>
        </w:tc>
        <w:tc>
          <w:tcPr>
            <w:tcW w:type="dxa" w:w="4320"/>
            <w:vAlign w:val="center"/>
          </w:tcPr>
          <w:p>
            <w:pPr/>
            <w:r/>
            <w:r>
              <w:rPr>
                <w:rFonts w:ascii="Times New Roman" w:hAnsi="Times New Roman"/>
                <w:b w:val="0"/>
                <w:sz w:val="22"/>
              </w:rPr>
              <w:t>Recursive path evaluator and constrained or MCDA ranking</w:t>
            </w:r>
          </w:p>
        </w:tc>
      </w:tr>
      <w:tr>
        <w:tc>
          <w:tcPr>
            <w:tcW w:type="dxa" w:w="2592"/>
            <w:vAlign w:val="center"/>
          </w:tcPr>
          <w:p>
            <w:pPr/>
            <w:r/>
            <w:r>
              <w:rPr>
                <w:rFonts w:ascii="Times New Roman" w:hAnsi="Times New Roman"/>
                <w:b w:val="0"/>
                <w:sz w:val="22"/>
              </w:rPr>
              <w:t>Evidence database</w:t>
            </w:r>
          </w:p>
        </w:tc>
        <w:tc>
          <w:tcPr>
            <w:tcW w:type="dxa" w:w="2592"/>
            <w:vAlign w:val="center"/>
          </w:tcPr>
          <w:p>
            <w:pPr/>
            <w:r/>
            <w:r>
              <w:rPr>
                <w:rFonts w:ascii="Times New Roman" w:hAnsi="Times New Roman"/>
                <w:b w:val="0"/>
                <w:sz w:val="22"/>
              </w:rPr>
              <w:t>Sections 4 and 9</w:t>
            </w:r>
          </w:p>
        </w:tc>
        <w:tc>
          <w:tcPr>
            <w:tcW w:type="dxa" w:w="4320"/>
            <w:vAlign w:val="center"/>
          </w:tcPr>
          <w:p>
            <w:pPr/>
            <w:r/>
            <w:r>
              <w:rPr>
                <w:rFonts w:ascii="Times New Roman" w:hAnsi="Times New Roman"/>
                <w:b w:val="0"/>
                <w:sz w:val="22"/>
              </w:rPr>
              <w:t>Store marginals, joint tables, thresholds, prevalence, and provenance</w:t>
            </w:r>
          </w:p>
        </w:tc>
      </w:tr>
      <w:tr>
        <w:tc>
          <w:tcPr>
            <w:tcW w:type="dxa" w:w="2592"/>
            <w:vAlign w:val="center"/>
          </w:tcPr>
          <w:p>
            <w:pPr/>
            <w:r/>
            <w:r>
              <w:rPr>
                <w:rFonts w:ascii="Times New Roman" w:hAnsi="Times New Roman"/>
                <w:b w:val="0"/>
                <w:sz w:val="22"/>
              </w:rPr>
              <w:t>User interface</w:t>
            </w:r>
          </w:p>
        </w:tc>
        <w:tc>
          <w:tcPr>
            <w:tcW w:type="dxa" w:w="2592"/>
            <w:vAlign w:val="center"/>
          </w:tcPr>
          <w:p>
            <w:pPr/>
            <w:r/>
            <w:r>
              <w:rPr>
                <w:rFonts w:ascii="Times New Roman" w:hAnsi="Times New Roman"/>
                <w:b w:val="0"/>
                <w:sz w:val="22"/>
              </w:rPr>
              <w:t>Sections 5 and 6</w:t>
            </w:r>
          </w:p>
        </w:tc>
        <w:tc>
          <w:tcPr>
            <w:tcW w:type="dxa" w:w="4320"/>
            <w:vAlign w:val="center"/>
          </w:tcPr>
          <w:p>
            <w:pPr/>
            <w:r/>
            <w:r>
              <w:rPr>
                <w:rFonts w:ascii="Times New Roman" w:hAnsi="Times New Roman"/>
                <w:b w:val="0"/>
                <w:sz w:val="22"/>
              </w:rPr>
              <w:t>Expose analytical and operational metrics with uncertainty labels</w:t>
            </w:r>
          </w:p>
        </w:tc>
      </w:tr>
      <w:tr>
        <w:tc>
          <w:tcPr>
            <w:tcW w:type="dxa" w:w="2592"/>
            <w:vAlign w:val="center"/>
          </w:tcPr>
          <w:p>
            <w:pPr/>
            <w:r/>
            <w:r>
              <w:rPr>
                <w:rFonts w:ascii="Times New Roman" w:hAnsi="Times New Roman"/>
                <w:b w:val="0"/>
                <w:sz w:val="22"/>
              </w:rPr>
              <w:t>Validation workstream</w:t>
            </w:r>
          </w:p>
        </w:tc>
        <w:tc>
          <w:tcPr>
            <w:tcW w:type="dxa" w:w="2592"/>
            <w:vAlign w:val="center"/>
          </w:tcPr>
          <w:p>
            <w:pPr/>
            <w:r/>
            <w:r>
              <w:rPr>
                <w:rFonts w:ascii="Times New Roman" w:hAnsi="Times New Roman"/>
                <w:b w:val="0"/>
                <w:sz w:val="22"/>
              </w:rPr>
              <w:t>Sections 8 to 10</w:t>
            </w:r>
          </w:p>
        </w:tc>
        <w:tc>
          <w:tcPr>
            <w:tcW w:type="dxa" w:w="4320"/>
            <w:vAlign w:val="center"/>
          </w:tcPr>
          <w:p>
            <w:pPr/>
            <w:r/>
            <w:r>
              <w:rPr>
                <w:rFonts w:ascii="Times New Roman" w:hAnsi="Times New Roman"/>
                <w:b w:val="0"/>
                <w:sz w:val="22"/>
              </w:rPr>
              <w:t>Benchmark pathways by tier and by matched endpoint</w:t>
            </w:r>
          </w:p>
        </w:tc>
      </w:tr>
    </w:tbl>
    <w:p/>
    <w:p>
      <w:pPr>
        <w:pStyle w:val="Heading1"/>
      </w:pPr>
      <w:r>
        <w:t>13. Conclusion</w:t>
      </w:r>
    </w:p>
    <w:p>
      <w:pPr/>
      <w:r>
        <w:t>This paper has developed a generalized probabilistic framework for diagnostic pathway evaluation and optimization under conditional dependence. The central result is simple but powerful. Any finite diagnostic pathway can be evaluated by summing the conditional probabilities of its terminal paths. This path-based representation is general enough to recover the familiar series and parallel formulas, yet flexible enough to handle referee branches, threshold-dependent routing, and operational outcomes. When conditional dependence is represented explicitly, the framework reproduces real-world pathway behavior more faithfully than independence-based heuristics.</w:t>
      </w:r>
    </w:p>
    <w:p>
      <w:pPr/>
      <w:r>
        <w:t>The methodological value of the framework lies in its unification of diagnostic accuracy, predictive values, resource use, and feasibility within one computational object. The translational value lies in its immediate implementability in Python and its direct fit with the OptiDx platform. Future development should prioritize richer joint datasets, threshold-specific pathway libraries, and prospective benchmark validation against fully specified real-world pathways. The mathematical foundation, however, is now clear.</w:t>
      </w:r>
    </w:p>
    <w:p>
      <w:r>
        <w:br w:type="page"/>
      </w:r>
    </w:p>
    <w:p>
      <w:pPr>
        <w:pStyle w:val="Heading1"/>
      </w:pPr>
      <w:r>
        <w:t>References</w:t>
      </w:r>
    </w:p>
    <w:p>
      <w:pPr>
        <w:spacing w:line="276" w:lineRule="auto" w:after="40"/>
      </w:pPr>
      <w:r>
        <w:t>1. Keddie SH, Baerenbold O, Keogh RH, et al. Estimating sensitivity and specificity of diagnostic tests using latent class models that account for conditional dependence between tests: a simulation study. BMC Medical Research Methodology. 2023;23:58. doi:10.1186/s12874-023-01873-0.</w:t>
      </w:r>
    </w:p>
    <w:p>
      <w:pPr>
        <w:spacing w:line="276" w:lineRule="auto" w:after="40"/>
      </w:pPr>
      <w:r>
        <w:t>2. Menten J, Boelaert M, Lesaffre E. Bayesian latent class models with conditionally dependent diagnostic tests: a case study. Statistics in Medicine. 2008;27(22):4469-4488. doi:10.1002/sim.3317.</w:t>
      </w:r>
    </w:p>
    <w:p>
      <w:pPr>
        <w:spacing w:line="276" w:lineRule="auto" w:after="40"/>
      </w:pPr>
      <w:r>
        <w:t>3. Bermingham ML, Handel IG, Glass EJ, et al. Hui and Walter’s latent-class model extended to estimate diagnostic test properties from surveillance data: a latent model for latent data. Scientific Reports. 2015;5:11861. doi:10.1038/srep11861.</w:t>
      </w:r>
    </w:p>
    <w:p>
      <w:pPr>
        <w:spacing w:line="276" w:lineRule="auto" w:after="40"/>
      </w:pPr>
      <w:r>
        <w:t>4. van der Hulle T, Cheung WY, Kooij S, et al. Simplified diagnostic management of suspected pulmonary embolism, the YEARS study: a prospective, multicentre, cohort study. Lancet. 2017;390(10091):289-297. PMID:28549662.</w:t>
      </w:r>
    </w:p>
    <w:p>
      <w:pPr>
        <w:spacing w:line="276" w:lineRule="auto" w:after="40"/>
      </w:pPr>
      <w:r>
        <w:t>5. Wells PS, Anderson DR, Rodger M, et al. Evaluation of D-dimer in the diagnosis of suspected deep-vein thrombosis. New England Journal of Medicine. 2003;349:1227-1235. doi:10.1056/NEJMoa023153.</w:t>
      </w:r>
    </w:p>
    <w:p>
      <w:pPr>
        <w:spacing w:line="276" w:lineRule="auto" w:after="40"/>
      </w:pPr>
      <w:r>
        <w:t>6. Mahler SA, Riley RF, Hiestand BC, et al. The HEART Pathway randomized trial. Circulation: Cardiovascular Quality and Outcomes. 2015;8(2):195-203. doi:10.1161/CIRCOUTCOMES.114.001384.</w:t>
      </w:r>
    </w:p>
    <w:p>
      <w:pPr>
        <w:spacing w:line="276" w:lineRule="auto" w:after="40"/>
      </w:pPr>
      <w:r>
        <w:t>7. Taylor CJ, Ordóñez-Mena JM, Roalfe AK, et al. Natriuretic peptide testing and heart failure diagnosis in primary care. British Journal of General Practice. 2023;73(726):e1-e10. doi:10.3399/BJGP.2022.0278.</w:t>
      </w:r>
    </w:p>
    <w:p>
      <w:pPr>
        <w:spacing w:line="276" w:lineRule="auto" w:after="40"/>
      </w:pPr>
      <w:r>
        <w:t>8. Tzartzeva K, Obi J, Rich NE, et al. Surveillance imaging and alpha fetoprotein for early detection of hepatocellular carcinoma in patients with cirrhosis: a meta-analysis. Gastroenterology. 2018;154(6):1706-1718.e1. doi:10.1053/j.gastro.2018.01.064.</w:t>
      </w:r>
    </w:p>
    <w:p>
      <w:pPr>
        <w:spacing w:line="276" w:lineRule="auto" w:after="40"/>
      </w:pPr>
      <w:r>
        <w:t>9. Philipsen RHHM, Sanchez CI, Maduskar P, et al. Automated chest-radiography as a triage for Xpert testing in resource-constrained settings: a prospective study of diagnostic accuracy and costs. Scientific Reports. 2015;5:12215. doi:10.1038/srep12215.</w:t>
      </w:r>
    </w:p>
    <w:p>
      <w:pPr>
        <w:spacing w:line="276" w:lineRule="auto" w:after="40"/>
      </w:pPr>
      <w:r>
        <w:t>10. Zeisler H, Llurba E, Chantraine F, et al. Predictive value of the sFlt-1:PlGF ratio in women with suspected preeclampsia. New England Journal of Medicine. 2016;374:13-22. doi:10.1056/NEJMoa1414838.</w:t>
      </w:r>
    </w:p>
    <w:p>
      <w:pPr>
        <w:spacing w:line="276" w:lineRule="auto" w:after="40"/>
      </w:pPr>
      <w:r>
        <w:t>11. van Baaren GJ, Vis JY, Wilms FF, et al. Predictive value of cervical length and fetal fibronectin testing in threatened preterm labor. American Journal of Obstetrics and Gynecology. 2013;209(5):436.e1-436.e8. doi:10.1016/j.ajog.2013.06.029.</w:t>
      </w:r>
    </w:p>
    <w:p>
      <w:pPr>
        <w:spacing w:line="276" w:lineRule="auto" w:after="40"/>
      </w:pPr>
      <w:r>
        <w:t>12. Delaney KP, Branson BM, Uniyal A, et al. Evaluation of the performance characteristics of a rapid HIV testing algorithm in nonclinical settings. JAIDS Journal of Acquired Immune Deficiency Syndromes. 2015. PMID:26284530. doi:10.1097/QAI.0000000000000807.</w:t>
      </w:r>
    </w:p>
    <w:p>
      <w:pPr>
        <w:spacing w:line="276" w:lineRule="auto" w:after="40"/>
      </w:pPr>
      <w:r>
        <w:t>13. Molins CR, Delorey MJ, Sexton C, et al. Development of a modified two-tiered testing algorithm for Lyme disease. Open Forum Infectious Diseases. 2022;9(8). PMCID:PMC9297310.</w:t>
      </w:r>
    </w:p>
    <w:p>
      <w:pPr>
        <w:spacing w:line="276" w:lineRule="auto" w:after="40"/>
      </w:pPr>
      <w:r>
        <w:t>14. Ogilvie GS, van Niekerk D, Krajden M, et al. Effect of screening with primary cervical HPV testing vs cytology testing on high-grade cervical intraepithelial neoplasia at 48 months. JAMA. 2018;320(1):43-52.</w:t>
      </w:r>
    </w:p>
    <w:p>
      <w:pPr>
        <w:spacing w:line="276" w:lineRule="auto" w:after="40"/>
      </w:pPr>
      <w:r>
        <w:t>15. Callender T, Emberton M, Morris S, et al. Polygenic risk-tailored screening and the role of MRI in prostate cancer diagnosis. JAMA Network Open. 2021. PMID:33704474.</w:t>
      </w:r>
    </w:p>
    <w:p>
      <w:pPr>
        <w:spacing w:line="276" w:lineRule="auto" w:after="40"/>
      </w:pPr>
      <w:r>
        <w:t>16. Perry JJ, Sivilotti MLA, Sutherland J, et al. Prospective implementation of the Ottawa subarachnoid hemorrhage rule and the 6-hour computed tomography rule. Stroke. 2020. PMID:31805846.</w:t>
      </w:r>
    </w:p>
    <w:p>
      <w:pPr>
        <w:spacing w:line="276" w:lineRule="auto" w:after="40"/>
      </w:pPr>
      <w:r>
        <w:t>17. Ontario Health (Quality). Noninvasive prenatal testing for trisomies 21, 18, and 13: a health technology assessment. 2019. PMCID:PMC6395059.</w:t>
      </w:r>
    </w:p>
    <w:p>
      <w:pPr>
        <w:spacing w:line="276" w:lineRule="auto" w:after="40"/>
      </w:pPr>
      <w:r>
        <w:t>18. Smart Diagnostic Sequencing Pathways in Published Literature. Internal evidence synthesis prepared for OptiDx. 2026.</w:t>
      </w:r>
    </w:p>
    <w:p>
      <w:r>
        <w:br w:type="page"/>
      </w:r>
    </w:p>
    <w:p>
      <w:pPr>
        <w:pStyle w:val="Heading1"/>
      </w:pPr>
      <w:r>
        <w:t>Appendix A. Minimal data schema for a pathway definition</w:t>
      </w:r>
    </w:p>
    <w:p>
      <w:pPr/>
      <w:r>
        <w:t>A pathway description for the reference engine should be sufficiently expressive to encode the structure, probabilities, and operational attributes required for evaluation. At minimum the schema should contain: a test library; optional joint or conditional tables keyed by the tests they describe; a root node; a node dictionary; terminal leaves with algorithm classifications; and a provenance block. Every thresholded test should store the exact threshold, assay version, and population or target condition for which the parameter estimate is valid.</w:t>
      </w:r>
    </w:p>
    <w:p>
      <w:pPr/>
      <w:r>
        <w:t>The provenance block should record the source identifier, citation, year, and notes on applicability. For benchmark studies, the schema should also store the validation endpoint type and the observed literature value. This allows the same file to drive both pathway evaluation and validation reporting.</w:t>
      </w:r>
    </w:p>
    <w:p>
      <w:pPr>
        <w:pStyle w:val="CodeBlock"/>
      </w:pPr>
      <w:r>
        <w:t>{</w:t>
      </w:r>
    </w:p>
    <w:p>
      <w:pPr>
        <w:pStyle w:val="CodeBlock"/>
      </w:pPr>
      <w:r>
        <w:t xml:space="preserve">  "metadata": {</w:t>
      </w:r>
    </w:p>
    <w:p>
      <w:pPr>
        <w:pStyle w:val="CodeBlock"/>
      </w:pPr>
      <w:r>
        <w:t xml:space="preserve">    "condition": "example_condition",</w:t>
      </w:r>
    </w:p>
    <w:p>
      <w:pPr>
        <w:pStyle w:val="CodeBlock"/>
      </w:pPr>
      <w:r>
        <w:t xml:space="preserve">    "validation_endpoint": "sensitivity_specificity",</w:t>
      </w:r>
    </w:p>
    <w:p>
      <w:pPr>
        <w:pStyle w:val="CodeBlock"/>
      </w:pPr>
      <w:r>
        <w:t xml:space="preserve">    "source": "Example source"</w:t>
      </w:r>
    </w:p>
    <w:p>
      <w:pPr>
        <w:pStyle w:val="CodeBlock"/>
      </w:pPr>
      <w:r>
        <w:t xml:space="preserve">  },</w:t>
      </w:r>
    </w:p>
    <w:p>
      <w:pPr>
        <w:pStyle w:val="CodeBlock"/>
      </w:pPr>
      <w:r>
        <w:t xml:space="preserve">  "tests": {</w:t>
      </w:r>
    </w:p>
    <w:p>
      <w:pPr>
        <w:pStyle w:val="CodeBlock"/>
      </w:pPr>
      <w:r>
        <w:t xml:space="preserve">    "A": {</w:t>
      </w:r>
    </w:p>
    <w:p>
      <w:pPr>
        <w:pStyle w:val="CodeBlock"/>
      </w:pPr>
      <w:r>
        <w:t xml:space="preserve">      "sensitivity": 0.90,</w:t>
      </w:r>
    </w:p>
    <w:p>
      <w:pPr>
        <w:pStyle w:val="CodeBlock"/>
      </w:pPr>
      <w:r>
        <w:t xml:space="preserve">      "specificity": 0.80,</w:t>
      </w:r>
    </w:p>
    <w:p>
      <w:pPr>
        <w:pStyle w:val="CodeBlock"/>
      </w:pPr>
      <w:r>
        <w:t xml:space="preserve">      "tat": 1,</w:t>
      </w:r>
    </w:p>
    <w:p>
      <w:pPr>
        <w:pStyle w:val="CodeBlock"/>
      </w:pPr>
      <w:r>
        <w:t xml:space="preserve">      "cost": 2,</w:t>
      </w:r>
    </w:p>
    <w:p>
      <w:pPr>
        <w:pStyle w:val="CodeBlock"/>
      </w:pPr>
      <w:r>
        <w:t xml:space="preserve">      "samples": ["blood"],</w:t>
      </w:r>
    </w:p>
    <w:p>
      <w:pPr>
        <w:pStyle w:val="CodeBlock"/>
      </w:pPr>
      <w:r>
        <w:t xml:space="preserve">      "skill": 1</w:t>
      </w:r>
    </w:p>
    <w:p>
      <w:pPr>
        <w:pStyle w:val="CodeBlock"/>
      </w:pPr>
      <w:r>
        <w:t xml:space="preserve">    }</w:t>
      </w:r>
    </w:p>
    <w:p>
      <w:pPr>
        <w:pStyle w:val="CodeBlock"/>
      </w:pPr>
      <w:r>
        <w:t xml:space="preserve">  },</w:t>
      </w:r>
    </w:p>
    <w:p>
      <w:pPr>
        <w:pStyle w:val="CodeBlock"/>
      </w:pPr>
      <w:r>
        <w:t xml:space="preserve">  "joint_tables": {},</w:t>
      </w:r>
    </w:p>
    <w:p>
      <w:pPr>
        <w:pStyle w:val="CodeBlock"/>
      </w:pPr>
      <w:r>
        <w:t xml:space="preserve">  "nodes": {</w:t>
      </w:r>
    </w:p>
    <w:p>
      <w:pPr>
        <w:pStyle w:val="CodeBlock"/>
      </w:pPr>
      <w:r>
        <w:t xml:space="preserve">    "root": {"type": "test", "test": "A", "children": {"positive": "leaf_pos", "negative": "leaf_neg"}},</w:t>
      </w:r>
    </w:p>
    <w:p>
      <w:pPr>
        <w:pStyle w:val="CodeBlock"/>
      </w:pPr>
      <w:r>
        <w:t xml:space="preserve">    "leaf_pos": {"type": "leaf", "classification": "positive"},</w:t>
      </w:r>
    </w:p>
    <w:p>
      <w:pPr>
        <w:pStyle w:val="CodeBlock"/>
      </w:pPr>
      <w:r>
        <w:t xml:space="preserve">    "leaf_neg": {"type": "leaf", "classification": "negative"}</w:t>
      </w:r>
    </w:p>
    <w:p>
      <w:pPr>
        <w:pStyle w:val="CodeBlock"/>
      </w:pPr>
      <w:r>
        <w:t xml:space="preserve">  },</w:t>
      </w:r>
    </w:p>
    <w:p>
      <w:pPr>
        <w:pStyle w:val="CodeBlock"/>
      </w:pPr>
      <w:r>
        <w:t xml:space="preserve">  "root": "root"</w:t>
      </w:r>
    </w:p>
    <w:p>
      <w:pPr>
        <w:pStyle w:val="CodeBlock"/>
      </w:pP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spacing w:before="60" w:after="60"/>
      <w:jc w:val="center"/>
    </w:pPr>
    <w:rPr>
      <w:rFonts w:ascii="Times New Roman" w:hAnsi="Times New Roman"/>
      <w:sz w:val="24"/>
    </w:rPr>
  </w:style>
  <w:style w:type="paragraph" w:customStyle="1" w:styleId="CodeBlock">
    <w:name w:val="CodeBlock"/>
    <w:basedOn w:val="Normal"/>
    <w:pPr>
      <w:spacing w:before="60" w:after="60" w:line="240" w:lineRule="auto"/>
      <w:ind w:left="432"/>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