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الملف الشامل لخطة التسويق والمبيعات والتشغيل والحملات الرقمية</w:t>
      </w:r>
    </w:p>
    <w:p>
      <w:pPr>
        <w:pStyle w:val="MdParagraph"/>
      </w:pPr>
      <w:r>
        <w:rPr>
          <w:rStyle w:val="MdStrong"/>
          <w:b/>
          <w:bCs/>
        </w:rPr>
        <w:t xml:space="preserve">المشروع:</w:t>
      </w:r>
      <w:r>
        <w:t xml:space="preserve"> كايرو بلازا</w:t>
      </w:r>
    </w:p>
    <w:p>
      <w:pPr>
        <w:pStyle w:val="MdSpace"/>
        <w:spacing w:before="0" w:after="60"/>
      </w:pPr>
    </w:p>
    <w:p>
      <w:pPr>
        <w:pStyle w:val="MdParagraph"/>
      </w:pPr>
      <w:r>
        <w:rPr>
          <w:rStyle w:val="MdStrong"/>
          <w:b/>
          <w:bCs/>
        </w:rPr>
        <w:t xml:space="preserve">الغرض:</w:t>
      </w:r>
      <w:r>
        <w:t xml:space="preserve"> تجميع المخرجات التنفيذية والاعتمادات المقترحة في وثيقة واحدة للمراجعة الإدارية. جميع الميزانيات النقدية تظل خانات اعتماد تحددها الإدارة العليا. حملات Meta المنشأة داخل الحساب محفوظة كمسودات فقط وغير منشورة وغير مفعلة.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فهرس الوثائق المدمجة</w:t>
      </w:r>
    </w:p>
    <w:p>
      <w:pPr>
        <w:pStyle w:val="MdListItem"/>
        <w:numPr>
          <w:ilvl w:val="0"/>
          <w:numId w:val="2"/>
        </w:numPr>
      </w:pPr>
      <w:r>
        <w:t xml:space="preserve">marketing_sales_approval_memo_final.md</w:t>
      </w:r>
    </w:p>
    <w:p>
      <w:pPr>
        <w:pStyle w:val="MdListItem"/>
        <w:numPr>
          <w:ilvl w:val="0"/>
          <w:numId w:val="2"/>
        </w:numPr>
      </w:pPr>
      <w:r>
        <w:t xml:space="preserve">marketing_sales_org_crm_script.md</w:t>
      </w:r>
    </w:p>
    <w:p>
      <w:pPr>
        <w:pStyle w:val="MdListItem"/>
        <w:numPr>
          <w:ilvl w:val="0"/>
          <w:numId w:val="2"/>
        </w:numPr>
      </w:pPr>
      <w:r>
        <w:t xml:space="preserve">cairo_plaza_campaign_proposal.md</w:t>
      </w:r>
    </w:p>
    <w:p>
      <w:pPr>
        <w:pStyle w:val="MdListItem"/>
        <w:numPr>
          <w:ilvl w:val="0"/>
          <w:numId w:val="2"/>
        </w:numPr>
      </w:pPr>
      <w:r>
        <w:t xml:space="preserve">cairo_plaza_campaign_budget_brokers_board_script.md</w:t>
      </w:r>
    </w:p>
    <w:p>
      <w:pPr>
        <w:pStyle w:val="MdListItem"/>
        <w:numPr>
          <w:ilvl w:val="0"/>
          <w:numId w:val="2"/>
        </w:numPr>
      </w:pPr>
      <w:r>
        <w:t xml:space="preserve">cairo_plaza_google_meta_campaign_plan.md</w:t>
      </w:r>
    </w:p>
    <w:p>
      <w:pPr>
        <w:pStyle w:val="MdListItem"/>
        <w:numPr>
          <w:ilvl w:val="0"/>
          <w:numId w:val="2"/>
        </w:numPr>
      </w:pPr>
      <w:r>
        <w:t xml:space="preserve">cairo_plaza_keywords_budget_board_script.md</w:t>
      </w:r>
    </w:p>
    <w:p>
      <w:pPr>
        <w:pStyle w:val="MdListItem"/>
        <w:numPr>
          <w:ilvl w:val="0"/>
          <w:numId w:val="2"/>
        </w:numPr>
      </w:pPr>
      <w:r>
        <w:t xml:space="preserve">cairo_plaza_meta_campaign_package.md</w:t>
      </w:r>
    </w:p>
    <w:p>
      <w:pPr>
        <w:pStyle w:val="MdListItem"/>
        <w:numPr>
          <w:ilvl w:val="0"/>
          <w:numId w:val="2"/>
        </w:numPr>
      </w:pPr>
      <w:r>
        <w:t xml:space="preserve">cairo_plaza_swot_market_value_analysis.md</w:t>
      </w:r>
    </w:p>
    <w:p>
      <w:pPr>
        <w:pStyle w:val="MdListItem"/>
        <w:numPr>
          <w:ilvl w:val="0"/>
          <w:numId w:val="2"/>
        </w:numPr>
      </w:pPr>
      <w:r>
        <w:t xml:space="preserve">broker_agreement_weekly_report_board_qa.md</w:t>
      </w:r>
    </w:p>
    <w:p>
      <w:pPr>
        <w:pStyle w:val="MdListItem"/>
        <w:numPr>
          <w:ilvl w:val="0"/>
          <w:numId w:val="2"/>
        </w:numPr>
      </w:pPr>
      <w:r>
        <w:t xml:space="preserve">board_presentation_script_updated.md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ملاحظة تشغيلية موحدة</w:t>
      </w:r>
    </w:p>
    <w:p>
      <w:pPr>
        <w:pStyle w:val="MdParagraph"/>
      </w:pPr>
      <w:r>
        <w:t xml:space="preserve">قبل أي نشر أو إنفاق أو اعتماد نهائي، يجب تأكيد الوحدات والأسعار والمساحات والتشطيب والتراخيص والتسليم، ومراجعة الصلاحيات المالية والقانونية. صلاحية مسؤول التطوير في الاطلاع والمتابعة لا تمنحه صلاحية الصرف أو تعديل الأسعار أو حذف القيود المالية.</w:t>
      </w:r>
    </w:p>
    <w:p>
      <w:pPr>
        <w:pStyle w:val="MdSpace"/>
        <w:spacing w:before="0" w:after="60"/>
      </w:pPr>
    </w:p>
    <w:p>
      <w:pPr>
        <w:pStyle w:val="Heading1"/>
        <w:pStyle w:val="MdHeading1"/>
      </w:pPr>
      <w:r>
        <w:t xml:space="preserve">مصدر مدمج: marketing_sales_approval_memo_final.md</w:t>
      </w:r>
    </w:p>
    <w:p>
      <w:pPr>
        <w:pStyle w:val="Heading1"/>
        <w:pStyle w:val="MdHeading1"/>
      </w:pPr>
      <w:r>
        <w:t xml:space="preserve">مذكرة اعتماد خطة العمل والتسويق والمبيعات والتشغيل</w:t>
      </w:r>
    </w:p>
    <w:p>
      <w:pPr>
        <w:pStyle w:val="MdParagraph"/>
      </w:pPr>
      <w:r>
        <w:rPr>
          <w:rStyle w:val="MdStrong"/>
          <w:b/>
          <w:bCs/>
        </w:rPr>
        <w:t xml:space="preserve">مسودة للاعتماد والمراجعة</w:t>
      </w:r>
      <w:r>
        <w:rPr>
          <w:rStyle w:val="MdBr"/>
        </w:rPr>
        <w:br/>
        <w:t xml:space="preserve"/>
      </w:r>
      <w:r>
        <w:rPr>
          <w:rStyle w:val="MdStrong"/>
          <w:b/>
          <w:bCs/>
        </w:rPr>
        <w:t xml:space="preserve">التاريخ:</w:t>
      </w:r>
      <w:r>
        <w:t xml:space="preserve"> 22 أغسطس 2026</w:t>
      </w:r>
      <w:r>
        <w:rPr>
          <w:rStyle w:val="MdBr"/>
        </w:rPr>
        <w:br/>
        <w:t xml:space="preserve"/>
      </w:r>
      <w:r>
        <w:rPr>
          <w:rStyle w:val="MdStrong"/>
          <w:b/>
          <w:bCs/>
        </w:rPr>
        <w:t xml:space="preserve">إلى:</w:t>
      </w:r>
      <w:r>
        <w:t xml:space="preserve"> السيد المحترم المهندس/ محمد البدري، والسيد المحترم/ رئيس مجلس الإدارة</w:t>
      </w:r>
      <w:r>
        <w:rPr>
          <w:rStyle w:val="MdBr"/>
        </w:rPr>
        <w:br/>
        <w:t xml:space="preserve"/>
      </w:r>
      <w:r>
        <w:rPr>
          <w:rStyle w:val="MdStrong"/>
          <w:b/>
          <w:bCs/>
        </w:rPr>
        <w:t xml:space="preserve">الموضوع:</w:t>
      </w:r>
      <w:r>
        <w:t xml:space="preserve"> اعتماد خطة التسويق والمبيعات والتشغيل، وموقف الوحدات المتاحة، وقيمة المشروع، وخطة التوظيف</w:t>
      </w:r>
    </w:p>
    <w:p>
      <w:pPr>
        <w:pStyle w:val="MdSpace"/>
        <w:spacing w:before="0" w:after="60"/>
      </w:pPr>
    </w:p>
    <w:p>
      <w:pPr>
        <w:pStyle w:val="Heading2"/>
        <w:pStyle w:val="MdHeading2"/>
      </w:pPr>
      <w:r>
        <w:t xml:space="preserve">نظام الشركة والصلاحيات المطلوبة</w:t>
      </w:r>
    </w:p>
    <w:p>
      <w:pPr>
        <w:pStyle w:val="Heading3"/>
        <w:pStyle w:val="MdHeading3"/>
      </w:pPr>
      <w:r>
        <w:t xml:space="preserve">صلاحية مسؤول تطوير الأعمال والتسويق والمبيعات</w:t>
      </w:r>
    </w:p>
    <w:p>
      <w:pPr>
        <w:pStyle w:val="MdParagraph"/>
      </w:pPr>
      <w:r>
        <w:t xml:space="preserve">يُعتمد لمسؤول تطوير الأعمال والتسويق والمبيعات حق الاطلاع التشغيلي المنتظم على جميع البيانات اللازمة لقيادة الخطة، ويشمل ذلك: الوحدات التي تم بيعها أو حجزها، أرقام الوحدات، أسماء أو أكواد العملاء وفق سياسة الخصوصية، قيم التعاقدات المعتمدة، مبالغ التحصيل، المبالغ المسددة فعليًا، المتبقي، حالة كل عملية، وعدد العمليات مع تاريخ التسجيل والحجز والتعاقد والسداد وآخر تحديث.</w:t>
      </w:r>
    </w:p>
    <w:p>
      <w:pPr>
        <w:pStyle w:val="MdSpace"/>
        <w:spacing w:before="0" w:after="60"/>
      </w:pPr>
    </w:p>
    <w:p>
      <w:pPr>
        <w:pStyle w:val="MdParagraph"/>
      </w:pPr>
      <w:r>
        <w:t xml:space="preserve">تُستخدم هذه الصلاحية لإعداد تقارير الإدارة ومتابعة التارجت واكتشاف التأخير أو التعثر وربط أداء التسويق بالمبيعات والتحصيل. ولا تعني الصلاحية حق صرف الأموال، أو اعتماد خصم أو سعر، أو تعديل أرقام التحصيل، أو حذف سجل، أو اعتماد عقد؛ فتظل هذه القرارات لدى الإدارة والمالية وفق التفويضات المعتمدة. يجب أن تظهر كل عملية دخول أو تعديل في سجل النظام.</w:t>
      </w:r>
    </w:p>
    <w:p>
      <w:pPr>
        <w:pStyle w:val="MdSpace"/>
        <w:spacing w:before="0" w:after="60"/>
      </w:pPr>
    </w:p>
    <w:p>
      <w:pPr>
        <w:pStyle w:val="MdParagraph"/>
      </w:pPr>
      <w:r>
        <w:t xml:space="preserve">المطلوب ليس مجرد ملف إعلاني للمشروع، بل إنشاء </w:t>
      </w:r>
      <w:r>
        <w:rPr>
          <w:rStyle w:val="MdStrong"/>
          <w:b/>
          <w:bCs/>
        </w:rPr>
        <w:t xml:space="preserve">نظام شركة كامل وقابل للتوسع</w:t>
      </w:r>
      <w:r>
        <w:t xml:space="preserve"> يبدأ بالمشروع ثم يمكن استخدامه لباقي أعمال الشركة. يشمل النظام قاعدة الوحدات والأسعار، ملفات البيع السابقة، العملاء والتسجيلات، الحجوزات، العقود، التحصيل عند موافقة الإدارة، المراسلات، المعاينات، التقارير، وسجل التغييرات.</w:t>
      </w:r>
    </w:p>
    <w:p>
      <w:pPr>
        <w:pStyle w:val="MdSpace"/>
        <w:spacing w:before="0" w:after="60"/>
      </w:pPr>
    </w:p>
    <w:p>
      <w:pPr>
        <w:pStyle w:val="MdParagraph"/>
      </w:pPr>
      <w:r>
        <w:t xml:space="preserve">تكون الصلاحيات على أساس الحاجة إلى المعرفة، مع عدم منح صلاحية مالية أو تعديل أسعار أو حذف بيانات إلا للمستوى الإداري المختص. ويقترح اعتماد المستويات التالية: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المستوى</w:t>
            </w:r>
          </w:p>
        </w:tc>
        <w:tc>
          <w:tcPr>
            <w:tcBorders>
              <w:right w:val="none"/>
            </w:tcBorders>
            <w:tcMar>
              <w:top w:type="dxa" w:w="100"/>
              <w:left w:type="dxa" w:w="120"/>
              <w:bottom w:type="dxa" w:w="100"/>
              <w:right w:type="dxa" w:w="120"/>
            </w:tcMar>
            <w:vAlign w:val="center"/>
          </w:tcPr>
          <w:p>
            <w:pPr>
              <w:pStyle w:val="MdTableHeader"/>
            </w:pPr>
            <w:r>
              <w:t xml:space="preserve">الصلاحية المقترحة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الإدارة العليا</w:t>
            </w:r>
          </w:p>
        </w:tc>
        <w:tc>
          <w:tcPr>
            <w:tcBorders>
              <w:right w:val="none"/>
            </w:tcBorders>
            <w:tcMar>
              <w:top w:type="dxa" w:w="80"/>
              <w:left w:type="dxa" w:w="120"/>
              <w:bottom w:type="dxa" w:w="80"/>
              <w:right w:type="dxa" w:w="120"/>
            </w:tcMar>
            <w:vAlign w:val="center"/>
          </w:tcPr>
          <w:p>
            <w:pPr>
              <w:pStyle w:val="MdTableCell"/>
            </w:pPr>
            <w:r>
              <w:t xml:space="preserve">الاطلاع الكامل، اعتماد الأسعار والخصومات والعمولات والميزانيات، واعتماد التقارير النهائية.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تطوير الأعمال والمبيعات</w:t>
            </w:r>
          </w:p>
        </w:tc>
        <w:tc>
          <w:tcPr>
            <w:tcBorders>
              <w:right w:val="none"/>
            </w:tcBorders>
            <w:tcMar>
              <w:top w:type="dxa" w:w="80"/>
              <w:left w:type="dxa" w:w="120"/>
              <w:bottom w:type="dxa" w:w="80"/>
              <w:right w:type="dxa" w:w="120"/>
            </w:tcMar>
            <w:vAlign w:val="center"/>
          </w:tcPr>
          <w:p>
            <w:pPr>
              <w:pStyle w:val="MdTableCell"/>
            </w:pPr>
            <w:r>
              <w:t xml:space="preserve">الاطلاع والمتابعة الكاملة لما تم بيعه، والحجوزات والتسجيلات، والتحصيلات والمبالغ المسددة، ومعرفة أعداد العمليات وتواريخها، وإنشاء فرص ومتابعات، دون اعتماد صرف أو تعديل مالي منفرد.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التحصيل / المالية</w:t>
            </w:r>
          </w:p>
        </w:tc>
        <w:tc>
          <w:tcPr>
            <w:tcBorders>
              <w:right w:val="none"/>
            </w:tcBorders>
            <w:tcMar>
              <w:top w:type="dxa" w:w="80"/>
              <w:left w:type="dxa" w:w="120"/>
              <w:bottom w:type="dxa" w:w="80"/>
              <w:right w:type="dxa" w:w="120"/>
            </w:tcMar>
            <w:vAlign w:val="center"/>
          </w:tcPr>
          <w:p>
            <w:pPr>
              <w:pStyle w:val="MdTableCell"/>
            </w:pPr>
            <w:r>
              <w:t xml:space="preserve">تسجيل ومطابقة التحصيلات والمبالغ المستلمة والمستحقات، واعتماد صحة القيود المالية وفق التفويض؛ مع إتاحة تقريرها لمسؤول التطوير للاطلاع والمتابعة دون صلاحية تعديل أو صرف.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التسويق</w:t>
            </w:r>
          </w:p>
        </w:tc>
        <w:tc>
          <w:tcPr>
            <w:tcBorders>
              <w:right w:val="none"/>
            </w:tcBorders>
            <w:tcMar>
              <w:top w:type="dxa" w:w="80"/>
              <w:left w:type="dxa" w:w="120"/>
              <w:bottom w:type="dxa" w:w="80"/>
              <w:right w:type="dxa" w:w="120"/>
            </w:tcMar>
            <w:vAlign w:val="center"/>
          </w:tcPr>
          <w:p>
            <w:pPr>
              <w:pStyle w:val="MdTableCell"/>
            </w:pPr>
            <w:r>
              <w:t xml:space="preserve">الاطلاع على الوحدات المعتمدة وبيانات العملاء المسموح باستخدامها للتسويق، دون الاطلاع الكامل على المبالغ المحصلة إلا إذا سمحت الإدارة.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موظف المبيعات</w:t>
            </w:r>
          </w:p>
        </w:tc>
        <w:tc>
          <w:tcPr>
            <w:tcBorders>
              <w:right w:val="none"/>
            </w:tcBorders>
            <w:tcMar>
              <w:top w:type="dxa" w:w="80"/>
              <w:left w:type="dxa" w:w="120"/>
              <w:bottom w:type="dxa" w:w="80"/>
              <w:right w:type="dxa" w:w="120"/>
            </w:tcMar>
            <w:vAlign w:val="center"/>
          </w:tcPr>
          <w:p>
            <w:pPr>
              <w:pStyle w:val="MdTableCell"/>
            </w:pPr>
            <w:r>
              <w:t xml:space="preserve">إدخال العملاء والمتابعات والمعاينات وطلبات الحجز، دون الاطلاع على كل ملفات السنوات السابقة أو التحصيل إلا بتفويض.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المستشار القانوني والهندسي</w:t>
            </w:r>
          </w:p>
        </w:tc>
        <w:tc>
          <w:tcPr>
            <w:tcBorders>
              <w:right w:val="none"/>
            </w:tcBorders>
            <w:tcMar>
              <w:top w:type="dxa" w:w="80"/>
              <w:left w:type="dxa" w:w="120"/>
              <w:bottom w:type="dxa" w:w="80"/>
              <w:right w:type="dxa" w:w="120"/>
            </w:tcMar>
            <w:vAlign w:val="center"/>
          </w:tcPr>
          <w:p>
            <w:pPr>
              <w:pStyle w:val="MdTableCell"/>
            </w:pPr>
            <w:r>
              <w:t xml:space="preserve">الاطلاع على المستندات اللازمة لمهمته فقط، دون صلاحية تعديل الأسعار أو بيانات التحصيل.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مدقق النظام</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إدارة المستخدمين وسجل التغييرات والنسخ الاحتياطية دون اعتماد تجاري أو مالي.</w:t>
            </w:r>
          </w:p>
        </w:tc>
      </w:tr>
    </w:tbl>
    <w:p>
      <w:pPr>
        <w:pStyle w:val="MdParagraph"/>
      </w:pPr>
      <w:r>
        <w:t xml:space="preserve">ويجب تفعيل حسابات فردية، وكلمات مرور، وسجل دخول وتعديل، ونسخ احتياطية، وتصنيف للبيانات الحساسة، مع منع مشاركة الحسابات العامة. كما يجب أن تكون أي صلاحية للاطلاع على مبالغ التحصيل مشروطة بموافقة الإدارة وتحدد بمدة ونطاق واضحين.</w:t>
      </w:r>
    </w:p>
    <w:p>
      <w:pPr>
        <w:pStyle w:val="MdSpace"/>
        <w:spacing w:before="0" w:after="60"/>
      </w:pPr>
    </w:p>
    <w:p>
      <w:pPr>
        <w:pStyle w:val="Heading2"/>
        <w:pStyle w:val="MdHeading2"/>
      </w:pPr>
      <w:r>
        <w:t xml:space="preserve">القيمة الإجمالية الإرشادية للمشروع في البداية</w:t>
      </w:r>
    </w:p>
    <w:p>
      <w:pPr>
        <w:pStyle w:val="MdParagraph"/>
      </w:pPr>
      <w:r>
        <w:t xml:space="preserve">وفق الأرقام المقدمة والمرفقات، تبلغ القيمة الحسابية الإرشادية للأرض </w:t>
      </w:r>
      <w:r>
        <w:rPr>
          <w:rStyle w:val="MdStrong"/>
          <w:b/>
          <w:bCs/>
        </w:rPr>
        <w:t xml:space="preserve">404,668,000 جنيه</w:t>
      </w:r>
      <w:r>
        <w:t xml:space="preserve">، وتبلغ قيمة الوحدات المتاحة وفق كشفي أبريل 2026 </w:t>
      </w:r>
      <w:r>
        <w:rPr>
          <w:rStyle w:val="MdStrong"/>
          <w:b/>
          <w:bCs/>
        </w:rPr>
        <w:t xml:space="preserve">68,678,700 جنيه</w:t>
      </w:r>
      <w:r>
        <w:t xml:space="preserve">؛ وبذلك تكون القيمة الإجمالية الحسابية الإرشادية للأرض والوحدات </w:t>
      </w:r>
      <w:r>
        <w:rPr>
          <w:rStyle w:val="MdStrong"/>
          <w:b/>
          <w:bCs/>
        </w:rPr>
        <w:t xml:space="preserve">473,346,700 جنيه</w:t>
      </w:r>
      <w:r>
        <w:t xml:space="preserve">، أي نحو </w:t>
      </w:r>
      <w:r>
        <w:rPr>
          <w:rStyle w:val="MdStrong"/>
          <w:b/>
          <w:bCs/>
        </w:rPr>
        <w:t xml:space="preserve">473.35 مليون جنيه</w:t>
      </w:r>
      <w:r>
        <w:t xml:space="preserve">.</w:t>
      </w:r>
    </w:p>
    <w:p>
      <w:pPr>
        <w:pStyle w:val="MdSpace"/>
        <w:spacing w:before="0" w:after="60"/>
      </w:pPr>
    </w:p>
    <w:p>
      <w:pPr>
        <w:pStyle w:val="MdParagraph"/>
      </w:pPr>
      <w:r>
        <w:t xml:space="preserve">هذا الرقم هو جمع حسابي للبيانات المقدمة وليس تقييمًا نهائيًا أو سعر بيع للمشروع، ولا يشمل تكلفة البناء أو التشطيبات أو التمويل أو الرسوم. يجب التأكد من عدم وجود ازدواج بين قيمة الأرض وقيمة الوحدات، ومراجعة المستندات والرخص والحالة الفعلية قبل استخدام الرقم خارجيًا.</w:t>
      </w:r>
    </w:p>
    <w:p>
      <w:pPr>
        <w:pStyle w:val="MdSpace"/>
        <w:spacing w:before="0" w:after="60"/>
      </w:pPr>
    </w:p>
    <w:p>
      <w:pPr>
        <w:pStyle w:val="MdBlockquote"/>
      </w:pPr>
      <w:r>
        <w:rPr>
          <w:rStyle w:val="MdStrong"/>
          <w:b/>
          <w:bCs/>
        </w:rPr>
        <w:t xml:space="preserve">تنبيه مهني:</w:t>
      </w:r>
      <w:r>
        <w:t xml:space="preserve"> أنا لست مستشارًا ماليًا مرخصًا؛ ما يلي تحليل تشغيلي مبني على البيانات والمرفقات المقدمة، وليس ضمانًا للعائد أو للحجوزات. يجب مراجعة الملكية والرخص والأسعار والحالة الإنشائية والتسليم بواسطة المختصين قبل الاعتماد النهائي أو أي التزام تجاري.</w:t>
      </w:r>
    </w:p>
    <w:p>
      <w:pPr>
        <w:pStyle w:val="MdSpace"/>
        <w:spacing w:before="0" w:after="60"/>
      </w:pPr>
    </w:p>
    <w:p>
      <w:pPr>
        <w:pStyle w:val="Heading2"/>
        <w:pStyle w:val="MdHeading2"/>
      </w:pPr>
      <w:r>
        <w:t xml:space="preserve">أولًا: المطلوب اعتماده</w:t>
      </w:r>
    </w:p>
    <w:p>
      <w:pPr>
        <w:pStyle w:val="MdParagraph"/>
      </w:pPr>
      <w:r>
        <w:t xml:space="preserve">يرجى اعتماد إطار العمل التالي، مع التأكيد أن كل وحدة وسعر ومساحة وحالة يجب مراجعتها واعتمادها كتابيًا قبل نشرها أو عرضها على عميل.</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البند</w:t>
            </w:r>
          </w:p>
        </w:tc>
        <w:tc>
          <w:tcPr>
            <w:tcBorders>
              <w:right w:val="none"/>
            </w:tcBorders>
            <w:tcMar>
              <w:top w:type="dxa" w:w="100"/>
              <w:left w:type="dxa" w:w="120"/>
              <w:bottom w:type="dxa" w:w="100"/>
              <w:right w:type="dxa" w:w="120"/>
            </w:tcMar>
            <w:vAlign w:val="center"/>
          </w:tcPr>
          <w:p>
            <w:pPr>
              <w:pStyle w:val="MdTableHeader"/>
            </w:pPr>
            <w:r>
              <w:t xml:space="preserve">المطلوب من الإدارة العليا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الوحدات المتاحة</w:t>
            </w:r>
          </w:p>
        </w:tc>
        <w:tc>
          <w:tcPr>
            <w:tcBorders>
              <w:right w:val="none"/>
            </w:tcBorders>
            <w:tcMar>
              <w:top w:type="dxa" w:w="80"/>
              <w:left w:type="dxa" w:w="120"/>
              <w:bottom w:type="dxa" w:w="80"/>
              <w:right w:type="dxa" w:w="120"/>
            </w:tcMar>
            <w:vAlign w:val="center"/>
          </w:tcPr>
          <w:p>
            <w:pPr>
              <w:pStyle w:val="MdTableCell"/>
            </w:pPr>
            <w:r>
              <w:t xml:space="preserve">اعتماد كشف الوحدات المستخرج من ملفات أبريل 2026، أو إصدار كشف أحدث يحل محله.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الأسعار</w:t>
            </w:r>
          </w:p>
        </w:tc>
        <w:tc>
          <w:tcPr>
            <w:tcBorders>
              <w:right w:val="none"/>
            </w:tcBorders>
            <w:tcMar>
              <w:top w:type="dxa" w:w="80"/>
              <w:left w:type="dxa" w:w="120"/>
              <w:bottom w:type="dxa" w:w="80"/>
              <w:right w:type="dxa" w:w="120"/>
            </w:tcMar>
            <w:vAlign w:val="center"/>
          </w:tcPr>
          <w:p>
            <w:pPr>
              <w:pStyle w:val="MdTableCell"/>
            </w:pPr>
            <w:r>
              <w:t xml:space="preserve">تأكيد سعر المتر والسعر الإجمالي وخطة السداد والخصومات لكل وحدة.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الحالة</w:t>
            </w:r>
          </w:p>
        </w:tc>
        <w:tc>
          <w:tcPr>
            <w:tcBorders>
              <w:right w:val="none"/>
            </w:tcBorders>
            <w:tcMar>
              <w:top w:type="dxa" w:w="80"/>
              <w:left w:type="dxa" w:w="120"/>
              <w:bottom w:type="dxa" w:w="80"/>
              <w:right w:type="dxa" w:w="120"/>
            </w:tcMar>
            <w:vAlign w:val="center"/>
          </w:tcPr>
          <w:p>
            <w:pPr>
              <w:pStyle w:val="MdTableCell"/>
            </w:pPr>
            <w:r>
              <w:t xml:space="preserve">تأكيد أن كلمة «خالية» في الملفات ما زالت تعني متاحة للبيع حتى تاريخ الاعتماد.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المساحات</w:t>
            </w:r>
          </w:p>
        </w:tc>
        <w:tc>
          <w:tcPr>
            <w:tcBorders>
              <w:right w:val="none"/>
            </w:tcBorders>
            <w:tcMar>
              <w:top w:type="dxa" w:w="80"/>
              <w:left w:type="dxa" w:w="120"/>
              <w:bottom w:type="dxa" w:w="80"/>
              <w:right w:type="dxa" w:w="120"/>
            </w:tcMar>
            <w:vAlign w:val="center"/>
          </w:tcPr>
          <w:p>
            <w:pPr>
              <w:pStyle w:val="MdTableCell"/>
            </w:pPr>
            <w:r>
              <w:t xml:space="preserve">مطابقة المساحات مع العقود والرخص والمخططات، وتحديد الصافي القابل للبيع أو التأجير.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التسويق</w:t>
            </w:r>
          </w:p>
        </w:tc>
        <w:tc>
          <w:tcPr>
            <w:tcBorders>
              <w:right w:val="none"/>
            </w:tcBorders>
            <w:tcMar>
              <w:top w:type="dxa" w:w="80"/>
              <w:left w:type="dxa" w:w="120"/>
              <w:bottom w:type="dxa" w:w="80"/>
              <w:right w:type="dxa" w:w="120"/>
            </w:tcMar>
            <w:vAlign w:val="center"/>
          </w:tcPr>
          <w:p>
            <w:pPr>
              <w:pStyle w:val="MdTableCell"/>
            </w:pPr>
            <w:r>
              <w:t xml:space="preserve">تحديد نطاق ميزانية التسويق من الإدارة العليا دون إدراج رقم مسبق في هذه المذكرة.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ملفات البيع والتحصيل</w:t>
            </w:r>
          </w:p>
        </w:tc>
        <w:tc>
          <w:tcPr>
            <w:tcBorders>
              <w:right w:val="none"/>
            </w:tcBorders>
            <w:tcMar>
              <w:top w:type="dxa" w:w="80"/>
              <w:left w:type="dxa" w:w="120"/>
              <w:bottom w:type="dxa" w:w="80"/>
              <w:right w:type="dxa" w:w="120"/>
            </w:tcMar>
            <w:vAlign w:val="center"/>
          </w:tcPr>
          <w:p>
            <w:pPr>
              <w:pStyle w:val="MdTableCell"/>
            </w:pPr>
            <w:r>
              <w:t xml:space="preserve">السماح بالاطلاع على ملفات البيع والسنوات السابقة والمبالغ المحصلة، إذا وافقت الإدارة، وبقدر ما يلزم لإدارة المبيعات أو التحصيل.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نظام الشركة</w:t>
            </w:r>
          </w:p>
        </w:tc>
        <w:tc>
          <w:tcPr>
            <w:tcBorders>
              <w:right w:val="none"/>
            </w:tcBorders>
            <w:tcMar>
              <w:top w:type="dxa" w:w="80"/>
              <w:left w:type="dxa" w:w="120"/>
              <w:bottom w:type="dxa" w:w="80"/>
              <w:right w:type="dxa" w:w="120"/>
            </w:tcMar>
            <w:vAlign w:val="center"/>
          </w:tcPr>
          <w:p>
            <w:pPr>
              <w:pStyle w:val="MdTableCell"/>
            </w:pPr>
            <w:r>
              <w:t xml:space="preserve">اعتماد إنشاء نظام شركة متكامل للمشروع يضم الوحدات والعملاء والتسجيلات والحجوزات والعقود والتحصيل والتقارير، مع صلاحيات وصول حسب 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التعيينات</w:t>
            </w:r>
          </w:p>
        </w:tc>
        <w:tc>
          <w:tcPr>
            <w:tcBorders>
              <w:right w:val="none"/>
            </w:tcBorders>
            <w:tcMar>
              <w:top w:type="dxa" w:w="80"/>
              <w:left w:type="dxa" w:w="120"/>
              <w:bottom w:type="dxa" w:w="80"/>
              <w:right w:type="dxa" w:w="120"/>
            </w:tcMar>
            <w:vAlign w:val="center"/>
          </w:tcPr>
          <w:p>
            <w:pPr>
              <w:pStyle w:val="MdTableCell"/>
            </w:pPr>
            <w:r>
              <w:t xml:space="preserve">اعتماد الوظائف المقترحة من حيث المبدأ، وتحديد العدد والرواتب والعمولات والتوقيت من الإدارة العليا.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عمولة البروكرز</w:t>
            </w:r>
          </w:p>
        </w:tc>
        <w:tc>
          <w:tcPr>
            <w:tcBorders>
              <w:right w:val="none"/>
            </w:tcBorders>
            <w:tcMar>
              <w:top w:type="dxa" w:w="80"/>
              <w:left w:type="dxa" w:w="120"/>
              <w:bottom w:type="dxa" w:w="80"/>
              <w:right w:type="dxa" w:w="120"/>
            </w:tcMar>
            <w:vAlign w:val="center"/>
          </w:tcPr>
          <w:p>
            <w:pPr>
              <w:pStyle w:val="MdTableCell"/>
            </w:pPr>
            <w:r>
              <w:t xml:space="preserve">اعتماد نسبة 6% من إجمالي قيمة التعاقد للبروكرز في حالة سداد العميل لأكثر من 75% من قيمة الوحدة؛ أما في حالة سداد نسبة أقل، فتُحسب العمولة من المبالغ المسددة فعلياً (من المسدد)، أو وفق حد أدنى 4% بقرار من الإدارة.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التسعير التدريجي</w:t>
            </w:r>
          </w:p>
        </w:tc>
        <w:tc>
          <w:tcPr>
            <w:tcBorders>
              <w:right w:val="none"/>
            </w:tcBorders>
            <w:tcMar>
              <w:top w:type="dxa" w:w="80"/>
              <w:left w:type="dxa" w:w="120"/>
              <w:bottom w:type="dxa" w:w="80"/>
              <w:right w:type="dxa" w:w="120"/>
            </w:tcMar>
            <w:vAlign w:val="center"/>
          </w:tcPr>
          <w:p>
            <w:pPr>
              <w:pStyle w:val="MdTableCell"/>
            </w:pPr>
            <w:r>
              <w:t xml:space="preserve">اعتماد مبدأ دراسة زيادة إجمالية لا تتجاوز 10% بعد المرحلة الأولى وعلى مراحل، لتغطية تكاليف التسويق والعمولات عند الحاجة، وبقرار منفصل من الإدارة العليا.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التوسع</w:t>
            </w:r>
          </w:p>
        </w:tc>
        <w:tc>
          <w:tcPr>
            <w:tcBorders>
              <w:right w:val="none"/>
            </w:tcBorders>
            <w:tcMar>
              <w:top w:type="dxa" w:w="80"/>
              <w:left w:type="dxa" w:w="120"/>
              <w:bottom w:type="dxa" w:w="80"/>
              <w:right w:type="dxa" w:w="120"/>
            </w:tcMar>
            <w:vAlign w:val="center"/>
          </w:tcPr>
          <w:p>
            <w:pPr>
              <w:pStyle w:val="MdTableCell"/>
            </w:pPr>
            <w:r>
              <w:t xml:space="preserve">ترحيل دراسة استكمال التشطيبات وتوسيع الإعلان وعدم بيع الأرض إلى قسم المقترحات المستقبلية، ولا تُعتمد إلا بعد تحقق شروط النجاح.</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الأرض</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اعتماد دراسة عدم بيع الأرض واستكمال المشروع عند تحقق مبيعات الوحدات وفق الشرط الوارد أدناه.</w:t>
            </w:r>
          </w:p>
        </w:tc>
      </w:tr>
    </w:tbl>
    <w:p>
      <w:pPr>
        <w:pStyle w:val="Heading2"/>
        <w:pStyle w:val="MdHeading2"/>
      </w:pPr>
      <w:r>
        <w:t xml:space="preserve">ثانيًا: قيمة المشروع وفق الأرقام المقدمة</w:t>
      </w:r>
    </w:p>
    <w:p>
      <w:pPr>
        <w:pStyle w:val="Heading3"/>
        <w:pStyle w:val="MdHeading3"/>
      </w:pPr>
      <w:r>
        <w:t xml:space="preserve">1. قيمة الأرض</w:t>
      </w:r>
    </w:p>
    <w:p>
      <w:pPr>
        <w:pStyle w:val="MdParagraph"/>
      </w:pPr>
      <w:r>
        <w:t xml:space="preserve">وفق المساحات والسعر المقدمين، تبلغ مساحة قطع الأرض الثلاث </w:t>
      </w:r>
      <w:r>
        <w:rPr>
          <w:rStyle w:val="MdStrong"/>
          <w:b/>
          <w:bCs/>
        </w:rPr>
        <w:t xml:space="preserve">3,678.80 م²</w:t>
      </w:r>
      <w:r>
        <w:t xml:space="preserve">، وبسعر </w:t>
      </w:r>
      <w:r>
        <w:rPr>
          <w:rStyle w:val="MdStrong"/>
          <w:b/>
          <w:bCs/>
        </w:rPr>
        <w:t xml:space="preserve">110,000 جنيه للمتر</w:t>
      </w:r>
      <w:r>
        <w:t xml:space="preserve"> تكون القيمة الحسابية التقديرية:</w:t>
      </w:r>
    </w:p>
    <w:p>
      <w:pPr>
        <w:pStyle w:val="MdSpace"/>
        <w:spacing w:before="0" w:after="60"/>
      </w:pPr>
    </w:p>
    <w:p>
      <w:pPr>
        <w:pStyle w:val="MdBlockquote"/>
      </w:pPr>
      <w:r>
        <w:rPr>
          <w:rStyle w:val="MdStrong"/>
          <w:b/>
          <w:bCs/>
        </w:rPr>
        <w:t xml:space="preserve">3,678.80 × 110,000 = 404,668,000 جنيه</w:t>
      </w:r>
      <w:r>
        <w:rPr>
          <w:rStyle w:val="MdBr"/>
        </w:rPr>
        <w:br/>
        <w:t xml:space="preserve"/>
      </w:r>
      <w:r>
        <w:rPr>
          <w:rStyle w:val="MdStrong"/>
          <w:b/>
          <w:bCs/>
        </w:rPr>
        <w:t xml:space="preserve">أي نحو 404.67 مليون جنيه.</w:t>
      </w:r>
    </w:p>
    <w:p>
      <w:pPr>
        <w:pStyle w:val="MdSpace"/>
        <w:spacing w:before="0" w:after="60"/>
      </w:pPr>
    </w:p>
    <w:p>
      <w:pPr>
        <w:pStyle w:val="MdParagraph"/>
      </w:pPr>
      <w:r>
        <w:t xml:space="preserve">هذا الرقم يمثل قيمة الأرض وفق الأرقام المقدمة فقط، ولا يشمل تكلفة البناء أو التشطيبات أو التمويل أو الضرائب أو الرسوم أو المصروفات القانونية أو أي تقييم مستقل.</w:t>
      </w:r>
    </w:p>
    <w:p>
      <w:pPr>
        <w:pStyle w:val="MdSpace"/>
        <w:spacing w:before="0" w:after="60"/>
      </w:pPr>
    </w:p>
    <w:p>
      <w:pPr>
        <w:pStyle w:val="Heading3"/>
        <w:pStyle w:val="MdHeading3"/>
      </w:pPr>
      <w:r>
        <w:t xml:space="preserve">2. قيمة الوحدات المتاحة في الملفات المرفقة</w:t>
      </w:r>
    </w:p>
    <w:p>
      <w:pPr>
        <w:pStyle w:val="MdParagraph"/>
      </w:pPr>
      <w:r>
        <w:t xml:space="preserve">تم استخراج الوحدات التالية من ملفي </w:t>
      </w:r>
      <w:r>
        <w:rPr>
          <w:rStyle w:val="MdStrong"/>
          <w:b/>
          <w:bCs/>
        </w:rPr>
        <w:t xml:space="preserve">الوحدات الإدارية الخالية – أبريل 2026</w:t>
      </w:r>
      <w:r>
        <w:t xml:space="preserve"> و</w:t>
      </w:r>
      <w:r>
        <w:rPr>
          <w:rStyle w:val="MdStrong"/>
          <w:b/>
          <w:bCs/>
        </w:rPr>
        <w:t xml:space="preserve">مساحات وأسعار المحلات التجارية غير المباعة – برج 3 – أبريل 2026</w:t>
      </w:r>
      <w:r>
        <w:t xml:space="preserve">. القيم أدناه هي إجماليات الملف كما وردت، وتحتاج إلى تأكيد قبل النشر.</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الفئة</w:t>
            </w:r>
          </w:p>
        </w:tc>
        <w:tc>
          <w:tcPr>
            <w:tcMar>
              <w:top w:type="dxa" w:w="100"/>
              <w:left w:type="dxa" w:w="120"/>
              <w:bottom w:type="dxa" w:w="100"/>
              <w:right w:type="dxa" w:w="120"/>
            </w:tcMar>
            <w:vAlign w:val="center"/>
          </w:tcPr>
          <w:p>
            <w:pPr>
              <w:pStyle w:val="MdTableHeader"/>
            </w:pPr>
            <w:r>
              <w:t xml:space="preserve">الأبراج / الأدوار</w:t>
            </w:r>
          </w:p>
        </w:tc>
        <w:tc>
          <w:tcPr>
            <w:tcMar>
              <w:top w:type="dxa" w:w="100"/>
              <w:left w:type="dxa" w:w="120"/>
              <w:bottom w:type="dxa" w:w="100"/>
              <w:right w:type="dxa" w:w="120"/>
            </w:tcMar>
            <w:vAlign w:val="center"/>
          </w:tcPr>
          <w:p>
            <w:pPr>
              <w:pStyle w:val="MdTableHeader"/>
              <w:jc w:val="right"/>
            </w:pPr>
            <w:r>
              <w:t xml:space="preserve">عدد الوحدات</w:t>
            </w:r>
          </w:p>
        </w:tc>
        <w:tc>
          <w:tcPr>
            <w:tcMar>
              <w:top w:type="dxa" w:w="100"/>
              <w:left w:type="dxa" w:w="120"/>
              <w:bottom w:type="dxa" w:w="100"/>
              <w:right w:type="dxa" w:w="120"/>
            </w:tcMar>
            <w:vAlign w:val="center"/>
          </w:tcPr>
          <w:p>
            <w:pPr>
              <w:pStyle w:val="MdTableHeader"/>
              <w:jc w:val="right"/>
            </w:pPr>
            <w:r>
              <w:t xml:space="preserve">إجمالي المساحة</w:t>
            </w:r>
          </w:p>
        </w:tc>
        <w:tc>
          <w:tcPr>
            <w:tcBorders>
              <w:right w:val="none"/>
            </w:tcBorders>
            <w:tcMar>
              <w:top w:type="dxa" w:w="100"/>
              <w:left w:type="dxa" w:w="120"/>
              <w:bottom w:type="dxa" w:w="100"/>
              <w:right w:type="dxa" w:w="120"/>
            </w:tcMar>
            <w:vAlign w:val="center"/>
          </w:tcPr>
          <w:p>
            <w:pPr>
              <w:pStyle w:val="MdTableHeader"/>
              <w:jc w:val="right"/>
            </w:pPr>
            <w:r>
              <w:t xml:space="preserve">إجمالي القيمة وفق الملفات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إداري</w:t>
            </w:r>
          </w:p>
        </w:tc>
        <w:tc>
          <w:tcPr>
            <w:tcMar>
              <w:top w:type="dxa" w:w="80"/>
              <w:left w:type="dxa" w:w="120"/>
              <w:bottom w:type="dxa" w:w="80"/>
              <w:right w:type="dxa" w:w="120"/>
            </w:tcMar>
            <w:vAlign w:val="center"/>
          </w:tcPr>
          <w:p>
            <w:pPr>
              <w:pStyle w:val="MdTableCell"/>
            </w:pPr>
            <w:r>
              <w:t xml:space="preserve">برج 1</w:t>
            </w:r>
          </w:p>
        </w:tc>
        <w:tc>
          <w:tcPr>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jc w:val="right"/>
            </w:pPr>
            <w:r>
              <w:t xml:space="preserve">175.00 م²</w:t>
            </w:r>
          </w:p>
        </w:tc>
        <w:tc>
          <w:tcPr>
            <w:tcBorders>
              <w:right w:val="none"/>
            </w:tcBorders>
            <w:tcMar>
              <w:top w:type="dxa" w:w="80"/>
              <w:left w:type="dxa" w:w="120"/>
              <w:bottom w:type="dxa" w:w="80"/>
              <w:right w:type="dxa" w:w="120"/>
            </w:tcMar>
            <w:vAlign w:val="center"/>
          </w:tcPr>
          <w:p>
            <w:pPr>
              <w:pStyle w:val="MdTableCell"/>
              <w:jc w:val="right"/>
            </w:pPr>
            <w:r>
              <w:t xml:space="preserve">4,358,000 جنيه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إداري</w:t>
            </w:r>
          </w:p>
        </w:tc>
        <w:tc>
          <w:tcPr>
            <w:tcMar>
              <w:top w:type="dxa" w:w="80"/>
              <w:left w:type="dxa" w:w="120"/>
              <w:bottom w:type="dxa" w:w="80"/>
              <w:right w:type="dxa" w:w="120"/>
            </w:tcMar>
            <w:vAlign w:val="center"/>
          </w:tcPr>
          <w:p>
            <w:pPr>
              <w:pStyle w:val="MdTableCell"/>
            </w:pPr>
            <w:r>
              <w:t xml:space="preserve">برج 3</w:t>
            </w:r>
          </w:p>
        </w:tc>
        <w:tc>
          <w:tcPr>
            <w:tcMar>
              <w:top w:type="dxa" w:w="80"/>
              <w:left w:type="dxa" w:w="120"/>
              <w:bottom w:type="dxa" w:w="80"/>
              <w:right w:type="dxa" w:w="120"/>
            </w:tcMar>
            <w:vAlign w:val="center"/>
          </w:tcPr>
          <w:p>
            <w:pPr>
              <w:pStyle w:val="MdTableCell"/>
              <w:jc w:val="right"/>
            </w:pPr>
            <w:r>
              <w:t xml:space="preserve">17</w:t>
            </w:r>
          </w:p>
        </w:tc>
        <w:tc>
          <w:tcPr>
            <w:tcMar>
              <w:top w:type="dxa" w:w="80"/>
              <w:left w:type="dxa" w:w="120"/>
              <w:bottom w:type="dxa" w:w="80"/>
              <w:right w:type="dxa" w:w="120"/>
            </w:tcMar>
            <w:vAlign w:val="center"/>
          </w:tcPr>
          <w:p>
            <w:pPr>
              <w:pStyle w:val="MdTableCell"/>
              <w:jc w:val="right"/>
            </w:pPr>
            <w:r>
              <w:t xml:space="preserve">1,014.00 م²</w:t>
            </w:r>
          </w:p>
        </w:tc>
        <w:tc>
          <w:tcPr>
            <w:tcBorders>
              <w:right w:val="none"/>
            </w:tcBorders>
            <w:tcMar>
              <w:top w:type="dxa" w:w="80"/>
              <w:left w:type="dxa" w:w="120"/>
              <w:bottom w:type="dxa" w:w="80"/>
              <w:right w:type="dxa" w:w="120"/>
            </w:tcMar>
            <w:vAlign w:val="center"/>
          </w:tcPr>
          <w:p>
            <w:pPr>
              <w:pStyle w:val="MdTableCell"/>
              <w:jc w:val="right"/>
            </w:pPr>
            <w:r>
              <w:t xml:space="preserve">20,500,000 جنيه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إداري</w:t>
            </w:r>
          </w:p>
        </w:tc>
        <w:tc>
          <w:tcPr>
            <w:tcMar>
              <w:top w:type="dxa" w:w="80"/>
              <w:left w:type="dxa" w:w="120"/>
              <w:bottom w:type="dxa" w:w="80"/>
              <w:right w:type="dxa" w:w="120"/>
            </w:tcMar>
            <w:vAlign w:val="center"/>
          </w:tcPr>
          <w:p>
            <w:pPr>
              <w:pStyle w:val="MdTableCell"/>
            </w:pPr>
            <w:r>
              <w:t xml:space="preserve">برج 7</w:t>
            </w:r>
          </w:p>
        </w:tc>
        <w:tc>
          <w:tcPr>
            <w:tcMar>
              <w:top w:type="dxa" w:w="80"/>
              <w:left w:type="dxa" w:w="120"/>
              <w:bottom w:type="dxa" w:w="80"/>
              <w:right w:type="dxa" w:w="120"/>
            </w:tcMar>
            <w:vAlign w:val="center"/>
          </w:tcPr>
          <w:p>
            <w:pPr>
              <w:pStyle w:val="MdTableCell"/>
              <w:jc w:val="right"/>
            </w:pPr>
            <w:r>
              <w:t xml:space="preserve">22</w:t>
            </w:r>
          </w:p>
        </w:tc>
        <w:tc>
          <w:tcPr>
            <w:tcMar>
              <w:top w:type="dxa" w:w="80"/>
              <w:left w:type="dxa" w:w="120"/>
              <w:bottom w:type="dxa" w:w="80"/>
              <w:right w:type="dxa" w:w="120"/>
            </w:tcMar>
            <w:vAlign w:val="center"/>
          </w:tcPr>
          <w:p>
            <w:pPr>
              <w:pStyle w:val="MdTableCell"/>
              <w:jc w:val="right"/>
            </w:pPr>
            <w:r>
              <w:t xml:space="preserve">1,382.00 م²</w:t>
            </w:r>
          </w:p>
        </w:tc>
        <w:tc>
          <w:tcPr>
            <w:tcBorders>
              <w:right w:val="none"/>
            </w:tcBorders>
            <w:tcMar>
              <w:top w:type="dxa" w:w="80"/>
              <w:left w:type="dxa" w:w="120"/>
              <w:bottom w:type="dxa" w:w="80"/>
              <w:right w:type="dxa" w:w="120"/>
            </w:tcMar>
            <w:vAlign w:val="center"/>
          </w:tcPr>
          <w:p>
            <w:pPr>
              <w:pStyle w:val="MdTableCell"/>
              <w:jc w:val="right"/>
            </w:pPr>
            <w:r>
              <w:t xml:space="preserve">19,984,000 جنيه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تجاري</w:t>
            </w:r>
          </w:p>
        </w:tc>
        <w:tc>
          <w:tcPr>
            <w:tcMar>
              <w:top w:type="dxa" w:w="80"/>
              <w:left w:type="dxa" w:w="120"/>
              <w:bottom w:type="dxa" w:w="80"/>
              <w:right w:type="dxa" w:w="120"/>
            </w:tcMar>
            <w:vAlign w:val="center"/>
          </w:tcPr>
          <w:p>
            <w:pPr>
              <w:pStyle w:val="MdTableCell"/>
            </w:pPr>
            <w:r>
              <w:t xml:space="preserve">برج 3 أرضي</w:t>
            </w:r>
          </w:p>
        </w:tc>
        <w:tc>
          <w:tcPr>
            <w:tcMar>
              <w:top w:type="dxa" w:w="80"/>
              <w:left w:type="dxa" w:w="120"/>
              <w:bottom w:type="dxa" w:w="80"/>
              <w:right w:type="dxa" w:w="120"/>
            </w:tcMar>
            <w:vAlign w:val="center"/>
          </w:tcPr>
          <w:p>
            <w:pPr>
              <w:pStyle w:val="MdTableCell"/>
              <w:jc w:val="right"/>
            </w:pPr>
            <w:r>
              <w:t xml:space="preserve">25</w:t>
            </w:r>
          </w:p>
        </w:tc>
        <w:tc>
          <w:tcPr>
            <w:tcMar>
              <w:top w:type="dxa" w:w="80"/>
              <w:left w:type="dxa" w:w="120"/>
              <w:bottom w:type="dxa" w:w="80"/>
              <w:right w:type="dxa" w:w="120"/>
            </w:tcMar>
            <w:vAlign w:val="center"/>
          </w:tcPr>
          <w:p>
            <w:pPr>
              <w:pStyle w:val="MdTableCell"/>
              <w:jc w:val="right"/>
            </w:pPr>
            <w:r>
              <w:t xml:space="preserve">332.70 م²</w:t>
            </w:r>
          </w:p>
        </w:tc>
        <w:tc>
          <w:tcPr>
            <w:tcBorders>
              <w:right w:val="none"/>
            </w:tcBorders>
            <w:tcMar>
              <w:top w:type="dxa" w:w="80"/>
              <w:left w:type="dxa" w:w="120"/>
              <w:bottom w:type="dxa" w:w="80"/>
              <w:right w:type="dxa" w:w="120"/>
            </w:tcMar>
            <w:vAlign w:val="center"/>
          </w:tcPr>
          <w:p>
            <w:pPr>
              <w:pStyle w:val="MdTableCell"/>
              <w:jc w:val="right"/>
            </w:pPr>
            <w:r>
              <w:t xml:space="preserve">15,759,550 جنيه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تجاري</w:t>
            </w:r>
          </w:p>
        </w:tc>
        <w:tc>
          <w:tcPr>
            <w:tcMar>
              <w:top w:type="dxa" w:w="80"/>
              <w:left w:type="dxa" w:w="120"/>
              <w:bottom w:type="dxa" w:w="80"/>
              <w:right w:type="dxa" w:w="120"/>
            </w:tcMar>
            <w:vAlign w:val="center"/>
          </w:tcPr>
          <w:p>
            <w:pPr>
              <w:pStyle w:val="MdTableCell"/>
            </w:pPr>
            <w:r>
              <w:t xml:space="preserve">برج 3 أول</w:t>
            </w:r>
          </w:p>
        </w:tc>
        <w:tc>
          <w:tcPr>
            <w:tcMar>
              <w:top w:type="dxa" w:w="80"/>
              <w:left w:type="dxa" w:w="120"/>
              <w:bottom w:type="dxa" w:w="80"/>
              <w:right w:type="dxa" w:w="120"/>
            </w:tcMar>
            <w:vAlign w:val="center"/>
          </w:tcPr>
          <w:p>
            <w:pPr>
              <w:pStyle w:val="MdTableCell"/>
              <w:jc w:val="right"/>
            </w:pPr>
            <w:r>
              <w:t xml:space="preserve">8</w:t>
            </w:r>
          </w:p>
        </w:tc>
        <w:tc>
          <w:tcPr>
            <w:tcMar>
              <w:top w:type="dxa" w:w="80"/>
              <w:left w:type="dxa" w:w="120"/>
              <w:bottom w:type="dxa" w:w="80"/>
              <w:right w:type="dxa" w:w="120"/>
            </w:tcMar>
            <w:vAlign w:val="center"/>
          </w:tcPr>
          <w:p>
            <w:pPr>
              <w:pStyle w:val="MdTableCell"/>
              <w:jc w:val="right"/>
            </w:pPr>
            <w:r>
              <w:t xml:space="preserve">238.00 م²</w:t>
            </w:r>
          </w:p>
        </w:tc>
        <w:tc>
          <w:tcPr>
            <w:tcBorders>
              <w:right w:val="none"/>
            </w:tcBorders>
            <w:tcMar>
              <w:top w:type="dxa" w:w="80"/>
              <w:left w:type="dxa" w:w="120"/>
              <w:bottom w:type="dxa" w:w="80"/>
              <w:right w:type="dxa" w:w="120"/>
            </w:tcMar>
            <w:vAlign w:val="center"/>
          </w:tcPr>
          <w:p>
            <w:pPr>
              <w:pStyle w:val="MdTableCell"/>
              <w:jc w:val="right"/>
            </w:pPr>
            <w:r>
              <w:t xml:space="preserve">8,077,150 جنيه</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إداري وتجاري</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75</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3,141.70 م²</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68,678,700 جنيه</w:t>
            </w:r>
          </w:p>
        </w:tc>
      </w:tr>
    </w:tbl>
    <w:p>
      <w:pPr>
        <w:pStyle w:val="Heading3"/>
        <w:pStyle w:val="MdHeading3"/>
      </w:pPr>
      <w:r>
        <w:t xml:space="preserve">3. القيمة الإجمالية الإرشادية للأرض والوحدات</w:t>
      </w:r>
    </w:p>
    <w:p>
      <w:pPr>
        <w:pStyle w:val="MdParagraph"/>
      </w:pPr>
      <w:r>
        <w:t xml:space="preserve">إذا قررت الإدارة عرض قيمة الأرض وقيمة الوحدات المتاحة في صورة تجميعية إرشادية، فإن الجمع الحسابي يكون:</w:t>
      </w:r>
    </w:p>
    <w:p>
      <w:pPr>
        <w:pStyle w:val="MdSpace"/>
        <w:spacing w:before="0" w:after="60"/>
      </w:pPr>
    </w:p>
    <w:p>
      <w:pPr>
        <w:pStyle w:val="MdBlockquote"/>
      </w:pPr>
      <w:r>
        <w:rPr>
          <w:rStyle w:val="MdStrong"/>
          <w:b/>
          <w:bCs/>
        </w:rPr>
        <w:t xml:space="preserve">404,668,000 + 68,678,700 = 473,346,700 جنيه</w:t>
      </w:r>
    </w:p>
    <w:p>
      <w:pPr>
        <w:pStyle w:val="MdSpace"/>
        <w:spacing w:before="0" w:after="60"/>
      </w:pPr>
    </w:p>
    <w:p>
      <w:pPr>
        <w:pStyle w:val="MdParagraph"/>
      </w:pPr>
      <w:r>
        <w:t xml:space="preserve">وتبلغ هذه القيمة </w:t>
      </w:r>
      <w:r>
        <w:rPr>
          <w:rStyle w:val="MdStrong"/>
          <w:b/>
          <w:bCs/>
        </w:rPr>
        <w:t xml:space="preserve">473.35 مليون جنيه تقريبًا</w:t>
      </w:r>
      <w:r>
        <w:t xml:space="preserve">، وهي </w:t>
      </w:r>
      <w:r>
        <w:rPr>
          <w:rStyle w:val="MdStrong"/>
          <w:b/>
          <w:bCs/>
        </w:rPr>
        <w:t xml:space="preserve">ليست تقييمًا للمشروع ولا قيمة بيع نهائية</w:t>
      </w:r>
      <w:r>
        <w:t xml:space="preserve">؛ بل جمع حسابي لقيمة الأرض حسب الرقم المقدم وقيمة الوحدات حسب الملفين المرفقين. لا يجوز استخدام هذا الرقم في عرض استثماري نهائي قبل التحقق من عدم الازدواج بين الأرض والوحدات، ومن طبيعة الملكية، ومن حالة البيع والإنشاء والتسليم.</w:t>
      </w:r>
    </w:p>
    <w:p>
      <w:pPr>
        <w:pStyle w:val="MdSpace"/>
        <w:spacing w:before="0" w:after="60"/>
      </w:pPr>
    </w:p>
    <w:p>
      <w:pPr>
        <w:pStyle w:val="Heading2"/>
        <w:pStyle w:val="MdHeading2"/>
      </w:pPr>
      <w:r>
        <w:t xml:space="preserve">ثالثًا: الوحدات الإدارية المتاحة – ملخص تفصيلي</w:t>
      </w:r>
    </w:p>
    <w:p>
      <w:pPr>
        <w:pStyle w:val="Heading3"/>
        <w:pStyle w:val="MdHeading3"/>
      </w:pPr>
      <w:r>
        <w:t xml:space="preserve">برج 1 إداري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الوحدة</w:t>
            </w:r>
          </w:p>
        </w:tc>
        <w:tc>
          <w:tcPr>
            <w:tcMar>
              <w:top w:type="dxa" w:w="100"/>
              <w:left w:type="dxa" w:w="120"/>
              <w:bottom w:type="dxa" w:w="100"/>
              <w:right w:type="dxa" w:w="120"/>
            </w:tcMar>
            <w:vAlign w:val="center"/>
          </w:tcPr>
          <w:p>
            <w:pPr>
              <w:pStyle w:val="MdTableHeader"/>
              <w:jc w:val="right"/>
            </w:pPr>
            <w:r>
              <w:t xml:space="preserve">المساحة</w:t>
            </w:r>
          </w:p>
        </w:tc>
        <w:tc>
          <w:tcPr>
            <w:tcMar>
              <w:top w:type="dxa" w:w="100"/>
              <w:left w:type="dxa" w:w="120"/>
              <w:bottom w:type="dxa" w:w="100"/>
              <w:right w:type="dxa" w:w="120"/>
            </w:tcMar>
            <w:vAlign w:val="center"/>
          </w:tcPr>
          <w:p>
            <w:pPr>
              <w:pStyle w:val="MdTableHeader"/>
              <w:jc w:val="right"/>
            </w:pPr>
            <w:r>
              <w:t xml:space="preserve">سعر المتر</w:t>
            </w:r>
          </w:p>
        </w:tc>
        <w:tc>
          <w:tcPr>
            <w:tcMar>
              <w:top w:type="dxa" w:w="100"/>
              <w:left w:type="dxa" w:w="120"/>
              <w:bottom w:type="dxa" w:w="100"/>
              <w:right w:type="dxa" w:w="120"/>
            </w:tcMar>
            <w:vAlign w:val="center"/>
          </w:tcPr>
          <w:p>
            <w:pPr>
              <w:pStyle w:val="MdTableHeader"/>
              <w:jc w:val="right"/>
            </w:pPr>
            <w:r>
              <w:t xml:space="preserve">القيمة الإجمالية</w:t>
            </w:r>
          </w:p>
        </w:tc>
        <w:tc>
          <w:tcPr>
            <w:tcBorders>
              <w:right w:val="none"/>
            </w:tcBorders>
            <w:tcMar>
              <w:top w:type="dxa" w:w="100"/>
              <w:left w:type="dxa" w:w="120"/>
              <w:bottom w:type="dxa" w:w="100"/>
              <w:right w:type="dxa" w:w="120"/>
            </w:tcMar>
            <w:vAlign w:val="center"/>
          </w:tcPr>
          <w:p>
            <w:pPr>
              <w:pStyle w:val="MdTableHeader"/>
            </w:pPr>
            <w:r>
              <w:t xml:space="preserve">الحالة كما وردت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1201</w:t>
            </w:r>
          </w:p>
        </w:tc>
        <w:tc>
          <w:tcPr>
            <w:tcMar>
              <w:top w:type="dxa" w:w="80"/>
              <w:left w:type="dxa" w:w="120"/>
              <w:bottom w:type="dxa" w:w="80"/>
              <w:right w:type="dxa" w:w="120"/>
            </w:tcMar>
            <w:vAlign w:val="center"/>
          </w:tcPr>
          <w:p>
            <w:pPr>
              <w:pStyle w:val="MdTableCell"/>
              <w:jc w:val="right"/>
            </w:pPr>
            <w:r>
              <w:t xml:space="preserve">56 م²</w:t>
            </w:r>
          </w:p>
        </w:tc>
        <w:tc>
          <w:tcPr>
            <w:tcMar>
              <w:top w:type="dxa" w:w="80"/>
              <w:left w:type="dxa" w:w="120"/>
              <w:bottom w:type="dxa" w:w="80"/>
              <w:right w:type="dxa" w:w="120"/>
            </w:tcMar>
            <w:vAlign w:val="center"/>
          </w:tcPr>
          <w:p>
            <w:pPr>
              <w:pStyle w:val="MdTableCell"/>
              <w:jc w:val="right"/>
            </w:pPr>
            <w:r>
              <w:t xml:space="preserve">26,000</w:t>
            </w:r>
          </w:p>
        </w:tc>
        <w:tc>
          <w:tcPr>
            <w:tcMar>
              <w:top w:type="dxa" w:w="80"/>
              <w:left w:type="dxa" w:w="120"/>
              <w:bottom w:type="dxa" w:w="80"/>
              <w:right w:type="dxa" w:w="120"/>
            </w:tcMar>
            <w:vAlign w:val="center"/>
          </w:tcPr>
          <w:p>
            <w:pPr>
              <w:pStyle w:val="MdTableCell"/>
              <w:jc w:val="right"/>
            </w:pPr>
            <w:r>
              <w:t xml:space="preserve">1,456,000</w:t>
            </w:r>
          </w:p>
        </w:tc>
        <w:tc>
          <w:tcPr>
            <w:tcBorders>
              <w:right w:val="none"/>
            </w:tcBorders>
            <w:tcMar>
              <w:top w:type="dxa" w:w="80"/>
              <w:left w:type="dxa" w:w="120"/>
              <w:bottom w:type="dxa" w:w="80"/>
              <w:right w:type="dxa" w:w="120"/>
            </w:tcMar>
            <w:vAlign w:val="center"/>
          </w:tcPr>
          <w:p>
            <w:pPr>
              <w:pStyle w:val="MdTableCell"/>
            </w:pPr>
            <w:r>
              <w:t xml:space="preserve">مشطب – واجهة شارع البلسم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1202</w:t>
            </w:r>
          </w:p>
        </w:tc>
        <w:tc>
          <w:tcPr>
            <w:tcMar>
              <w:top w:type="dxa" w:w="80"/>
              <w:left w:type="dxa" w:w="120"/>
              <w:bottom w:type="dxa" w:w="80"/>
              <w:right w:type="dxa" w:w="120"/>
            </w:tcMar>
            <w:vAlign w:val="center"/>
          </w:tcPr>
          <w:p>
            <w:pPr>
              <w:pStyle w:val="MdTableCell"/>
              <w:jc w:val="right"/>
            </w:pPr>
            <w:r>
              <w:t xml:space="preserve">55 م²</w:t>
            </w:r>
          </w:p>
        </w:tc>
        <w:tc>
          <w:tcPr>
            <w:tcMar>
              <w:top w:type="dxa" w:w="80"/>
              <w:left w:type="dxa" w:w="120"/>
              <w:bottom w:type="dxa" w:w="80"/>
              <w:right w:type="dxa" w:w="120"/>
            </w:tcMar>
            <w:vAlign w:val="center"/>
          </w:tcPr>
          <w:p>
            <w:pPr>
              <w:pStyle w:val="MdTableCell"/>
              <w:jc w:val="right"/>
            </w:pPr>
            <w:r>
              <w:t xml:space="preserve">26,000</w:t>
            </w:r>
          </w:p>
        </w:tc>
        <w:tc>
          <w:tcPr>
            <w:tcMar>
              <w:top w:type="dxa" w:w="80"/>
              <w:left w:type="dxa" w:w="120"/>
              <w:bottom w:type="dxa" w:w="80"/>
              <w:right w:type="dxa" w:w="120"/>
            </w:tcMar>
            <w:vAlign w:val="center"/>
          </w:tcPr>
          <w:p>
            <w:pPr>
              <w:pStyle w:val="MdTableCell"/>
              <w:jc w:val="right"/>
            </w:pPr>
            <w:r>
              <w:t xml:space="preserve">1,430,000</w:t>
            </w:r>
          </w:p>
        </w:tc>
        <w:tc>
          <w:tcPr>
            <w:tcBorders>
              <w:right w:val="none"/>
            </w:tcBorders>
            <w:tcMar>
              <w:top w:type="dxa" w:w="80"/>
              <w:left w:type="dxa" w:w="120"/>
              <w:bottom w:type="dxa" w:w="80"/>
              <w:right w:type="dxa" w:w="120"/>
            </w:tcMar>
            <w:vAlign w:val="center"/>
          </w:tcPr>
          <w:p>
            <w:pPr>
              <w:pStyle w:val="MdTableCell"/>
            </w:pPr>
            <w:r>
              <w:t xml:space="preserve">مشطب – واجهة شارع البلسم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1214</w:t>
            </w:r>
          </w:p>
        </w:tc>
        <w:tc>
          <w:tcPr>
            <w:tcMar>
              <w:top w:type="dxa" w:w="80"/>
              <w:left w:type="dxa" w:w="120"/>
              <w:bottom w:type="dxa" w:w="80"/>
              <w:right w:type="dxa" w:w="120"/>
            </w:tcMar>
            <w:vAlign w:val="center"/>
          </w:tcPr>
          <w:p>
            <w:pPr>
              <w:pStyle w:val="MdTableCell"/>
              <w:jc w:val="right"/>
            </w:pPr>
            <w:r>
              <w:t xml:space="preserve">64 م²</w:t>
            </w:r>
          </w:p>
        </w:tc>
        <w:tc>
          <w:tcPr>
            <w:tcMar>
              <w:top w:type="dxa" w:w="80"/>
              <w:left w:type="dxa" w:w="120"/>
              <w:bottom w:type="dxa" w:w="80"/>
              <w:right w:type="dxa" w:w="120"/>
            </w:tcMar>
            <w:vAlign w:val="center"/>
          </w:tcPr>
          <w:p>
            <w:pPr>
              <w:pStyle w:val="MdTableCell"/>
              <w:jc w:val="right"/>
            </w:pPr>
            <w:r>
              <w:t xml:space="preserve">23,000</w:t>
            </w:r>
          </w:p>
        </w:tc>
        <w:tc>
          <w:tcPr>
            <w:tcMar>
              <w:top w:type="dxa" w:w="80"/>
              <w:left w:type="dxa" w:w="120"/>
              <w:bottom w:type="dxa" w:w="80"/>
              <w:right w:type="dxa" w:w="120"/>
            </w:tcMar>
            <w:vAlign w:val="center"/>
          </w:tcPr>
          <w:p>
            <w:pPr>
              <w:pStyle w:val="MdTableCell"/>
              <w:jc w:val="right"/>
            </w:pPr>
            <w:r>
              <w:t xml:space="preserve">1,472,000</w:t>
            </w:r>
          </w:p>
        </w:tc>
        <w:tc>
          <w:tcPr>
            <w:tcBorders>
              <w:right w:val="none"/>
            </w:tcBorders>
            <w:tcMar>
              <w:top w:type="dxa" w:w="80"/>
              <w:left w:type="dxa" w:w="120"/>
              <w:bottom w:type="dxa" w:w="80"/>
              <w:right w:type="dxa" w:w="120"/>
            </w:tcMar>
            <w:vAlign w:val="center"/>
          </w:tcPr>
          <w:p>
            <w:pPr>
              <w:pStyle w:val="MdTableCell"/>
            </w:pPr>
            <w:r>
              <w:t xml:space="preserve">مشطب – داخلي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175 م²</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4,358,000</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Strong"/>
                <w:b/>
                <w:bCs/>
              </w:rPr>
              <w:t xml:space="preserve">يحتاج تأكيد</w:t>
            </w:r>
          </w:p>
        </w:tc>
      </w:tr>
    </w:tbl>
    <w:p>
      <w:pPr>
        <w:pStyle w:val="Heading3"/>
        <w:pStyle w:val="MdHeading3"/>
      </w:pPr>
      <w:r>
        <w:t xml:space="preserve">برج 3 إداري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الوحدات</w:t>
            </w:r>
          </w:p>
        </w:tc>
        <w:tc>
          <w:tcPr>
            <w:tcMar>
              <w:top w:type="dxa" w:w="100"/>
              <w:left w:type="dxa" w:w="120"/>
              <w:bottom w:type="dxa" w:w="100"/>
              <w:right w:type="dxa" w:w="120"/>
            </w:tcMar>
            <w:vAlign w:val="center"/>
          </w:tcPr>
          <w:p>
            <w:pPr>
              <w:pStyle w:val="MdTableHeader"/>
            </w:pPr>
            <w:r>
              <w:t xml:space="preserve">المساحات المتكررة</w:t>
            </w:r>
          </w:p>
        </w:tc>
        <w:tc>
          <w:tcPr>
            <w:tcMar>
              <w:top w:type="dxa" w:w="100"/>
              <w:left w:type="dxa" w:w="120"/>
              <w:bottom w:type="dxa" w:w="100"/>
              <w:right w:type="dxa" w:w="120"/>
            </w:tcMar>
            <w:vAlign w:val="center"/>
          </w:tcPr>
          <w:p>
            <w:pPr>
              <w:pStyle w:val="MdTableHeader"/>
              <w:jc w:val="right"/>
            </w:pPr>
            <w:r>
              <w:t xml:space="preserve">سعر المتر</w:t>
            </w:r>
          </w:p>
        </w:tc>
        <w:tc>
          <w:tcPr>
            <w:tcBorders>
              <w:right w:val="none"/>
            </w:tcBorders>
            <w:tcMar>
              <w:top w:type="dxa" w:w="100"/>
              <w:left w:type="dxa" w:w="120"/>
              <w:bottom w:type="dxa" w:w="100"/>
              <w:right w:type="dxa" w:w="120"/>
            </w:tcMar>
            <w:vAlign w:val="center"/>
          </w:tcPr>
          <w:p>
            <w:pPr>
              <w:pStyle w:val="MdTableHeader"/>
              <w:jc w:val="right"/>
            </w:pPr>
            <w:r>
              <w:t xml:space="preserve">القيمة الإجمالية للفئة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3206، 3207، 3208، 3209، 3210، 3211، 3213، 3214، 3302، 3307، 3308، 3309، 3310، 3311، 3312، 3313، 3314</w:t>
            </w:r>
          </w:p>
        </w:tc>
        <w:tc>
          <w:tcPr>
            <w:tcMar>
              <w:top w:type="dxa" w:w="80"/>
              <w:left w:type="dxa" w:w="120"/>
              <w:bottom w:type="dxa" w:w="80"/>
              <w:right w:type="dxa" w:w="120"/>
            </w:tcMar>
            <w:vAlign w:val="center"/>
          </w:tcPr>
          <w:p>
            <w:pPr>
              <w:pStyle w:val="MdTableCell"/>
            </w:pPr>
            <w:r>
              <w:t xml:space="preserve">55 و56 و64 م² حسب الوحدة</w:t>
            </w:r>
          </w:p>
        </w:tc>
        <w:tc>
          <w:tcPr>
            <w:tcMar>
              <w:top w:type="dxa" w:w="80"/>
              <w:left w:type="dxa" w:w="120"/>
              <w:bottom w:type="dxa" w:w="80"/>
              <w:right w:type="dxa" w:w="120"/>
            </w:tcMar>
            <w:vAlign w:val="center"/>
          </w:tcPr>
          <w:p>
            <w:pPr>
              <w:pStyle w:val="MdTableCell"/>
              <w:jc w:val="right"/>
            </w:pPr>
            <w:r>
              <w:t xml:space="preserve">20,000 أو 22,000</w:t>
            </w:r>
          </w:p>
        </w:tc>
        <w:tc>
          <w:tcPr>
            <w:tcBorders>
              <w:right w:val="none"/>
            </w:tcBorders>
            <w:tcMar>
              <w:top w:type="dxa" w:w="80"/>
              <w:left w:type="dxa" w:w="120"/>
              <w:bottom w:type="dxa" w:w="80"/>
              <w:right w:type="dxa" w:w="120"/>
            </w:tcMar>
            <w:vAlign w:val="center"/>
          </w:tcPr>
          <w:p>
            <w:pPr>
              <w:pStyle w:val="MdTableCell"/>
              <w:jc w:val="right"/>
            </w:pPr>
            <w:r>
              <w:t xml:space="preserve">20,500,000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1,014 م² / 17 وحدة</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20,500,000</w:t>
            </w:r>
          </w:p>
        </w:tc>
      </w:tr>
    </w:tbl>
    <w:p>
      <w:pPr>
        <w:pStyle w:val="MdParagraph"/>
      </w:pPr>
      <w:r>
        <w:rPr>
          <w:rStyle w:val="MdStrong"/>
          <w:b/>
          <w:bCs/>
        </w:rPr>
        <w:t xml:space="preserve">مطلوب التأكيد:</w:t>
      </w:r>
      <w:r>
        <w:t xml:space="preserve"> مطابقة مساحة وسعر كل رقم وحدة على حدة مع الملف الأصلي، لأن الجدول المختصر أعلاه يجمع أكثر من مساحة وسعر.</w:t>
      </w:r>
    </w:p>
    <w:p>
      <w:pPr>
        <w:pStyle w:val="MdSpace"/>
        <w:spacing w:before="0" w:after="60"/>
      </w:pPr>
    </w:p>
    <w:p>
      <w:pPr>
        <w:pStyle w:val="Heading3"/>
        <w:pStyle w:val="MdHeading3"/>
      </w:pPr>
      <w:r>
        <w:t xml:space="preserve">برج 7 إداري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الوحدات</w:t>
            </w:r>
          </w:p>
        </w:tc>
        <w:tc>
          <w:tcPr>
            <w:tcMar>
              <w:top w:type="dxa" w:w="100"/>
              <w:left w:type="dxa" w:w="120"/>
              <w:bottom w:type="dxa" w:w="100"/>
              <w:right w:type="dxa" w:w="120"/>
            </w:tcMar>
            <w:vAlign w:val="center"/>
          </w:tcPr>
          <w:p>
            <w:pPr>
              <w:pStyle w:val="MdTableHeader"/>
            </w:pPr>
            <w:r>
              <w:t xml:space="preserve">المساحات والأسعار كما ظهرت في الملف</w:t>
            </w:r>
          </w:p>
        </w:tc>
        <w:tc>
          <w:tcPr>
            <w:tcBorders>
              <w:right w:val="none"/>
            </w:tcBorders>
            <w:tcMar>
              <w:top w:type="dxa" w:w="100"/>
              <w:left w:type="dxa" w:w="120"/>
              <w:bottom w:type="dxa" w:w="100"/>
              <w:right w:type="dxa" w:w="120"/>
            </w:tcMar>
            <w:vAlign w:val="center"/>
          </w:tcPr>
          <w:p>
            <w:pPr>
              <w:pStyle w:val="MdTableHeader"/>
              <w:jc w:val="right"/>
            </w:pPr>
            <w:r>
              <w:t xml:space="preserve">القيمة الإجمالية للفئة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7201، 7202، 7203</w:t>
            </w:r>
          </w:p>
        </w:tc>
        <w:tc>
          <w:tcPr>
            <w:tcMar>
              <w:top w:type="dxa" w:w="80"/>
              <w:left w:type="dxa" w:w="120"/>
              <w:bottom w:type="dxa" w:w="80"/>
              <w:right w:type="dxa" w:w="120"/>
            </w:tcMar>
            <w:vAlign w:val="center"/>
          </w:tcPr>
          <w:p>
            <w:pPr>
              <w:pStyle w:val="MdTableCell"/>
            </w:pPr>
            <w:r>
              <w:t xml:space="preserve">80 م² بسعر 15,000؛ 54 م² بسعر 15,000؛ 68 م² بسعر 15,000</w:t>
            </w:r>
          </w:p>
        </w:tc>
        <w:tc>
          <w:tcPr>
            <w:tcBorders>
              <w:right w:val="none"/>
            </w:tcBorders>
            <w:tcMar>
              <w:top w:type="dxa" w:w="80"/>
              <w:left w:type="dxa" w:w="120"/>
              <w:bottom w:type="dxa" w:w="80"/>
              <w:right w:type="dxa" w:w="120"/>
            </w:tcMar>
            <w:vAlign w:val="center"/>
          </w:tcPr>
          <w:p>
            <w:pPr>
              <w:pStyle w:val="MdTableCell"/>
              <w:jc w:val="right"/>
            </w:pPr>
            <w:r>
              <w:t xml:space="preserve">3,030,000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7204، 7205، 7206، 7207، 7208، 7209، 7210، 7211</w:t>
            </w:r>
          </w:p>
        </w:tc>
        <w:tc>
          <w:tcPr>
            <w:tcMar>
              <w:top w:type="dxa" w:w="80"/>
              <w:left w:type="dxa" w:w="120"/>
              <w:bottom w:type="dxa" w:w="80"/>
              <w:right w:type="dxa" w:w="120"/>
            </w:tcMar>
            <w:vAlign w:val="center"/>
          </w:tcPr>
          <w:p>
            <w:pPr>
              <w:pStyle w:val="MdTableCell"/>
            </w:pPr>
            <w:r>
              <w:t xml:space="preserve">54، 45، 45، 64، 66، 62، 62، 68 م²؛ بسعر 13,000</w:t>
            </w:r>
          </w:p>
        </w:tc>
        <w:tc>
          <w:tcPr>
            <w:tcBorders>
              <w:right w:val="none"/>
            </w:tcBorders>
            <w:tcMar>
              <w:top w:type="dxa" w:w="80"/>
              <w:left w:type="dxa" w:w="120"/>
              <w:bottom w:type="dxa" w:w="80"/>
              <w:right w:type="dxa" w:w="120"/>
            </w:tcMar>
            <w:vAlign w:val="center"/>
          </w:tcPr>
          <w:p>
            <w:pPr>
              <w:pStyle w:val="MdTableCell"/>
              <w:jc w:val="right"/>
            </w:pPr>
            <w:r>
              <w:t xml:space="preserve">6,058,000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7212، 7213، 7214</w:t>
            </w:r>
          </w:p>
        </w:tc>
        <w:tc>
          <w:tcPr>
            <w:tcMar>
              <w:top w:type="dxa" w:w="80"/>
              <w:left w:type="dxa" w:w="120"/>
              <w:bottom w:type="dxa" w:w="80"/>
              <w:right w:type="dxa" w:w="120"/>
            </w:tcMar>
            <w:vAlign w:val="center"/>
          </w:tcPr>
          <w:p>
            <w:pPr>
              <w:pStyle w:val="MdTableCell"/>
            </w:pPr>
            <w:r>
              <w:t xml:space="preserve">61، 60، 80 م² بسعر 16,000</w:t>
            </w:r>
          </w:p>
        </w:tc>
        <w:tc>
          <w:tcPr>
            <w:tcBorders>
              <w:right w:val="none"/>
            </w:tcBorders>
            <w:tcMar>
              <w:top w:type="dxa" w:w="80"/>
              <w:left w:type="dxa" w:w="120"/>
              <w:bottom w:type="dxa" w:w="80"/>
              <w:right w:type="dxa" w:w="120"/>
            </w:tcMar>
            <w:vAlign w:val="center"/>
          </w:tcPr>
          <w:p>
            <w:pPr>
              <w:pStyle w:val="MdTableCell"/>
              <w:jc w:val="right"/>
            </w:pPr>
            <w:r>
              <w:t xml:space="preserve">3,216,000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7301، 7302</w:t>
            </w:r>
          </w:p>
        </w:tc>
        <w:tc>
          <w:tcPr>
            <w:tcMar>
              <w:top w:type="dxa" w:w="80"/>
              <w:left w:type="dxa" w:w="120"/>
              <w:bottom w:type="dxa" w:w="80"/>
              <w:right w:type="dxa" w:w="120"/>
            </w:tcMar>
            <w:vAlign w:val="center"/>
          </w:tcPr>
          <w:p>
            <w:pPr>
              <w:pStyle w:val="MdTableCell"/>
            </w:pPr>
            <w:r>
              <w:t xml:space="preserve">107 و100 م² بسعر 15,000</w:t>
            </w:r>
          </w:p>
        </w:tc>
        <w:tc>
          <w:tcPr>
            <w:tcBorders>
              <w:right w:val="none"/>
            </w:tcBorders>
            <w:tcMar>
              <w:top w:type="dxa" w:w="80"/>
              <w:left w:type="dxa" w:w="120"/>
              <w:bottom w:type="dxa" w:w="80"/>
              <w:right w:type="dxa" w:w="120"/>
            </w:tcMar>
            <w:vAlign w:val="center"/>
          </w:tcPr>
          <w:p>
            <w:pPr>
              <w:pStyle w:val="MdTableCell"/>
              <w:jc w:val="right"/>
            </w:pPr>
            <w:r>
              <w:t xml:space="preserve">3,105,000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7303، 7306، 7307</w:t>
            </w:r>
          </w:p>
        </w:tc>
        <w:tc>
          <w:tcPr>
            <w:tcMar>
              <w:top w:type="dxa" w:w="80"/>
              <w:left w:type="dxa" w:w="120"/>
              <w:bottom w:type="dxa" w:w="80"/>
              <w:right w:type="dxa" w:w="120"/>
            </w:tcMar>
            <w:vAlign w:val="center"/>
          </w:tcPr>
          <w:p>
            <w:pPr>
              <w:pStyle w:val="MdTableCell"/>
            </w:pPr>
            <w:r>
              <w:t xml:space="preserve">بيانات المساحة/السعر موزعة في استخراج الملف وتحتاج مطابقة أصلية</w:t>
            </w:r>
          </w:p>
        </w:tc>
        <w:tc>
          <w:tcPr>
            <w:tcBorders>
              <w:right w:val="none"/>
            </w:tcBorders>
            <w:tcMar>
              <w:top w:type="dxa" w:w="80"/>
              <w:left w:type="dxa" w:w="120"/>
              <w:bottom w:type="dxa" w:w="80"/>
              <w:right w:type="dxa" w:w="120"/>
            </w:tcMar>
            <w:vAlign w:val="center"/>
          </w:tcPr>
          <w:p>
            <w:pPr>
              <w:pStyle w:val="MdTableCell"/>
              <w:jc w:val="right"/>
            </w:pPr>
            <w:r>
              <w:t xml:space="preserve">جزء من الإجمالي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7312، 7313، 7314</w:t>
            </w:r>
          </w:p>
        </w:tc>
        <w:tc>
          <w:tcPr>
            <w:tcMar>
              <w:top w:type="dxa" w:w="80"/>
              <w:left w:type="dxa" w:w="120"/>
              <w:bottom w:type="dxa" w:w="80"/>
              <w:right w:type="dxa" w:w="120"/>
            </w:tcMar>
            <w:vAlign w:val="center"/>
          </w:tcPr>
          <w:p>
            <w:pPr>
              <w:pStyle w:val="MdTableCell"/>
            </w:pPr>
            <w:r>
              <w:t xml:space="preserve">يظهر بالملف إجمالي 100 م² بسعر 16,000 لإحدى الخانات و99 م² بسعر 16,000 لوحدة 7314؛ يلزم التأكيد</w:t>
            </w:r>
          </w:p>
        </w:tc>
        <w:tc>
          <w:tcPr>
            <w:tcBorders>
              <w:right w:val="none"/>
            </w:tcBorders>
            <w:tcMar>
              <w:top w:type="dxa" w:w="80"/>
              <w:left w:type="dxa" w:w="120"/>
              <w:bottom w:type="dxa" w:w="80"/>
              <w:right w:type="dxa" w:w="120"/>
            </w:tcMar>
            <w:vAlign w:val="center"/>
          </w:tcPr>
          <w:p>
            <w:pPr>
              <w:pStyle w:val="MdTableCell"/>
              <w:jc w:val="right"/>
            </w:pPr>
            <w:r>
              <w:t xml:space="preserve">جزء من الإجمالي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 حسب الملف</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1,382 م² / 22 وحدة</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19,984,000</w:t>
            </w:r>
          </w:p>
        </w:tc>
      </w:tr>
    </w:tbl>
    <w:p>
      <w:pPr>
        <w:pStyle w:val="MdParagraph"/>
      </w:pPr>
      <w:r>
        <w:rPr>
          <w:rStyle w:val="MdStrong"/>
          <w:b/>
          <w:bCs/>
        </w:rPr>
        <w:t xml:space="preserve">تنبيه:</w:t>
      </w:r>
      <w:r>
        <w:t xml:space="preserve"> بعض أرقام الوحدات في برج 7 ظهرت متتابعة مع بيانات مساحة في السطر التالي عند استخراج PDF؛ لذلك يجب الرجوع إلى نسخة PDF الأصلية أو كشف Excel لتأكيد الربط بين كل رقم وحدة ومساحته وسعره قبل إدراجه في إعلان.</w:t>
      </w:r>
    </w:p>
    <w:p>
      <w:pPr>
        <w:pStyle w:val="MdSpace"/>
        <w:spacing w:before="0" w:after="60"/>
      </w:pPr>
    </w:p>
    <w:p>
      <w:pPr>
        <w:pStyle w:val="Heading2"/>
        <w:pStyle w:val="MdHeading2"/>
      </w:pPr>
      <w:r>
        <w:t xml:space="preserve">رابعًا: الوحدات التجارية المتاحة – برج 3</w:t>
      </w:r>
    </w:p>
    <w:p>
      <w:pPr>
        <w:pStyle w:val="Heading3"/>
        <w:pStyle w:val="MdHeading3"/>
      </w:pPr>
      <w:r>
        <w:t xml:space="preserve">الدور الأرضي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الوحدات</w:t>
            </w:r>
          </w:p>
        </w:tc>
        <w:tc>
          <w:tcPr>
            <w:tcMar>
              <w:top w:type="dxa" w:w="100"/>
              <w:left w:type="dxa" w:w="120"/>
              <w:bottom w:type="dxa" w:w="100"/>
              <w:right w:type="dxa" w:w="120"/>
            </w:tcMar>
            <w:vAlign w:val="center"/>
          </w:tcPr>
          <w:p>
            <w:pPr>
              <w:pStyle w:val="MdTableHeader"/>
              <w:jc w:val="right"/>
            </w:pPr>
            <w:r>
              <w:t xml:space="preserve">إجمالي المساحة</w:t>
            </w:r>
          </w:p>
        </w:tc>
        <w:tc>
          <w:tcPr>
            <w:tcBorders>
              <w:right w:val="none"/>
            </w:tcBorders>
            <w:tcMar>
              <w:top w:type="dxa" w:w="100"/>
              <w:left w:type="dxa" w:w="120"/>
              <w:bottom w:type="dxa" w:w="100"/>
              <w:right w:type="dxa" w:w="120"/>
            </w:tcMar>
            <w:vAlign w:val="center"/>
          </w:tcPr>
          <w:p>
            <w:pPr>
              <w:pStyle w:val="MdTableHeader"/>
              <w:jc w:val="right"/>
            </w:pPr>
            <w:r>
              <w:t xml:space="preserve">إجمالي القيمة حسب الملف</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3001، 3003، 3004، 3007، 3008، 3009، 3010، 3011، 3012، 3013، 3014، 3015، 3016، 3017، 3018، 3019، 3020، 3021، 3022، 3023، 3024، 3025، 3026، 3027، 3028</w:t>
            </w:r>
          </w:p>
        </w:tc>
        <w:tc>
          <w:tcPr>
            <w:tcBorders>
              <w:bottom w:val="single" w:color="E1E4E8" w:sz="4"/>
            </w:tcBorders>
            <w:tcMar>
              <w:top w:type="dxa" w:w="80"/>
              <w:left w:type="dxa" w:w="120"/>
              <w:bottom w:type="dxa" w:w="80"/>
              <w:right w:type="dxa" w:w="120"/>
            </w:tcMar>
            <w:vAlign w:val="center"/>
          </w:tcPr>
          <w:p>
            <w:pPr>
              <w:pStyle w:val="MdTableCell"/>
              <w:jc w:val="right"/>
            </w:pPr>
            <w:r>
              <w:t xml:space="preserve">332.70 م²</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15,759,550 جنيه</w:t>
            </w:r>
          </w:p>
        </w:tc>
      </w:tr>
    </w:tbl>
    <w:p>
      <w:pPr>
        <w:pStyle w:val="MdParagraph"/>
      </w:pPr>
      <w:r>
        <w:t xml:space="preserve">يتراوح سعر المتر في الملف بين </w:t>
      </w:r>
      <w:r>
        <w:rPr>
          <w:rStyle w:val="MdStrong"/>
          <w:b/>
          <w:bCs/>
        </w:rPr>
        <w:t xml:space="preserve">40,000 و55,000 جنيه</w:t>
      </w:r>
      <w:r>
        <w:t xml:space="preserve"> بحسب الوحدة، وتتراوح المساحات بين </w:t>
      </w:r>
      <w:r>
        <w:rPr>
          <w:rStyle w:val="MdStrong"/>
          <w:b/>
          <w:bCs/>
        </w:rPr>
        <w:t xml:space="preserve">1.55 و34.30 م²</w:t>
      </w:r>
      <w:r>
        <w:t xml:space="preserve">. يجب اعتماد السعر النهائي لكل وحدة منفردة، وعدم استخدام متوسط واحد بدل كشف الوحدة.</w:t>
      </w:r>
    </w:p>
    <w:p>
      <w:pPr>
        <w:pStyle w:val="MdSpace"/>
        <w:spacing w:before="0" w:after="60"/>
      </w:pPr>
    </w:p>
    <w:p>
      <w:pPr>
        <w:pStyle w:val="Heading3"/>
        <w:pStyle w:val="MdHeading3"/>
      </w:pPr>
      <w:r>
        <w:t xml:space="preserve">الدور الأول</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الوحدة</w:t>
            </w:r>
          </w:p>
        </w:tc>
        <w:tc>
          <w:tcPr>
            <w:tcMar>
              <w:top w:type="dxa" w:w="100"/>
              <w:left w:type="dxa" w:w="120"/>
              <w:bottom w:type="dxa" w:w="100"/>
              <w:right w:type="dxa" w:w="120"/>
            </w:tcMar>
            <w:vAlign w:val="center"/>
          </w:tcPr>
          <w:p>
            <w:pPr>
              <w:pStyle w:val="MdTableHeader"/>
              <w:jc w:val="right"/>
            </w:pPr>
            <w:r>
              <w:t xml:space="preserve">المساحة</w:t>
            </w:r>
          </w:p>
        </w:tc>
        <w:tc>
          <w:tcPr>
            <w:tcMar>
              <w:top w:type="dxa" w:w="100"/>
              <w:left w:type="dxa" w:w="120"/>
              <w:bottom w:type="dxa" w:w="100"/>
              <w:right w:type="dxa" w:w="120"/>
            </w:tcMar>
            <w:vAlign w:val="center"/>
          </w:tcPr>
          <w:p>
            <w:pPr>
              <w:pStyle w:val="MdTableHeader"/>
              <w:jc w:val="right"/>
            </w:pPr>
            <w:r>
              <w:t xml:space="preserve">سعر المتر</w:t>
            </w:r>
          </w:p>
        </w:tc>
        <w:tc>
          <w:tcPr>
            <w:tcBorders>
              <w:right w:val="none"/>
            </w:tcBorders>
            <w:tcMar>
              <w:top w:type="dxa" w:w="100"/>
              <w:left w:type="dxa" w:w="120"/>
              <w:bottom w:type="dxa" w:w="100"/>
              <w:right w:type="dxa" w:w="120"/>
            </w:tcMar>
            <w:vAlign w:val="center"/>
          </w:tcPr>
          <w:p>
            <w:pPr>
              <w:pStyle w:val="MdTableHeader"/>
              <w:jc w:val="right"/>
            </w:pPr>
            <w:r>
              <w:t xml:space="preserve">القيمة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3102</w:t>
            </w:r>
          </w:p>
        </w:tc>
        <w:tc>
          <w:tcPr>
            <w:tcMar>
              <w:top w:type="dxa" w:w="80"/>
              <w:left w:type="dxa" w:w="120"/>
              <w:bottom w:type="dxa" w:w="80"/>
              <w:right w:type="dxa" w:w="120"/>
            </w:tcMar>
            <w:vAlign w:val="center"/>
          </w:tcPr>
          <w:p>
            <w:pPr>
              <w:pStyle w:val="MdTableCell"/>
              <w:jc w:val="right"/>
            </w:pPr>
            <w:r>
              <w:t xml:space="preserve">14.95 م²</w:t>
            </w:r>
          </w:p>
        </w:tc>
        <w:tc>
          <w:tcPr>
            <w:tcMar>
              <w:top w:type="dxa" w:w="80"/>
              <w:left w:type="dxa" w:w="120"/>
              <w:bottom w:type="dxa" w:w="80"/>
              <w:right w:type="dxa" w:w="120"/>
            </w:tcMar>
            <w:vAlign w:val="center"/>
          </w:tcPr>
          <w:p>
            <w:pPr>
              <w:pStyle w:val="MdTableCell"/>
              <w:jc w:val="right"/>
            </w:pPr>
            <w:r>
              <w:t xml:space="preserve">47,000</w:t>
            </w:r>
          </w:p>
        </w:tc>
        <w:tc>
          <w:tcPr>
            <w:tcBorders>
              <w:right w:val="none"/>
            </w:tcBorders>
            <w:tcMar>
              <w:top w:type="dxa" w:w="80"/>
              <w:left w:type="dxa" w:w="120"/>
              <w:bottom w:type="dxa" w:w="80"/>
              <w:right w:type="dxa" w:w="120"/>
            </w:tcMar>
            <w:vAlign w:val="center"/>
          </w:tcPr>
          <w:p>
            <w:pPr>
              <w:pStyle w:val="MdTableCell"/>
              <w:jc w:val="right"/>
            </w:pPr>
            <w:r>
              <w:t xml:space="preserve">702,650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3113</w:t>
            </w:r>
          </w:p>
        </w:tc>
        <w:tc>
          <w:tcPr>
            <w:tcMar>
              <w:top w:type="dxa" w:w="80"/>
              <w:left w:type="dxa" w:w="120"/>
              <w:bottom w:type="dxa" w:w="80"/>
              <w:right w:type="dxa" w:w="120"/>
            </w:tcMar>
            <w:vAlign w:val="center"/>
          </w:tcPr>
          <w:p>
            <w:pPr>
              <w:pStyle w:val="MdTableCell"/>
              <w:jc w:val="right"/>
            </w:pPr>
            <w:r>
              <w:t xml:space="preserve">14.60 م²</w:t>
            </w:r>
          </w:p>
        </w:tc>
        <w:tc>
          <w:tcPr>
            <w:tcMar>
              <w:top w:type="dxa" w:w="80"/>
              <w:left w:type="dxa" w:w="120"/>
              <w:bottom w:type="dxa" w:w="80"/>
              <w:right w:type="dxa" w:w="120"/>
            </w:tcMar>
            <w:vAlign w:val="center"/>
          </w:tcPr>
          <w:p>
            <w:pPr>
              <w:pStyle w:val="MdTableCell"/>
              <w:jc w:val="right"/>
            </w:pPr>
            <w:r>
              <w:t xml:space="preserve">35,000</w:t>
            </w:r>
          </w:p>
        </w:tc>
        <w:tc>
          <w:tcPr>
            <w:tcBorders>
              <w:right w:val="none"/>
            </w:tcBorders>
            <w:tcMar>
              <w:top w:type="dxa" w:w="80"/>
              <w:left w:type="dxa" w:w="120"/>
              <w:bottom w:type="dxa" w:w="80"/>
              <w:right w:type="dxa" w:w="120"/>
            </w:tcMar>
            <w:vAlign w:val="center"/>
          </w:tcPr>
          <w:p>
            <w:pPr>
              <w:pStyle w:val="MdTableCell"/>
              <w:jc w:val="right"/>
            </w:pPr>
            <w:r>
              <w:t xml:space="preserve">511,000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3120</w:t>
            </w:r>
          </w:p>
        </w:tc>
        <w:tc>
          <w:tcPr>
            <w:tcMar>
              <w:top w:type="dxa" w:w="80"/>
              <w:left w:type="dxa" w:w="120"/>
              <w:bottom w:type="dxa" w:w="80"/>
              <w:right w:type="dxa" w:w="120"/>
            </w:tcMar>
            <w:vAlign w:val="center"/>
          </w:tcPr>
          <w:p>
            <w:pPr>
              <w:pStyle w:val="MdTableCell"/>
              <w:jc w:val="right"/>
            </w:pPr>
            <w:r>
              <w:t xml:space="preserve">16.90 م²</w:t>
            </w:r>
          </w:p>
        </w:tc>
        <w:tc>
          <w:tcPr>
            <w:tcMar>
              <w:top w:type="dxa" w:w="80"/>
              <w:left w:type="dxa" w:w="120"/>
              <w:bottom w:type="dxa" w:w="80"/>
              <w:right w:type="dxa" w:w="120"/>
            </w:tcMar>
            <w:vAlign w:val="center"/>
          </w:tcPr>
          <w:p>
            <w:pPr>
              <w:pStyle w:val="MdTableCell"/>
              <w:jc w:val="right"/>
            </w:pPr>
            <w:r>
              <w:t xml:space="preserve">35,000</w:t>
            </w:r>
          </w:p>
        </w:tc>
        <w:tc>
          <w:tcPr>
            <w:tcBorders>
              <w:right w:val="none"/>
            </w:tcBorders>
            <w:tcMar>
              <w:top w:type="dxa" w:w="80"/>
              <w:left w:type="dxa" w:w="120"/>
              <w:bottom w:type="dxa" w:w="80"/>
              <w:right w:type="dxa" w:w="120"/>
            </w:tcMar>
            <w:vAlign w:val="center"/>
          </w:tcPr>
          <w:p>
            <w:pPr>
              <w:pStyle w:val="MdTableCell"/>
              <w:jc w:val="right"/>
            </w:pPr>
            <w:r>
              <w:t xml:space="preserve">591,500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3121</w:t>
            </w:r>
          </w:p>
        </w:tc>
        <w:tc>
          <w:tcPr>
            <w:tcMar>
              <w:top w:type="dxa" w:w="80"/>
              <w:left w:type="dxa" w:w="120"/>
              <w:bottom w:type="dxa" w:w="80"/>
              <w:right w:type="dxa" w:w="120"/>
            </w:tcMar>
            <w:vAlign w:val="center"/>
          </w:tcPr>
          <w:p>
            <w:pPr>
              <w:pStyle w:val="MdTableCell"/>
              <w:jc w:val="right"/>
            </w:pPr>
            <w:r>
              <w:t xml:space="preserve">25.95 م²</w:t>
            </w:r>
          </w:p>
        </w:tc>
        <w:tc>
          <w:tcPr>
            <w:tcMar>
              <w:top w:type="dxa" w:w="80"/>
              <w:left w:type="dxa" w:w="120"/>
              <w:bottom w:type="dxa" w:w="80"/>
              <w:right w:type="dxa" w:w="120"/>
            </w:tcMar>
            <w:vAlign w:val="center"/>
          </w:tcPr>
          <w:p>
            <w:pPr>
              <w:pStyle w:val="MdTableCell"/>
              <w:jc w:val="right"/>
            </w:pPr>
            <w:r>
              <w:t xml:space="preserve">33,000</w:t>
            </w:r>
          </w:p>
        </w:tc>
        <w:tc>
          <w:tcPr>
            <w:tcBorders>
              <w:right w:val="none"/>
            </w:tcBorders>
            <w:tcMar>
              <w:top w:type="dxa" w:w="80"/>
              <w:left w:type="dxa" w:w="120"/>
              <w:bottom w:type="dxa" w:w="80"/>
              <w:right w:type="dxa" w:w="120"/>
            </w:tcMar>
            <w:vAlign w:val="center"/>
          </w:tcPr>
          <w:p>
            <w:pPr>
              <w:pStyle w:val="MdTableCell"/>
              <w:jc w:val="right"/>
            </w:pPr>
            <w:r>
              <w:t xml:space="preserve">856,350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3123</w:t>
            </w:r>
          </w:p>
        </w:tc>
        <w:tc>
          <w:tcPr>
            <w:tcMar>
              <w:top w:type="dxa" w:w="80"/>
              <w:left w:type="dxa" w:w="120"/>
              <w:bottom w:type="dxa" w:w="80"/>
              <w:right w:type="dxa" w:w="120"/>
            </w:tcMar>
            <w:vAlign w:val="center"/>
          </w:tcPr>
          <w:p>
            <w:pPr>
              <w:pStyle w:val="MdTableCell"/>
              <w:jc w:val="right"/>
            </w:pPr>
            <w:r>
              <w:t xml:space="preserve">49.15 م²</w:t>
            </w:r>
          </w:p>
        </w:tc>
        <w:tc>
          <w:tcPr>
            <w:tcMar>
              <w:top w:type="dxa" w:w="80"/>
              <w:left w:type="dxa" w:w="120"/>
              <w:bottom w:type="dxa" w:w="80"/>
              <w:right w:type="dxa" w:w="120"/>
            </w:tcMar>
            <w:vAlign w:val="center"/>
          </w:tcPr>
          <w:p>
            <w:pPr>
              <w:pStyle w:val="MdTableCell"/>
              <w:jc w:val="right"/>
            </w:pPr>
            <w:r>
              <w:t xml:space="preserve">32,000</w:t>
            </w:r>
          </w:p>
        </w:tc>
        <w:tc>
          <w:tcPr>
            <w:tcBorders>
              <w:right w:val="none"/>
            </w:tcBorders>
            <w:tcMar>
              <w:top w:type="dxa" w:w="80"/>
              <w:left w:type="dxa" w:w="120"/>
              <w:bottom w:type="dxa" w:w="80"/>
              <w:right w:type="dxa" w:w="120"/>
            </w:tcMar>
            <w:vAlign w:val="center"/>
          </w:tcPr>
          <w:p>
            <w:pPr>
              <w:pStyle w:val="MdTableCell"/>
              <w:jc w:val="right"/>
            </w:pPr>
            <w:r>
              <w:t xml:space="preserve">1,572,800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3124</w:t>
            </w:r>
          </w:p>
        </w:tc>
        <w:tc>
          <w:tcPr>
            <w:tcMar>
              <w:top w:type="dxa" w:w="80"/>
              <w:left w:type="dxa" w:w="120"/>
              <w:bottom w:type="dxa" w:w="80"/>
              <w:right w:type="dxa" w:w="120"/>
            </w:tcMar>
            <w:vAlign w:val="center"/>
          </w:tcPr>
          <w:p>
            <w:pPr>
              <w:pStyle w:val="MdTableCell"/>
              <w:jc w:val="right"/>
            </w:pPr>
            <w:r>
              <w:t xml:space="preserve">47.30 م²</w:t>
            </w:r>
          </w:p>
        </w:tc>
        <w:tc>
          <w:tcPr>
            <w:tcMar>
              <w:top w:type="dxa" w:w="80"/>
              <w:left w:type="dxa" w:w="120"/>
              <w:bottom w:type="dxa" w:w="80"/>
              <w:right w:type="dxa" w:w="120"/>
            </w:tcMar>
            <w:vAlign w:val="center"/>
          </w:tcPr>
          <w:p>
            <w:pPr>
              <w:pStyle w:val="MdTableCell"/>
              <w:jc w:val="right"/>
            </w:pPr>
            <w:r>
              <w:t xml:space="preserve">33,000</w:t>
            </w:r>
          </w:p>
        </w:tc>
        <w:tc>
          <w:tcPr>
            <w:tcBorders>
              <w:right w:val="none"/>
            </w:tcBorders>
            <w:tcMar>
              <w:top w:type="dxa" w:w="80"/>
              <w:left w:type="dxa" w:w="120"/>
              <w:bottom w:type="dxa" w:w="80"/>
              <w:right w:type="dxa" w:w="120"/>
            </w:tcMar>
            <w:vAlign w:val="center"/>
          </w:tcPr>
          <w:p>
            <w:pPr>
              <w:pStyle w:val="MdTableCell"/>
              <w:jc w:val="right"/>
            </w:pPr>
            <w:r>
              <w:t xml:space="preserve">1,560,900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3126</w:t>
            </w:r>
          </w:p>
        </w:tc>
        <w:tc>
          <w:tcPr>
            <w:tcMar>
              <w:top w:type="dxa" w:w="80"/>
              <w:left w:type="dxa" w:w="120"/>
              <w:bottom w:type="dxa" w:w="80"/>
              <w:right w:type="dxa" w:w="120"/>
            </w:tcMar>
            <w:vAlign w:val="center"/>
          </w:tcPr>
          <w:p>
            <w:pPr>
              <w:pStyle w:val="MdTableCell"/>
              <w:jc w:val="right"/>
            </w:pPr>
            <w:r>
              <w:t xml:space="preserve">30.65 م²</w:t>
            </w:r>
          </w:p>
        </w:tc>
        <w:tc>
          <w:tcPr>
            <w:tcMar>
              <w:top w:type="dxa" w:w="80"/>
              <w:left w:type="dxa" w:w="120"/>
              <w:bottom w:type="dxa" w:w="80"/>
              <w:right w:type="dxa" w:w="120"/>
            </w:tcMar>
            <w:vAlign w:val="center"/>
          </w:tcPr>
          <w:p>
            <w:pPr>
              <w:pStyle w:val="MdTableCell"/>
              <w:jc w:val="right"/>
            </w:pPr>
            <w:r>
              <w:t xml:space="preserve">33,000</w:t>
            </w:r>
          </w:p>
        </w:tc>
        <w:tc>
          <w:tcPr>
            <w:tcBorders>
              <w:right w:val="none"/>
            </w:tcBorders>
            <w:tcMar>
              <w:top w:type="dxa" w:w="80"/>
              <w:left w:type="dxa" w:w="120"/>
              <w:bottom w:type="dxa" w:w="80"/>
              <w:right w:type="dxa" w:w="120"/>
            </w:tcMar>
            <w:vAlign w:val="center"/>
          </w:tcPr>
          <w:p>
            <w:pPr>
              <w:pStyle w:val="MdTableCell"/>
              <w:jc w:val="right"/>
            </w:pPr>
            <w:r>
              <w:t xml:space="preserve">1,011,450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3132</w:t>
            </w:r>
          </w:p>
        </w:tc>
        <w:tc>
          <w:tcPr>
            <w:tcMar>
              <w:top w:type="dxa" w:w="80"/>
              <w:left w:type="dxa" w:w="120"/>
              <w:bottom w:type="dxa" w:w="80"/>
              <w:right w:type="dxa" w:w="120"/>
            </w:tcMar>
            <w:vAlign w:val="center"/>
          </w:tcPr>
          <w:p>
            <w:pPr>
              <w:pStyle w:val="MdTableCell"/>
              <w:jc w:val="right"/>
            </w:pPr>
            <w:r>
              <w:t xml:space="preserve">38.50 م²</w:t>
            </w:r>
          </w:p>
        </w:tc>
        <w:tc>
          <w:tcPr>
            <w:tcMar>
              <w:top w:type="dxa" w:w="80"/>
              <w:left w:type="dxa" w:w="120"/>
              <w:bottom w:type="dxa" w:w="80"/>
              <w:right w:type="dxa" w:w="120"/>
            </w:tcMar>
            <w:vAlign w:val="center"/>
          </w:tcPr>
          <w:p>
            <w:pPr>
              <w:pStyle w:val="MdTableCell"/>
              <w:jc w:val="right"/>
            </w:pPr>
            <w:r>
              <w:t xml:space="preserve">33,000</w:t>
            </w:r>
          </w:p>
        </w:tc>
        <w:tc>
          <w:tcPr>
            <w:tcBorders>
              <w:right w:val="none"/>
            </w:tcBorders>
            <w:tcMar>
              <w:top w:type="dxa" w:w="80"/>
              <w:left w:type="dxa" w:w="120"/>
              <w:bottom w:type="dxa" w:w="80"/>
              <w:right w:type="dxa" w:w="120"/>
            </w:tcMar>
            <w:vAlign w:val="center"/>
          </w:tcPr>
          <w:p>
            <w:pPr>
              <w:pStyle w:val="MdTableCell"/>
              <w:jc w:val="right"/>
            </w:pPr>
            <w:r>
              <w:t xml:space="preserve">1,270,500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238.00 م²</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8,077,150</w:t>
            </w:r>
          </w:p>
        </w:tc>
      </w:tr>
    </w:tbl>
    <w:p>
      <w:pPr>
        <w:pStyle w:val="Heading2"/>
        <w:pStyle w:val="MdHeading2"/>
      </w:pPr>
      <w:r>
        <w:t xml:space="preserve">خامسًا: طلب تأكيد المعلومات قبل التسويق</w:t>
      </w:r>
    </w:p>
    <w:p>
      <w:pPr>
        <w:pStyle w:val="MdParagraph"/>
      </w:pPr>
      <w:r>
        <w:t xml:space="preserve">قبل نشر أي وحدة، يوقع أو يعتمد المسؤول المختص كشفًا نهائيًا يتضمن رقم الوحدة، البرج، الدور، المساحة، سعر المتر، السعر الإجمالي، حالة التشطيب، الواجهة، النشاط المسموح، موعد التسليم، خطة السداد، المصروفات الإضافية، والحالة الحالية للحجز أو البيع.</w:t>
      </w:r>
    </w:p>
    <w:p>
      <w:pPr>
        <w:pStyle w:val="MdSpace"/>
        <w:spacing w:before="0" w:after="60"/>
      </w:pPr>
    </w:p>
    <w:p>
      <w:pPr>
        <w:pStyle w:val="MdParagraph"/>
      </w:pPr>
      <w:r>
        <w:t xml:space="preserve">كما يجب تأكيد ما إذا كانت ملفات أبريل 2026 لا تزال سارية في تاريخ بدء الحملة، وتأكيد أن الوحدات الخالية لم يتم حجزها أو بيعها لاحقًا، ومراجعة أي تعارض بين الملف والصور أو الواقع الميداني.</w:t>
      </w:r>
    </w:p>
    <w:p>
      <w:pPr>
        <w:pStyle w:val="MdSpace"/>
        <w:spacing w:before="0" w:after="60"/>
      </w:pPr>
    </w:p>
    <w:p>
      <w:pPr>
        <w:pStyle w:val="Heading2"/>
        <w:pStyle w:val="MdHeading2"/>
      </w:pPr>
      <w:r>
        <w:t xml:space="preserve">سادسًا: التعيينات والوصف الوظيفي</w:t>
      </w:r>
    </w:p>
    <w:p>
      <w:pPr>
        <w:pStyle w:val="Heading3"/>
        <w:pStyle w:val="MdHeading3"/>
      </w:pPr>
      <w:r>
        <w:t xml:space="preserve">فريق البداية المقترح</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الوظيفة</w:t>
            </w:r>
          </w:p>
        </w:tc>
        <w:tc>
          <w:tcPr>
            <w:tcMar>
              <w:top w:type="dxa" w:w="100"/>
              <w:left w:type="dxa" w:w="120"/>
              <w:bottom w:type="dxa" w:w="100"/>
              <w:right w:type="dxa" w:w="120"/>
            </w:tcMar>
            <w:vAlign w:val="center"/>
          </w:tcPr>
          <w:p>
            <w:pPr>
              <w:pStyle w:val="MdTableHeader"/>
              <w:jc w:val="right"/>
            </w:pPr>
            <w:r>
              <w:t xml:space="preserve">العدد المقترح</w:t>
            </w:r>
          </w:p>
        </w:tc>
        <w:tc>
          <w:tcPr>
            <w:tcBorders>
              <w:right w:val="none"/>
            </w:tcBorders>
            <w:tcMar>
              <w:top w:type="dxa" w:w="100"/>
              <w:left w:type="dxa" w:w="120"/>
              <w:bottom w:type="dxa" w:w="100"/>
              <w:right w:type="dxa" w:w="120"/>
            </w:tcMar>
            <w:vAlign w:val="center"/>
          </w:tcPr>
          <w:p>
            <w:pPr>
              <w:pStyle w:val="MdTableHeader"/>
            </w:pPr>
            <w:r>
              <w:t xml:space="preserve">الوصف الوظيفي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تطوير الأعمال والتسويق والمبيعات العقارية</w:t>
            </w:r>
          </w:p>
        </w:tc>
        <w:tc>
          <w:tcPr>
            <w:tcMar>
              <w:top w:type="dxa" w:w="80"/>
              <w:left w:type="dxa" w:w="120"/>
              <w:bottom w:type="dxa" w:w="80"/>
              <w:right w:type="dxa" w:w="120"/>
            </w:tcMar>
            <w:vAlign w:val="center"/>
          </w:tcPr>
          <w:p>
            <w:pPr>
              <w:pStyle w:val="MdTableCell"/>
              <w:jc w:val="right"/>
            </w:pPr>
            <w:r>
              <w:t xml:space="preserve">يحدد من الإدارة</w:t>
            </w:r>
          </w:p>
        </w:tc>
        <w:tc>
          <w:tcPr>
            <w:tcBorders>
              <w:right w:val="none"/>
            </w:tcBorders>
            <w:tcMar>
              <w:top w:type="dxa" w:w="80"/>
              <w:left w:type="dxa" w:w="120"/>
              <w:bottom w:type="dxa" w:w="80"/>
              <w:right w:type="dxa" w:w="120"/>
            </w:tcMar>
            <w:vAlign w:val="center"/>
          </w:tcPr>
          <w:p>
            <w:pPr>
              <w:pStyle w:val="MdTableCell"/>
            </w:pPr>
            <w:r>
              <w:t xml:space="preserve">قيادة الخطة، تنسيق الوحدات والأسعار، إدارة العملاء، متابعة الحجوزات، ورفع التقارير. لا يعتمد خصومات أو عقودًا منفردًا.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مبيعات وتأجير تجاري</w:t>
            </w:r>
          </w:p>
        </w:tc>
        <w:tc>
          <w:tcPr>
            <w:tcMar>
              <w:top w:type="dxa" w:w="80"/>
              <w:left w:type="dxa" w:w="120"/>
              <w:bottom w:type="dxa" w:w="80"/>
              <w:right w:type="dxa" w:w="120"/>
            </w:tcMar>
            <w:vAlign w:val="center"/>
          </w:tcPr>
          <w:p>
            <w:pPr>
              <w:pStyle w:val="MdTableCell"/>
              <w:jc w:val="right"/>
            </w:pPr>
            <w:r>
              <w:t xml:space="preserve">يحدد من الإدارة</w:t>
            </w:r>
          </w:p>
        </w:tc>
        <w:tc>
          <w:tcPr>
            <w:tcBorders>
              <w:right w:val="none"/>
            </w:tcBorders>
            <w:tcMar>
              <w:top w:type="dxa" w:w="80"/>
              <w:left w:type="dxa" w:w="120"/>
              <w:bottom w:type="dxa" w:w="80"/>
              <w:right w:type="dxa" w:w="120"/>
            </w:tcMar>
            <w:vAlign w:val="center"/>
          </w:tcPr>
          <w:p>
            <w:pPr>
              <w:pStyle w:val="MdTableCell"/>
            </w:pPr>
            <w:r>
              <w:t xml:space="preserve">التواصل مع العملاء، تأهيل احتياجات النشاط، تنظيم المعاينات، إعداد العروض المعتمدة، وتحويل الفرص إلى حجوزات.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تسويق رقمي ومحتوى</w:t>
            </w:r>
          </w:p>
        </w:tc>
        <w:tc>
          <w:tcPr>
            <w:tcMar>
              <w:top w:type="dxa" w:w="80"/>
              <w:left w:type="dxa" w:w="120"/>
              <w:bottom w:type="dxa" w:w="80"/>
              <w:right w:type="dxa" w:w="120"/>
            </w:tcMar>
            <w:vAlign w:val="center"/>
          </w:tcPr>
          <w:p>
            <w:pPr>
              <w:pStyle w:val="MdTableCell"/>
              <w:jc w:val="right"/>
            </w:pPr>
            <w:r>
              <w:t xml:space="preserve">يحدد من الإدارة أو متعاقد</w:t>
            </w:r>
          </w:p>
        </w:tc>
        <w:tc>
          <w:tcPr>
            <w:tcBorders>
              <w:right w:val="none"/>
            </w:tcBorders>
            <w:tcMar>
              <w:top w:type="dxa" w:w="80"/>
              <w:left w:type="dxa" w:w="120"/>
              <w:bottom w:type="dxa" w:w="80"/>
              <w:right w:type="dxa" w:w="120"/>
            </w:tcMar>
            <w:vAlign w:val="center"/>
          </w:tcPr>
          <w:p>
            <w:pPr>
              <w:pStyle w:val="MdTableCell"/>
            </w:pPr>
            <w:r>
              <w:t xml:space="preserve">إعداد الحملات والمحتوى، إدارة Google وLinkedIn وMeta، تتبع مصادر العملاء، ورفع تقرير الأداء.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منسق CRM وبيانات</w:t>
            </w:r>
          </w:p>
        </w:tc>
        <w:tc>
          <w:tcPr>
            <w:tcMar>
              <w:top w:type="dxa" w:w="80"/>
              <w:left w:type="dxa" w:w="120"/>
              <w:bottom w:type="dxa" w:w="80"/>
              <w:right w:type="dxa" w:w="120"/>
            </w:tcMar>
            <w:vAlign w:val="center"/>
          </w:tcPr>
          <w:p>
            <w:pPr>
              <w:pStyle w:val="MdTableCell"/>
              <w:jc w:val="right"/>
            </w:pPr>
            <w:r>
              <w:t xml:space="preserve">يحدد من الإدارة أو بالاشتراك</w:t>
            </w:r>
          </w:p>
        </w:tc>
        <w:tc>
          <w:tcPr>
            <w:tcBorders>
              <w:right w:val="none"/>
            </w:tcBorders>
            <w:tcMar>
              <w:top w:type="dxa" w:w="80"/>
              <w:left w:type="dxa" w:w="120"/>
              <w:bottom w:type="dxa" w:w="80"/>
              <w:right w:type="dxa" w:w="120"/>
            </w:tcMar>
            <w:vAlign w:val="center"/>
          </w:tcPr>
          <w:p>
            <w:pPr>
              <w:pStyle w:val="MdTableCell"/>
            </w:pPr>
            <w:r>
              <w:t xml:space="preserve">إدخال الوحدات والعملاء والحجوزات، تحديث المراحل، منع تضارب البيانات، وتجهيز التقارير الأسبوعية.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مصور ومصمم</w:t>
            </w:r>
          </w:p>
        </w:tc>
        <w:tc>
          <w:tcPr>
            <w:tcMar>
              <w:top w:type="dxa" w:w="80"/>
              <w:left w:type="dxa" w:w="120"/>
              <w:bottom w:type="dxa" w:w="80"/>
              <w:right w:type="dxa" w:w="120"/>
            </w:tcMar>
            <w:vAlign w:val="center"/>
          </w:tcPr>
          <w:p>
            <w:pPr>
              <w:pStyle w:val="MdTableCell"/>
              <w:jc w:val="right"/>
            </w:pPr>
            <w:r>
              <w:t xml:space="preserve">حسب الحاجة</w:t>
            </w:r>
          </w:p>
        </w:tc>
        <w:tc>
          <w:tcPr>
            <w:tcBorders>
              <w:right w:val="none"/>
            </w:tcBorders>
            <w:tcMar>
              <w:top w:type="dxa" w:w="80"/>
              <w:left w:type="dxa" w:w="120"/>
              <w:bottom w:type="dxa" w:w="80"/>
              <w:right w:type="dxa" w:w="120"/>
            </w:tcMar>
            <w:vAlign w:val="center"/>
          </w:tcPr>
          <w:p>
            <w:pPr>
              <w:pStyle w:val="MdTableCell"/>
            </w:pPr>
            <w:r>
              <w:t xml:space="preserve">تصوير الوحدات والموقع، تجهيز الصور والفيديو واللافتات، وربط المحتوى بالوحدة المعتمدة.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مستشار قانوني وهندسي</w:t>
            </w:r>
          </w:p>
        </w:tc>
        <w:tc>
          <w:tcPr>
            <w:tcBorders>
              <w:bottom w:val="single" w:color="E1E4E8" w:sz="4"/>
            </w:tcBorders>
            <w:tcMar>
              <w:top w:type="dxa" w:w="80"/>
              <w:left w:type="dxa" w:w="120"/>
              <w:bottom w:type="dxa" w:w="80"/>
              <w:right w:type="dxa" w:w="120"/>
            </w:tcMar>
            <w:vAlign w:val="center"/>
          </w:tcPr>
          <w:p>
            <w:pPr>
              <w:pStyle w:val="MdTableCell"/>
              <w:jc w:val="right"/>
            </w:pPr>
            <w:r>
              <w:t xml:space="preserve">خدمة خارجية عند الحاجة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مراجعة الرخص، الاستخدامات، المساحات، التسليم، المستندات، وأي التزام قبل عرضه على العميل.</w:t>
            </w:r>
          </w:p>
        </w:tc>
      </w:tr>
    </w:tbl>
    <w:p>
      <w:pPr>
        <w:pStyle w:val="MdParagraph"/>
      </w:pPr>
      <w:r>
        <w:rPr>
          <w:rStyle w:val="MdStrong"/>
          <w:b/>
          <w:bCs/>
        </w:rPr>
        <w:t xml:space="preserve">القرار المطلوب:</w:t>
      </w:r>
      <w:r>
        <w:t xml:space="preserve"> اعتماد الوظائف والاختصاصات من حيث المبدأ، على أن تحدد الإدارة العليا عدد العاملين، نوع التعاقد، الرواتب، العمولات، وتوقيت التعيين.</w:t>
      </w:r>
    </w:p>
    <w:p>
      <w:pPr>
        <w:pStyle w:val="MdSpace"/>
        <w:spacing w:before="0" w:after="60"/>
      </w:pPr>
    </w:p>
    <w:p>
      <w:pPr>
        <w:pStyle w:val="Heading2"/>
        <w:pStyle w:val="MdHeading2"/>
      </w:pPr>
      <w:r>
        <w:t xml:space="preserve">سابعًا: نطاق التسويق الذي تحدده الإدارة العليا</w:t>
      </w:r>
    </w:p>
    <w:p>
      <w:pPr>
        <w:pStyle w:val="MdParagraph"/>
      </w:pPr>
      <w:r>
        <w:t xml:space="preserve">لا تقترح هذه المذكرة رقمًا محددًا للتسويق. المطلوب اعتماد نطاق مالي من الإدارة العليا وفق العروض الفعلية وخطة التنفيذ:</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بند التسويق</w:t>
            </w:r>
          </w:p>
        </w:tc>
        <w:tc>
          <w:tcPr>
            <w:tcBorders>
              <w:right w:val="none"/>
            </w:tcBorders>
            <w:tcMar>
              <w:top w:type="dxa" w:w="100"/>
              <w:left w:type="dxa" w:w="120"/>
              <w:bottom w:type="dxa" w:w="100"/>
              <w:right w:type="dxa" w:w="120"/>
            </w:tcMar>
            <w:vAlign w:val="center"/>
          </w:tcPr>
          <w:p>
            <w:pPr>
              <w:pStyle w:val="MdTableHeader"/>
              <w:jc w:val="right"/>
            </w:pPr>
            <w:r>
              <w:t xml:space="preserve">النطاق المالي المعتمد من الإدارة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 وواتساب</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Ads</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LinkedIn</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التصوير والتصميم والمحتوى</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اللافتات أمام الأرض وشارع البلسم</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الإعلان أمام محطة المترو</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إدارة CRM والمتابعة</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الإجمالي</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Heading2"/>
        <w:pStyle w:val="MdHeading2"/>
      </w:pPr>
      <w:r>
        <w:t xml:space="preserve">ثامنًا: سياسة البروكرز والتسعير التدريجي</w:t>
      </w:r>
    </w:p>
    <w:p>
      <w:pPr>
        <w:pStyle w:val="MdParagraph"/>
      </w:pPr>
      <w:r>
        <w:t xml:space="preserve">يوصى باعتماد عمولة بروكرز قدرها </w:t>
      </w:r>
      <w:r>
        <w:rPr>
          <w:rStyle w:val="MdStrong"/>
          <w:b/>
          <w:bCs/>
        </w:rPr>
        <w:t xml:space="preserve">6% من إجمالي قيمة التعاقد</w:t>
      </w:r>
      <w:r>
        <w:t xml:space="preserve"> في حالة سداد العميل لأكثر من </w:t>
      </w:r>
      <w:r>
        <w:rPr>
          <w:rStyle w:val="MdStrong"/>
          <w:b/>
          <w:bCs/>
        </w:rPr>
        <w:t xml:space="preserve">75%</w:t>
      </w:r>
      <w:r>
        <w:t xml:space="preserve"> من قيمة الوحدة. أما في حالة سداد العميل لنسبة أقل من 75%، فتُحسب العمولة </w:t>
      </w:r>
      <w:r>
        <w:rPr>
          <w:rStyle w:val="MdStrong"/>
          <w:b/>
          <w:bCs/>
        </w:rPr>
        <w:t xml:space="preserve">من المبالغ المسددة فعلياً (من المسدد)</w:t>
      </w:r>
      <w:r>
        <w:t xml:space="preserve"> وليس من إجمالي التعاقد، لضمان الحفاظ على السيولة النقدية للشركة، مع اعتبار </w:t>
      </w:r>
      <w:r>
        <w:rPr>
          <w:rStyle w:val="MdStrong"/>
          <w:b/>
          <w:bCs/>
        </w:rPr>
        <w:t xml:space="preserve">4% حدًا أدنى بديلًا</w:t>
      </w:r>
      <w:r>
        <w:t xml:space="preserve"> إذا قررت الإدارة العليا ذلك. يجب أن يحدد القرار المكتوب: من هو البروكر المعتمد، متى تستحق العمولة، مستندات إثبات مصدر العميل، وكيفية معالجة الأقساط اللاحقة.</w:t>
      </w:r>
    </w:p>
    <w:p>
      <w:pPr>
        <w:pStyle w:val="MdSpace"/>
        <w:spacing w:before="0" w:after="60"/>
      </w:pPr>
    </w:p>
    <w:p>
      <w:pPr>
        <w:pStyle w:val="MdParagraph"/>
      </w:pPr>
      <w:r>
        <w:t xml:space="preserve">وبناءً على التوجيه المقدم، يمكن للإدارة دراسة زيادة إجمالية في الأسعار تصل إلى </w:t>
      </w:r>
      <w:r>
        <w:rPr>
          <w:rStyle w:val="MdStrong"/>
          <w:b/>
          <w:bCs/>
        </w:rPr>
        <w:t xml:space="preserve">10%</w:t>
      </w:r>
      <w:r>
        <w:t xml:space="preserve">، على أن تتم تدريجيًا بعد انتهاء المرحلة الأولى، وليس دفعة واحدة عند البداية. الغرض من الزيادة المحتملة هو تغطية جزء من تكاليف التسويق وعمولات البروكرز والحفاظ على صافي العائد، ولا تصبح نافذة إلا بعد مقارنة الحجوزات الفعلية بحجوزات الأشهر الثلاثة السابقة واعتماد جدول أسعار جديد.</w:t>
      </w:r>
    </w:p>
    <w:p>
      <w:pPr>
        <w:pStyle w:val="MdSpace"/>
        <w:spacing w:before="0" w:after="60"/>
      </w:pPr>
    </w:p>
    <w:p>
      <w:pPr>
        <w:pStyle w:val="MdParagraph"/>
      </w:pPr>
      <w:r>
        <w:t xml:space="preserve">تُستخدم نسبة </w:t>
      </w:r>
      <w:r>
        <w:rPr>
          <w:rStyle w:val="MdStrong"/>
          <w:b/>
          <w:bCs/>
        </w:rPr>
        <w:t xml:space="preserve">80%</w:t>
      </w:r>
      <w:r>
        <w:t xml:space="preserve"> الواردة من الإدارة كافتراض تخطيطي لأهمية البروكرز في مبيعات المطورين، وليست إحصاءً مستقلًا مثبتًا في هذه المذكرة. لذلك يجب قياس نسبة الحجوزات الفعلية القادمة من البروكرز في تقارير المشروع قبل تثبيت أي سياسة توسع أو تسعير.</w:t>
      </w:r>
    </w:p>
    <w:p>
      <w:pPr>
        <w:pStyle w:val="MdSpace"/>
        <w:spacing w:before="0" w:after="60"/>
      </w:pPr>
    </w:p>
    <w:p>
      <w:pPr>
        <w:pStyle w:val="Heading2"/>
        <w:pStyle w:val="MdHeading2"/>
      </w:pPr>
      <w:r>
        <w:t xml:space="preserve">تاسعًا: معيار النجاح والتارجت التجاري</w:t>
      </w:r>
    </w:p>
    <w:p>
      <w:pPr>
        <w:pStyle w:val="MdParagraph"/>
      </w:pPr>
      <w:r>
        <w:t xml:space="preserve">يعتمد التارجت الجديد على مقارنة موثقة بآخر ستة أشهر، وليس على تقدير عام. ويُعرّف خط الأساس كما يلي:</w:t>
      </w:r>
    </w:p>
    <w:p>
      <w:pPr>
        <w:pStyle w:val="MdSpace"/>
        <w:spacing w:before="0" w:after="60"/>
      </w:pPr>
    </w:p>
    <w:p>
      <w:pPr>
        <w:pStyle w:val="MdBlockquote"/>
      </w:pPr>
      <w:r>
        <w:rPr>
          <w:rStyle w:val="MdStrong"/>
          <w:b/>
          <w:bCs/>
        </w:rPr>
        <w:t xml:space="preserve">خط الأساس H6 = إجمالي التسجيلات أو الحجوزات المعتمدة خلال آخر 6 أشهر قبل بدء القياس.</w:t>
      </w:r>
      <w:r>
        <w:rPr>
          <w:rStyle w:val="MdBr"/>
        </w:rPr>
        <w:br/>
        <w:t xml:space="preserve"/>
      </w:r>
      <w:r>
        <w:rPr>
          <w:rStyle w:val="MdStrong"/>
          <w:b/>
          <w:bCs/>
        </w:rPr>
        <w:t xml:space="preserve">التارجت للـ6 أشهر القادمة = 2 × H6.</w:t>
      </w:r>
    </w:p>
    <w:p>
      <w:pPr>
        <w:pStyle w:val="MdSpace"/>
        <w:spacing w:before="0" w:after="60"/>
      </w:pPr>
    </w:p>
    <w:p>
      <w:pPr>
        <w:pStyle w:val="MdParagraph"/>
      </w:pPr>
      <w:r>
        <w:t xml:space="preserve">أي أن الهدف هو تحقيق </w:t>
      </w:r>
      <w:r>
        <w:rPr>
          <w:rStyle w:val="MdStrong"/>
          <w:b/>
          <w:bCs/>
        </w:rPr>
        <w:t xml:space="preserve">ضعف عدد التسجيلات أو الحجوزات المحققة خلال آخر ستة أشهر، في الستة أشهر التالية</w:t>
      </w:r>
      <w:r>
        <w:t xml:space="preserve">. ويُقاس التسجيل أو الحجز وفق تعريف تعتمده الإدارة، مع عدم احتساب التكرارات أو الطلبات غير المكتملة كحجوزات معتمدة.</w:t>
      </w:r>
    </w:p>
    <w:p>
      <w:pPr>
        <w:pStyle w:val="MdSpace"/>
        <w:spacing w:before="0" w:after="60"/>
      </w:pPr>
    </w:p>
    <w:p>
      <w:pPr>
        <w:pStyle w:val="MdParagraph"/>
      </w:pPr>
      <w:r>
        <w:t xml:space="preserve">هذا التارجت يدعم هدفًا تجاريًا واقعيًا هو السعي إلى بيع الوحدات المتاحة بالكامل خلال </w:t>
      </w:r>
      <w:r>
        <w:rPr>
          <w:rStyle w:val="MdStrong"/>
          <w:b/>
          <w:bCs/>
        </w:rPr>
        <w:t xml:space="preserve">النصف الأول من 2027</w:t>
      </w:r>
      <w:r>
        <w:t xml:space="preserve">، لكنه لا يمثل ضمانًا للبيع الكامل؛ فالنتيجة تعتمد على توفر الوحدات، الأسعار، سرعة التسليم، جودة المتابعة، موافقات الإدارة، والطلب الفعلي.</w:t>
      </w:r>
    </w:p>
    <w:p>
      <w:pPr>
        <w:pStyle w:val="MdSpace"/>
        <w:spacing w:before="0" w:after="60"/>
      </w:pPr>
    </w:p>
    <w:p>
      <w:pPr>
        <w:pStyle w:val="MdParagraph"/>
      </w:pPr>
      <w:r>
        <w:t xml:space="preserve">ولمنع اختلاف التفسير، يفضل اعتماد المؤشرات التالية معًا: الحجوزات المدفوعة أو المعتمدة، قيمة الحجوزات، عدد المعاينات، ونسبة تحويل العملاء المؤهلين إلى حجوزات. لا يكفي ارتفاع الرسائل إذا لم يتحسن الحجز الفعلي.</w:t>
      </w:r>
    </w:p>
    <w:p>
      <w:pPr>
        <w:pStyle w:val="MdSpace"/>
        <w:spacing w:before="0" w:after="60"/>
      </w:pPr>
    </w:p>
    <w:p>
      <w:pPr>
        <w:pStyle w:val="Heading3"/>
        <w:pStyle w:val="MdHeading3"/>
      </w:pPr>
      <w:r>
        <w:t xml:space="preserve">توقعات تشغيلية إرشادية وليست ضمانًا</w:t>
      </w:r>
    </w:p>
    <w:p>
      <w:pPr>
        <w:pStyle w:val="MdParagraph"/>
      </w:pPr>
      <w:r>
        <w:t xml:space="preserve">نظرًا لعدم توافر رقم الأساس، ولوجود مخاطر تسليم وتجهيز وعوامل موقع غير قابلة للنشر، تعرض الإدارة السيناريوهات التالية بوصفها </w:t>
      </w:r>
      <w:r>
        <w:rPr>
          <w:rStyle w:val="MdStrong"/>
          <w:b/>
          <w:bCs/>
        </w:rPr>
        <w:t xml:space="preserve">نطاقات تخطيطية</w:t>
      </w:r>
      <w:r>
        <w:t xml:space="preserve"> لا توقعات إحصائية: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السيناريو</w:t>
            </w:r>
          </w:p>
        </w:tc>
        <w:tc>
          <w:tcPr>
            <w:tcMar>
              <w:top w:type="dxa" w:w="100"/>
              <w:left w:type="dxa" w:w="120"/>
              <w:bottom w:type="dxa" w:w="100"/>
              <w:right w:type="dxa" w:w="120"/>
            </w:tcMar>
            <w:vAlign w:val="center"/>
          </w:tcPr>
          <w:p>
            <w:pPr>
              <w:pStyle w:val="MdTableHeader"/>
              <w:jc w:val="right"/>
            </w:pPr>
            <w:r>
              <w:t xml:space="preserve">احتمال تخطي خط الأساس</w:t>
            </w:r>
          </w:p>
        </w:tc>
        <w:tc>
          <w:tcPr>
            <w:tcMar>
              <w:top w:type="dxa" w:w="100"/>
              <w:left w:type="dxa" w:w="120"/>
              <w:bottom w:type="dxa" w:w="100"/>
              <w:right w:type="dxa" w:w="120"/>
            </w:tcMar>
            <w:vAlign w:val="center"/>
          </w:tcPr>
          <w:p>
            <w:pPr>
              <w:pStyle w:val="MdTableHeader"/>
            </w:pPr>
            <w:r>
              <w:t xml:space="preserve">نتيجة الحجوزات المقترحة للقياس</w:t>
            </w:r>
          </w:p>
        </w:tc>
        <w:tc>
          <w:tcPr>
            <w:tcBorders>
              <w:right w:val="none"/>
            </w:tcBorders>
            <w:tcMar>
              <w:top w:type="dxa" w:w="100"/>
              <w:left w:type="dxa" w:w="120"/>
              <w:bottom w:type="dxa" w:w="100"/>
              <w:right w:type="dxa" w:w="120"/>
            </w:tcMar>
            <w:vAlign w:val="center"/>
          </w:tcPr>
          <w:p>
            <w:pPr>
              <w:pStyle w:val="MdTableHeader"/>
            </w:pPr>
            <w:r>
              <w:t xml:space="preserve">الإجراء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محافظ</w:t>
            </w:r>
          </w:p>
        </w:tc>
        <w:tc>
          <w:tcPr>
            <w:tcMar>
              <w:top w:type="dxa" w:w="80"/>
              <w:left w:type="dxa" w:w="120"/>
              <w:bottom w:type="dxa" w:w="80"/>
              <w:right w:type="dxa" w:w="120"/>
            </w:tcMar>
            <w:vAlign w:val="center"/>
          </w:tcPr>
          <w:p>
            <w:pPr>
              <w:pStyle w:val="MdTableCell"/>
              <w:jc w:val="right"/>
            </w:pPr>
            <w:r>
              <w:t xml:space="preserve">35%</w:t>
            </w:r>
          </w:p>
        </w:tc>
        <w:tc>
          <w:tcPr>
            <w:tcMar>
              <w:top w:type="dxa" w:w="80"/>
              <w:left w:type="dxa" w:w="120"/>
              <w:bottom w:type="dxa" w:w="80"/>
              <w:right w:type="dxa" w:w="120"/>
            </w:tcMar>
            <w:vAlign w:val="center"/>
          </w:tcPr>
          <w:p>
            <w:pPr>
              <w:pStyle w:val="MdTableCell"/>
            </w:pPr>
            <w:r>
              <w:t xml:space="preserve">أعلى من B بنسبة محدودة، مع استمرار مشاكل التسليم أو بطء التأهيل</w:t>
            </w:r>
          </w:p>
        </w:tc>
        <w:tc>
          <w:tcPr>
            <w:tcBorders>
              <w:right w:val="none"/>
            </w:tcBorders>
            <w:tcMar>
              <w:top w:type="dxa" w:w="80"/>
              <w:left w:type="dxa" w:w="120"/>
              <w:bottom w:type="dxa" w:w="80"/>
              <w:right w:type="dxa" w:w="120"/>
            </w:tcMar>
            <w:vAlign w:val="center"/>
          </w:tcPr>
          <w:p>
            <w:pPr>
              <w:pStyle w:val="MdTableCell"/>
            </w:pPr>
            <w:r>
              <w:t xml:space="preserve">تحسين المخزون والرسائل، وعدم زيادة الإنفاق قبل التحقق.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أساسي</w:t>
            </w:r>
          </w:p>
        </w:tc>
        <w:tc>
          <w:tcPr>
            <w:tcMar>
              <w:top w:type="dxa" w:w="80"/>
              <w:left w:type="dxa" w:w="120"/>
              <w:bottom w:type="dxa" w:w="80"/>
              <w:right w:type="dxa" w:w="120"/>
            </w:tcMar>
            <w:vAlign w:val="center"/>
          </w:tcPr>
          <w:p>
            <w:pPr>
              <w:pStyle w:val="MdTableCell"/>
              <w:jc w:val="right"/>
            </w:pPr>
            <w:r>
              <w:t xml:space="preserve">55%</w:t>
            </w:r>
          </w:p>
        </w:tc>
        <w:tc>
          <w:tcPr>
            <w:tcMar>
              <w:top w:type="dxa" w:w="80"/>
              <w:left w:type="dxa" w:w="120"/>
              <w:bottom w:type="dxa" w:w="80"/>
              <w:right w:type="dxa" w:w="120"/>
            </w:tcMar>
            <w:vAlign w:val="center"/>
          </w:tcPr>
          <w:p>
            <w:pPr>
              <w:pStyle w:val="MdTableCell"/>
            </w:pPr>
            <w:r>
              <w:t xml:space="preserve">أعلى من B بنسبة واضحة مع انتظام المعاينات وتوفر وحدات مؤكدة</w:t>
            </w:r>
          </w:p>
        </w:tc>
        <w:tc>
          <w:tcPr>
            <w:tcBorders>
              <w:right w:val="none"/>
            </w:tcBorders>
            <w:tcMar>
              <w:top w:type="dxa" w:w="80"/>
              <w:left w:type="dxa" w:w="120"/>
              <w:bottom w:type="dxa" w:w="80"/>
              <w:right w:type="dxa" w:w="120"/>
            </w:tcMar>
            <w:vAlign w:val="center"/>
          </w:tcPr>
          <w:p>
            <w:pPr>
              <w:pStyle w:val="MdTableCell"/>
            </w:pPr>
            <w:r>
              <w:t xml:space="preserve">استكمال تشطيبات الوحدات ذات الأولوية وتوسيع القنوات الناجحة.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متفائل</w:t>
            </w:r>
          </w:p>
        </w:tc>
        <w:tc>
          <w:tcPr>
            <w:tcBorders>
              <w:bottom w:val="single" w:color="E1E4E8" w:sz="4"/>
            </w:tcBorders>
            <w:tcMar>
              <w:top w:type="dxa" w:w="80"/>
              <w:left w:type="dxa" w:w="120"/>
              <w:bottom w:type="dxa" w:w="80"/>
              <w:right w:type="dxa" w:w="120"/>
            </w:tcMar>
            <w:vAlign w:val="center"/>
          </w:tcPr>
          <w:p>
            <w:pPr>
              <w:pStyle w:val="MdTableCell"/>
              <w:jc w:val="right"/>
            </w:pPr>
            <w:r>
              <w:t xml:space="preserve">70%</w:t>
            </w:r>
          </w:p>
        </w:tc>
        <w:tc>
          <w:tcPr>
            <w:tcBorders>
              <w:bottom w:val="single" w:color="E1E4E8" w:sz="4"/>
            </w:tcBorders>
            <w:tcMar>
              <w:top w:type="dxa" w:w="80"/>
              <w:left w:type="dxa" w:w="120"/>
              <w:bottom w:type="dxa" w:w="80"/>
              <w:right w:type="dxa" w:w="120"/>
            </w:tcMar>
            <w:vAlign w:val="center"/>
          </w:tcPr>
          <w:p>
            <w:pPr>
              <w:pStyle w:val="MdTableCell"/>
            </w:pPr>
            <w:r>
              <w:t xml:space="preserve">تحقيق حجوزات أعلى بوضوح واستقرار المتابعة والتسليم</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دراسة نقل مكتب التسويق والبيع إلى وحدة متاحة متميزة ورفع مستوى الإعلان.</w:t>
            </w:r>
          </w:p>
        </w:tc>
      </w:tr>
    </w:tbl>
    <w:p>
      <w:pPr>
        <w:pStyle w:val="MdParagraph"/>
      </w:pPr>
      <w:r>
        <w:t xml:space="preserve">هذه النسب تقديرات إدارية أولية مبنية على جاهزية البيانات والتنفيذ، وليست احتمالات مضمونة أو نتيجة نموذج إحصائي. يعاد ضبطها بعد إدخال رقم B ونتائج أول 30 يومًا.</w:t>
      </w:r>
    </w:p>
    <w:p>
      <w:pPr>
        <w:pStyle w:val="MdSpace"/>
        <w:spacing w:before="0" w:after="60"/>
      </w:pPr>
    </w:p>
    <w:p>
      <w:pPr>
        <w:pStyle w:val="Heading2"/>
        <w:pStyle w:val="MdHeading2"/>
      </w:pPr>
      <w:r>
        <w:t xml:space="preserve">عاشرًا: المقترحات المستقبلية بعد تحقق النجاح</w:t>
      </w:r>
    </w:p>
    <w:p>
      <w:pPr>
        <w:pStyle w:val="MdParagraph"/>
      </w:pPr>
      <w:r>
        <w:t xml:space="preserve">لا تدخل المقترحات التالية ضمن المطلوب الفوري للاعتماد، ولا يتم تنفيذها تلقائيًا عند تحقق التارجت؛ بل تعرض على الإدارة في قرار لاحق بعد مراجعة نتائج الستة أشهر:</w:t>
      </w:r>
    </w:p>
    <w:p>
      <w:pPr>
        <w:pStyle w:val="MdSpace"/>
        <w:spacing w:before="0" w:after="60"/>
      </w:pPr>
    </w:p>
    <w:p>
      <w:pPr>
        <w:pStyle w:val="MdParagraph"/>
      </w:pPr>
      <w:r>
        <w:t xml:space="preserve">المقترحات التالية ليست ضمن المطلوب التنفيذي الفوري، وتُعرض للنظر فيها مستقبلًا فقط بعد مقارنة الحجوزات بخط الأساس واعتماد الإدارة العليا:</w:t>
      </w:r>
    </w:p>
    <w:p>
      <w:pPr>
        <w:pStyle w:val="MdSpace"/>
        <w:spacing w:before="0" w:after="60"/>
      </w:pPr>
    </w:p>
    <w:p>
      <w:pPr>
        <w:pStyle w:val="Heading3"/>
        <w:pStyle w:val="MdHeading3"/>
      </w:pPr>
      <w:r>
        <w:t xml:space="preserve">1. استكمال تشطيبات الوحدات وتوسيع الإعلان</w:t>
      </w:r>
    </w:p>
    <w:p>
      <w:pPr>
        <w:pStyle w:val="MdParagraph"/>
      </w:pPr>
      <w:r>
        <w:t xml:space="preserve">عند تحقق شرط النجاح، توصي الخطة بإعطاء الأولوية لتشطيب الوحدات الأكثر قابلية للبيع أو التأجير، خصوصًا الوحدات ذات الواجهة أو الموقع الأفضل أو الاستخدامات الأعلى طلبًا. بعد ذلك يتم توسيع الإعلان تدريجيًا، وليس فتح جميع الوحدات في وقت واحد، مع ربط كل توسع بمعدل حجوزات ومصدر عميل واضح.</w:t>
      </w:r>
    </w:p>
    <w:p>
      <w:pPr>
        <w:pStyle w:val="MdSpace"/>
        <w:spacing w:before="0" w:after="60"/>
      </w:pPr>
    </w:p>
    <w:p>
      <w:pPr>
        <w:pStyle w:val="Heading3"/>
        <w:pStyle w:val="MdHeading3"/>
      </w:pPr>
      <w:r>
        <w:t xml:space="preserve">2. عدم بيع الأرض واستكمال المشروع</w:t>
      </w:r>
    </w:p>
    <w:p>
      <w:pPr>
        <w:pStyle w:val="MdParagraph"/>
      </w:pPr>
      <w:r>
        <w:t xml:space="preserve">إذا تم بيع كل الوحدات المتاحة خلال </w:t>
      </w:r>
      <w:r>
        <w:rPr>
          <w:rStyle w:val="MdStrong"/>
          <w:b/>
          <w:bCs/>
        </w:rPr>
        <w:t xml:space="preserve">ستة أشهر من نهاية المرحلة الأولى</w:t>
      </w:r>
      <w:r>
        <w:t xml:space="preserve">، أي خلال الفترة من </w:t>
      </w:r>
      <w:r>
        <w:rPr>
          <w:rStyle w:val="MdStrong"/>
          <w:b/>
          <w:bCs/>
        </w:rPr>
        <w:t xml:space="preserve">1 يناير حتى 30 يونيو 2027</w:t>
      </w:r>
      <w:r>
        <w:t xml:space="preserve">، تقترح الخطة دراسة عدم بيع الأرض واستكمال المشروع بدلًا من تصفيتها، بشرط موافقة الإدارة العليا على دراسة جدوى مستقلة تشمل تكلفة البناء والتشطيبات والتمويل والتراخيص والطلب المتوقع والمخاطر.</w:t>
      </w:r>
    </w:p>
    <w:p>
      <w:pPr>
        <w:pStyle w:val="MdSpace"/>
        <w:spacing w:before="0" w:after="60"/>
      </w:pPr>
    </w:p>
    <w:p>
      <w:pPr>
        <w:pStyle w:val="Heading3"/>
        <w:pStyle w:val="MdHeading3"/>
      </w:pPr>
      <w:r>
        <w:t xml:space="preserve">3. نقل مكتب التسويق والبيع إلى وحدة متاحة</w:t>
      </w:r>
    </w:p>
    <w:p>
      <w:pPr>
        <w:pStyle w:val="MdParagraph"/>
      </w:pPr>
      <w:r>
        <w:t xml:space="preserve">عند تحقق نجاح مستمر وتوافر وحدة مناسبة، تقترح الخطة نقل مكتب التسويق والبيع إلى إحدى الوحدات المتاحة بالمشروع، مع إبقاء الوحدة الحالية ضمن المعروض للبيع إذا كانت متميزة من حيث الموقع. ويجب أن يسبق القرار تحليل تكلفة الفرصة البديلة، وسهولة الوصول، وتجهيز المكتب، ووضوح اللافتة، وأثر النقل على العملاء.</w:t>
      </w:r>
    </w:p>
    <w:p>
      <w:pPr>
        <w:pStyle w:val="MdSpace"/>
        <w:spacing w:before="0" w:after="60"/>
      </w:pPr>
    </w:p>
    <w:p>
      <w:pPr>
        <w:pStyle w:val="Heading3"/>
        <w:pStyle w:val="MdHeading3"/>
      </w:pPr>
      <w:r>
        <w:t xml:space="preserve">4. عامل التأخير والتحديات غير القابلة للنشر</w:t>
      </w:r>
    </w:p>
    <w:p>
      <w:pPr>
        <w:pStyle w:val="MdParagraph"/>
      </w:pPr>
      <w:r>
        <w:t xml:space="preserve">تعكس السيناريوهات أعلاه أثر </w:t>
      </w:r>
      <w:r>
        <w:rPr>
          <w:rStyle w:val="MdStrong"/>
          <w:b/>
          <w:bCs/>
        </w:rPr>
        <w:t xml:space="preserve">مخاطر التأخير في التسليم</w:t>
      </w:r>
      <w:r>
        <w:t xml:space="preserve"> وبعض العوامل التشغيلية والموقعية الأخرى دون تفصيلها أو نشرها. هذه العوامل لا يتم حذفها من تقييم الإدارة الداخلي، لكنها لا تُذكر في المواد الإعلانية أو العرض العام إلا بعد موافقة الإدارة والصياغة القانونية المناسبة. ويجب عدم تقديم وعد تسليم أو جاهزية أو تشغيل قبل توثيقه رسميًا.</w:t>
      </w:r>
    </w:p>
    <w:p>
      <w:pPr>
        <w:pStyle w:val="MdSpace"/>
        <w:spacing w:before="0" w:after="60"/>
      </w:pPr>
    </w:p>
    <w:p>
      <w:pPr>
        <w:pStyle w:val="Heading2"/>
        <w:pStyle w:val="MdHeading2"/>
      </w:pPr>
      <w:r>
        <w:t xml:space="preserve">الحادي عشر: الجدول الزمني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المرحلة</w:t>
            </w:r>
          </w:p>
        </w:tc>
        <w:tc>
          <w:tcPr>
            <w:tcMar>
              <w:top w:type="dxa" w:w="100"/>
              <w:left w:type="dxa" w:w="120"/>
              <w:bottom w:type="dxa" w:w="100"/>
              <w:right w:type="dxa" w:w="120"/>
            </w:tcMar>
            <w:vAlign w:val="center"/>
          </w:tcPr>
          <w:p>
            <w:pPr>
              <w:pStyle w:val="MdTableHeader"/>
            </w:pPr>
            <w:r>
              <w:t xml:space="preserve">الفترة</w:t>
            </w:r>
          </w:p>
        </w:tc>
        <w:tc>
          <w:tcPr>
            <w:tcBorders>
              <w:right w:val="none"/>
            </w:tcBorders>
            <w:tcMar>
              <w:top w:type="dxa" w:w="100"/>
              <w:left w:type="dxa" w:w="120"/>
              <w:bottom w:type="dxa" w:w="100"/>
              <w:right w:type="dxa" w:w="120"/>
            </w:tcMar>
            <w:vAlign w:val="center"/>
          </w:tcPr>
          <w:p>
            <w:pPr>
              <w:pStyle w:val="MdTableHeader"/>
            </w:pPr>
            <w:r>
              <w:t xml:space="preserve">المخرج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التأسيس والتحقق</w:t>
            </w:r>
          </w:p>
        </w:tc>
        <w:tc>
          <w:tcPr>
            <w:tcMar>
              <w:top w:type="dxa" w:w="80"/>
              <w:left w:type="dxa" w:w="120"/>
              <w:bottom w:type="dxa" w:w="80"/>
              <w:right w:type="dxa" w:w="120"/>
            </w:tcMar>
            <w:vAlign w:val="center"/>
          </w:tcPr>
          <w:p>
            <w:pPr>
              <w:pStyle w:val="MdTableCell"/>
            </w:pPr>
            <w:r>
              <w:t xml:space="preserve">22 أغسطس – 31 ديسمبر 2026</w:t>
            </w:r>
          </w:p>
        </w:tc>
        <w:tc>
          <w:tcPr>
            <w:tcBorders>
              <w:right w:val="none"/>
            </w:tcBorders>
            <w:tcMar>
              <w:top w:type="dxa" w:w="80"/>
              <w:left w:type="dxa" w:w="120"/>
              <w:bottom w:type="dxa" w:w="80"/>
              <w:right w:type="dxa" w:w="120"/>
            </w:tcMar>
            <w:vAlign w:val="center"/>
          </w:tcPr>
          <w:p>
            <w:pPr>
              <w:pStyle w:val="MdTableCell"/>
            </w:pPr>
            <w:r>
              <w:t xml:space="preserve">كشف وحدات مؤكد، أسعار معتمدة، صور، سجل حجوزات، وقاعدة عملاء.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التفعيل والاختبار</w:t>
            </w:r>
          </w:p>
        </w:tc>
        <w:tc>
          <w:tcPr>
            <w:tcMar>
              <w:top w:type="dxa" w:w="80"/>
              <w:left w:type="dxa" w:w="120"/>
              <w:bottom w:type="dxa" w:w="80"/>
              <w:right w:type="dxa" w:w="120"/>
            </w:tcMar>
            <w:vAlign w:val="center"/>
          </w:tcPr>
          <w:p>
            <w:pPr>
              <w:pStyle w:val="MdTableCell"/>
            </w:pPr>
            <w:r>
              <w:t xml:space="preserve">1 يناير – 31 مارس 2027</w:t>
            </w:r>
          </w:p>
        </w:tc>
        <w:tc>
          <w:tcPr>
            <w:tcBorders>
              <w:right w:val="none"/>
            </w:tcBorders>
            <w:tcMar>
              <w:top w:type="dxa" w:w="80"/>
              <w:left w:type="dxa" w:w="120"/>
              <w:bottom w:type="dxa" w:w="80"/>
              <w:right w:type="dxa" w:w="120"/>
            </w:tcMar>
            <w:vAlign w:val="center"/>
          </w:tcPr>
          <w:p>
            <w:pPr>
              <w:pStyle w:val="MdTableCell"/>
            </w:pPr>
            <w:r>
              <w:t xml:space="preserve">قياس القنوات والمعاينات والعروض والحجوزات مقارنة بخط الأساس 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التوسع التجاري</w:t>
            </w:r>
          </w:p>
        </w:tc>
        <w:tc>
          <w:tcPr>
            <w:tcMar>
              <w:top w:type="dxa" w:w="80"/>
              <w:left w:type="dxa" w:w="120"/>
              <w:bottom w:type="dxa" w:w="80"/>
              <w:right w:type="dxa" w:w="120"/>
            </w:tcMar>
            <w:vAlign w:val="center"/>
          </w:tcPr>
          <w:p>
            <w:pPr>
              <w:pStyle w:val="MdTableCell"/>
            </w:pPr>
            <w:r>
              <w:t xml:space="preserve">1 أبريل – 30 يونيو 2027</w:t>
            </w:r>
          </w:p>
        </w:tc>
        <w:tc>
          <w:tcPr>
            <w:tcBorders>
              <w:right w:val="none"/>
            </w:tcBorders>
            <w:tcMar>
              <w:top w:type="dxa" w:w="80"/>
              <w:left w:type="dxa" w:w="120"/>
              <w:bottom w:type="dxa" w:w="80"/>
              <w:right w:type="dxa" w:w="120"/>
            </w:tcMar>
            <w:vAlign w:val="center"/>
          </w:tcPr>
          <w:p>
            <w:pPr>
              <w:pStyle w:val="MdTableCell"/>
            </w:pPr>
            <w:r>
              <w:t xml:space="preserve">استكمال التشطيبات ذات الأولوية، وتوسيع القنوات عند تحقق النجاح.</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التقييم السنوي</w:t>
            </w:r>
          </w:p>
        </w:tc>
        <w:tc>
          <w:tcPr>
            <w:tcBorders>
              <w:bottom w:val="single" w:color="E1E4E8" w:sz="4"/>
            </w:tcBorders>
            <w:tcMar>
              <w:top w:type="dxa" w:w="80"/>
              <w:left w:type="dxa" w:w="120"/>
              <w:bottom w:type="dxa" w:w="80"/>
              <w:right w:type="dxa" w:w="120"/>
            </w:tcMar>
            <w:vAlign w:val="center"/>
          </w:tcPr>
          <w:p>
            <w:pPr>
              <w:pStyle w:val="MdTableCell"/>
            </w:pPr>
            <w:r>
              <w:t xml:space="preserve">1 يوليو – 21 أغسطس 2027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قرار بشأن استكمال المشروع، المكتب، الفريق، وخطة السنة التالية.</w:t>
            </w:r>
          </w:p>
        </w:tc>
      </w:tr>
    </w:tbl>
    <w:p>
      <w:pPr>
        <w:pStyle w:val="Heading2"/>
        <w:pStyle w:val="MdHeading2"/>
      </w:pPr>
      <w:r>
        <w:t xml:space="preserve">الثاني عشر: قرارات الإدارة المطلوبة</w:t>
      </w:r>
    </w:p>
    <w:p>
      <w:pPr>
        <w:pStyle w:val="MdParagraph"/>
      </w:pPr>
      <w:r>
        <w:t xml:space="preserve">قبل القائمة التنفيذية، يرجى اعتماد إنشاء النظام والصلاحيات وتحديد مسؤول حفظ ملفات البيع والتحصيل، ثم اعتماد تعريف التسجيل والحجز وخط الأساس H6 رسميًا.</w:t>
      </w:r>
    </w:p>
    <w:p>
      <w:pPr>
        <w:pStyle w:val="MdSpace"/>
        <w:spacing w:before="0" w:after="60"/>
      </w:pPr>
    </w:p>
    <w:p>
      <w:pPr>
        <w:pStyle w:val="MdListItem"/>
        <w:numPr>
          <w:ilvl w:val="0"/>
          <w:numId w:val="3"/>
        </w:numPr>
      </w:pPr>
      <w:r>
        <w:t xml:space="preserve">تأكيد أن الوحدات الواردة في ملفي أبريل 2026 ما زالت متاحة، أو تزويد الفريق بكشف أحدث.</w:t>
      </w:r>
    </w:p>
    <w:p>
      <w:pPr>
        <w:pStyle w:val="MdListItem"/>
        <w:numPr>
          <w:ilvl w:val="0"/>
          <w:numId w:val="3"/>
        </w:numPr>
      </w:pPr>
      <w:r>
        <w:t xml:space="preserve">اعتماد أو تصحيح إجمالي الوحدات المتاحة: </w:t>
      </w:r>
      <w:r>
        <w:rPr>
          <w:rStyle w:val="MdStrong"/>
          <w:b/>
          <w:bCs/>
        </w:rPr>
        <w:t xml:space="preserve">75 وحدة، بمساحة 3,141.70 م²، وقيمة ملفات قدرها 68,678,700 جنيه</w:t>
      </w:r>
      <w:r>
        <w:t xml:space="preserve">.</w:t>
      </w:r>
    </w:p>
    <w:p>
      <w:pPr>
        <w:pStyle w:val="MdListItem"/>
        <w:numPr>
          <w:ilvl w:val="0"/>
          <w:numId w:val="3"/>
        </w:numPr>
      </w:pPr>
      <w:r>
        <w:t xml:space="preserve">اعتماد قيمة الأرض الحسابية وفق البيانات المقدمة: </w:t>
      </w:r>
      <w:r>
        <w:rPr>
          <w:rStyle w:val="MdStrong"/>
          <w:b/>
          <w:bCs/>
        </w:rPr>
        <w:t xml:space="preserve">404,668,000 جنيه</w:t>
      </w:r>
      <w:r>
        <w:t xml:space="preserve">.</w:t>
      </w:r>
    </w:p>
    <w:p>
      <w:pPr>
        <w:pStyle w:val="MdListItem"/>
        <w:numPr>
          <w:ilvl w:val="0"/>
          <w:numId w:val="3"/>
        </w:numPr>
      </w:pPr>
      <w:r>
        <w:t xml:space="preserve">اعتماد القيمة التجميعية الإرشادية للأرض والوحدات: </w:t>
      </w:r>
      <w:r>
        <w:rPr>
          <w:rStyle w:val="MdStrong"/>
          <w:b/>
          <w:bCs/>
        </w:rPr>
        <w:t xml:space="preserve">473,346,700 جنيه</w:t>
      </w:r>
      <w:r>
        <w:t xml:space="preserve">، مع اعتبارها رقمًا حسابيًا غير نهائي.</w:t>
      </w:r>
    </w:p>
    <w:p>
      <w:pPr>
        <w:pStyle w:val="MdListItem"/>
        <w:numPr>
          <w:ilvl w:val="0"/>
          <w:numId w:val="3"/>
        </w:numPr>
      </w:pPr>
      <w:r>
        <w:t xml:space="preserve">اعتماد نطاق التسويق دون تحديد رقم، وترك القيمة للإدارة العليا.</w:t>
      </w:r>
    </w:p>
    <w:p>
      <w:pPr>
        <w:pStyle w:val="MdListItem"/>
        <w:numPr>
          <w:ilvl w:val="0"/>
          <w:numId w:val="3"/>
        </w:numPr>
      </w:pPr>
      <w:r>
        <w:t xml:space="preserve">اعتماد الوظائف والوصف الوظيفي من حيث المبدأ، وترك العدد والتكلفة والتوقيت للإدارة العليا.</w:t>
      </w:r>
    </w:p>
    <w:p>
      <w:pPr>
        <w:pStyle w:val="MdListItem"/>
        <w:numPr>
          <w:ilvl w:val="0"/>
          <w:numId w:val="3"/>
        </w:numPr>
      </w:pPr>
      <w:r>
        <w:t xml:space="preserve">اعتماد خط الأساس B من واقع حجوزات الأشهر الثلاثة السابقة.</w:t>
      </w:r>
    </w:p>
    <w:p>
      <w:pPr>
        <w:pStyle w:val="MdListItem"/>
        <w:numPr>
          <w:ilvl w:val="0"/>
          <w:numId w:val="3"/>
        </w:numPr>
      </w:pPr>
      <w:r>
        <w:t xml:space="preserve">اعتماد شرط النجاح: حجوزات الفترة المقاسة أعلى من B.</w:t>
      </w:r>
    </w:p>
    <w:p>
      <w:pPr>
        <w:pStyle w:val="MdListItem"/>
        <w:numPr>
          <w:ilvl w:val="0"/>
          <w:numId w:val="3"/>
        </w:numPr>
      </w:pPr>
      <w:r>
        <w:t xml:space="preserve">اعتماد دراسة استكمال التشطيبات وتوسيع الإعلان ونقل المكتب وعدم بيع الأرض فقط عند تحقق الشروط والموافقة على دراسة الجدوى.</w:t>
      </w:r>
    </w:p>
    <w:p>
      <w:pPr>
        <w:pStyle w:val="MdSpace"/>
        <w:spacing w:before="0" w:after="60"/>
      </w:pPr>
    </w:p>
    <w:p>
      <w:pPr>
        <w:pStyle w:val="MdParagraph"/>
      </w:pPr>
      <w:r>
        <w:rPr>
          <w:rStyle w:val="MdStrong"/>
          <w:b/>
          <w:bCs/>
        </w:rPr>
        <w:t xml:space="preserve">وتفضلوا بقبول فائق الاحترام،</w:t>
      </w:r>
      <w:r>
        <w:rPr>
          <w:rStyle w:val="MdBr"/>
        </w:rPr>
        <w:br/>
        <w:t xml:space="preserve"/>
      </w:r>
      <w:r>
        <w:t xml:space="preserve">الاسم: ........................................</w:t>
      </w:r>
      <w:r>
        <w:rPr>
          <w:rStyle w:val="MdBr"/>
        </w:rPr>
        <w:br/>
        <w:t xml:space="preserve"/>
      </w:r>
      <w:r>
        <w:t xml:space="preserve">التوقيع: .......................................</w:t>
      </w:r>
      <w:r>
        <w:rPr>
          <w:rStyle w:val="MdBr"/>
        </w:rPr>
        <w:br/>
        <w:t xml:space="preserve"/>
      </w:r>
      <w:r>
        <w:t xml:space="preserve">التاريخ: ........................................</w:t>
      </w:r>
    </w:p>
    <w:p>
      <w:pPr>
        <w:pStyle w:val="MdSpace"/>
        <w:spacing w:before="0" w:after="60"/>
      </w:pPr>
    </w:p>
    <w:p>
      <w:pPr>
        <w:pStyle w:val="Heading2"/>
        <w:pStyle w:val="MdHeading2"/>
      </w:pPr>
      <w:r>
        <w:t xml:space="preserve">مصادر الأرقام</w:t>
      </w:r>
    </w:p>
    <w:p>
      <w:pPr>
        <w:pStyle w:val="MdListItem"/>
        <w:numPr>
          <w:ilvl w:val="0"/>
          <w:numId w:val="2"/>
        </w:numPr>
      </w:pPr>
      <w:r>
        <w:t xml:space="preserve">ملف الوحدات الإدارية الخالية في الأبراج 1 و3 و7 – أبريل 2026، المرفق من المستخدم.</w:t>
      </w:r>
    </w:p>
    <w:p>
      <w:pPr>
        <w:pStyle w:val="MdListItem"/>
        <w:numPr>
          <w:ilvl w:val="0"/>
          <w:numId w:val="2"/>
        </w:numPr>
      </w:pPr>
      <w:r>
        <w:t xml:space="preserve">ملف مساحات وأسعار المحلات التجارية غير المباعة – برج 3 – أبريل 2026، المرفق من المستخدم.</w:t>
      </w:r>
    </w:p>
    <w:p>
      <w:pPr>
        <w:pStyle w:val="MdListItem"/>
        <w:numPr>
          <w:ilvl w:val="0"/>
          <w:numId w:val="2"/>
        </w:numPr>
      </w:pPr>
      <w:r>
        <w:t xml:space="preserve">مساحات قطع الأرض وسعر المتر والمساحات البنائية: البيانات والمخطط المرفقان من المستخدم.</w:t>
      </w:r>
    </w:p>
    <w:p>
      <w:pPr>
        <w:pStyle w:val="MdSpace"/>
        <w:spacing w:before="0" w:after="60"/>
      </w:pPr>
    </w:p>
    <w:p>
      <w:pPr>
        <w:pStyle w:val="Heading1"/>
        <w:pStyle w:val="MdHeading1"/>
      </w:pPr>
      <w:r>
        <w:t xml:space="preserve">مصدر مدمج: marketing_sales_org_crm_script.md</w:t>
      </w:r>
    </w:p>
    <w:p>
      <w:pPr>
        <w:pStyle w:val="Heading1"/>
        <w:pStyle w:val="MdHeading1"/>
      </w:pPr>
      <w:r>
        <w:t xml:space="preserve">الهيكل التنظيمي ونظام المتابعة وسيناريو عرض الخطة</w:t>
      </w:r>
    </w:p>
    <w:p>
      <w:pPr>
        <w:pStyle w:val="MdParagraph"/>
      </w:pPr>
      <w:r>
        <w:rPr>
          <w:rStyle w:val="MdStrong"/>
          <w:b/>
          <w:bCs/>
        </w:rPr>
        <w:t xml:space="preserve">المشروع:</w:t>
      </w:r>
      <w:r>
        <w:t xml:space="preserve"> كايرو بلازا</w:t>
      </w:r>
      <w:r>
        <w:rPr>
          <w:rStyle w:val="MdBr"/>
        </w:rPr>
        <w:br/>
        <w:t xml:space="preserve"/>
      </w:r>
      <w:r>
        <w:rPr>
          <w:rStyle w:val="MdStrong"/>
          <w:b/>
          <w:bCs/>
        </w:rPr>
        <w:t xml:space="preserve">الفترة:</w:t>
      </w:r>
      <w:r>
        <w:t xml:space="preserve"> 22 أغسطس 2026 – 21 أغسطس 2027</w:t>
      </w:r>
      <w:r>
        <w:rPr>
          <w:rStyle w:val="MdBr"/>
        </w:rPr>
        <w:br/>
        <w:t xml:space="preserve"/>
      </w:r>
      <w:r>
        <w:rPr>
          <w:rStyle w:val="MdStrong"/>
          <w:b/>
          <w:bCs/>
        </w:rPr>
        <w:t xml:space="preserve">المرحلة الأولى:</w:t>
      </w:r>
      <w:r>
        <w:t xml:space="preserve"> 22 أغسطس – 31 ديسمبر 2026</w:t>
      </w:r>
      <w:r>
        <w:rPr>
          <w:rStyle w:val="MdBr"/>
        </w:rPr>
        <w:br/>
        <w:t xml:space="preserve"/>
      </w:r>
      <w:r>
        <w:rPr>
          <w:rStyle w:val="MdStrong"/>
          <w:b/>
          <w:bCs/>
        </w:rPr>
        <w:t xml:space="preserve">المستهدف التجاري:</w:t>
      </w:r>
      <w:r>
        <w:t xml:space="preserve"> تحقيق ضعف عدد التسجيلات أو الحجوزات المعتمدة خلال آخر 6 أشهر، خلال الـ6 أشهر التالية، مع السعي الواقعي لبيع الوحدات المتاحة خلال النصف الأول من 2027.</w:t>
      </w:r>
    </w:p>
    <w:p>
      <w:pPr>
        <w:pStyle w:val="MdSpace"/>
        <w:spacing w:before="0" w:after="60"/>
      </w:pPr>
    </w:p>
    <w:p>
      <w:pPr>
        <w:pStyle w:val="MdBlockquote"/>
      </w:pPr>
      <w:r>
        <w:rPr>
          <w:rStyle w:val="MdStrong"/>
          <w:b/>
          <w:bCs/>
        </w:rPr>
        <w:t xml:space="preserve">ملاحظة إدارية:</w:t>
      </w:r>
      <w:r>
        <w:t xml:space="preserve"> الأعداد النهائية والرواتب والعمولات والميزانية تعتمدها الإدارة العليا. هذا المقترح يحدد الوظائف والمسؤوليات وتسلسل التنفيذ، ولا يفرض تكلفة أو تعيينًا تلقائيًا.</w:t>
      </w:r>
    </w:p>
    <w:p>
      <w:pPr>
        <w:pStyle w:val="MdSpace"/>
        <w:spacing w:before="0" w:after="60"/>
      </w:pPr>
    </w:p>
    <w:p>
      <w:pPr>
        <w:pStyle w:val="Heading2"/>
        <w:pStyle w:val="MdHeading2"/>
      </w:pPr>
      <w:r>
        <w:t xml:space="preserve">أولًا: الهيكل التنظيمي المقترح</w:t>
      </w:r>
    </w:p>
    <w:p>
      <w:pPr>
        <w:pStyle w:val="MdParagraph"/>
      </w:pPr>
      <w:r>
        <w:t xml:space="preserve">يقترح أن يتبع فريق المشروع مباشرةً للإدارة العليا أو لرئيس تنفيذي/مدير مشروع مفوض، حتى لا تتوزع المسؤولية بين التسويق والمبيعات والتحصيل دون مالك واضح للنتيجة. ويكون </w:t>
      </w:r>
      <w:r>
        <w:rPr>
          <w:rStyle w:val="MdStrong"/>
          <w:b/>
          <w:bCs/>
        </w:rPr>
        <w:t xml:space="preserve">مسؤول تطوير الأعمال والتسويق والمبيعات العقارية</w:t>
      </w:r>
      <w:r>
        <w:t xml:space="preserve"> هو نقطة التنسيق اليومية، مع فصل صلاحية إدخال البيانات عن صلاحية اعتماد الأسعار والتحصيل.</w:t>
      </w:r>
    </w:p>
    <w:p>
      <w:pPr>
        <w:pStyle w:val="MdSpace"/>
        <w:spacing w:before="0" w:after="60"/>
      </w:pPr>
    </w:p>
    <w:p>
      <w:pPr>
        <w:pStyle w:val="Heading3"/>
        <w:pStyle w:val="MdHeading3"/>
      </w:pPr>
      <w:r>
        <w:t xml:space="preserve">الهيكل العام</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المستوى</w:t>
            </w:r>
          </w:p>
        </w:tc>
        <w:tc>
          <w:tcPr>
            <w:tcMar>
              <w:top w:type="dxa" w:w="100"/>
              <w:left w:type="dxa" w:w="120"/>
              <w:bottom w:type="dxa" w:w="100"/>
              <w:right w:type="dxa" w:w="120"/>
            </w:tcMar>
            <w:vAlign w:val="center"/>
          </w:tcPr>
          <w:p>
            <w:pPr>
              <w:pStyle w:val="MdTableHeader"/>
            </w:pPr>
            <w:r>
              <w:t xml:space="preserve">الدور</w:t>
            </w:r>
          </w:p>
        </w:tc>
        <w:tc>
          <w:tcPr>
            <w:tcMar>
              <w:top w:type="dxa" w:w="100"/>
              <w:left w:type="dxa" w:w="120"/>
              <w:bottom w:type="dxa" w:w="100"/>
              <w:right w:type="dxa" w:w="120"/>
            </w:tcMar>
            <w:vAlign w:val="center"/>
          </w:tcPr>
          <w:p>
            <w:pPr>
              <w:pStyle w:val="MdTableHeader"/>
            </w:pPr>
            <w:r>
              <w:t xml:space="preserve">المسؤولية الأساسية</w:t>
            </w:r>
          </w:p>
        </w:tc>
        <w:tc>
          <w:tcPr>
            <w:tcBorders>
              <w:right w:val="none"/>
            </w:tcBorders>
            <w:tcMar>
              <w:top w:type="dxa" w:w="100"/>
              <w:left w:type="dxa" w:w="120"/>
              <w:bottom w:type="dxa" w:w="100"/>
              <w:right w:type="dxa" w:w="120"/>
            </w:tcMar>
            <w:vAlign w:val="center"/>
          </w:tcPr>
          <w:p>
            <w:pPr>
              <w:pStyle w:val="MdTableHeader"/>
            </w:pPr>
            <w:r>
              <w:t xml:space="preserve">الصلاحيات الرئيسية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إشراف</w:t>
            </w:r>
          </w:p>
        </w:tc>
        <w:tc>
          <w:tcPr>
            <w:tcMar>
              <w:top w:type="dxa" w:w="80"/>
              <w:left w:type="dxa" w:w="120"/>
              <w:bottom w:type="dxa" w:w="80"/>
              <w:right w:type="dxa" w:w="120"/>
            </w:tcMar>
            <w:vAlign w:val="center"/>
          </w:tcPr>
          <w:p>
            <w:pPr>
              <w:pStyle w:val="MdTableCell"/>
            </w:pPr>
            <w:r>
              <w:t xml:space="preserve">الإدارة العليا / راعي المشروع</w:t>
            </w:r>
          </w:p>
        </w:tc>
        <w:tc>
          <w:tcPr>
            <w:tcMar>
              <w:top w:type="dxa" w:w="80"/>
              <w:left w:type="dxa" w:w="120"/>
              <w:bottom w:type="dxa" w:w="80"/>
              <w:right w:type="dxa" w:w="120"/>
            </w:tcMar>
            <w:vAlign w:val="center"/>
          </w:tcPr>
          <w:p>
            <w:pPr>
              <w:pStyle w:val="MdTableCell"/>
            </w:pPr>
            <w:r>
              <w:t xml:space="preserve">اعتماد الاتجاه، الأسعار، الخصومات، العمولات، الميزانيات، والتقارير النهائية</w:t>
            </w:r>
          </w:p>
        </w:tc>
        <w:tc>
          <w:tcPr>
            <w:tcBorders>
              <w:right w:val="none"/>
            </w:tcBorders>
            <w:tcMar>
              <w:top w:type="dxa" w:w="80"/>
              <w:left w:type="dxa" w:w="120"/>
              <w:bottom w:type="dxa" w:w="80"/>
              <w:right w:type="dxa" w:w="120"/>
            </w:tcMar>
            <w:vAlign w:val="center"/>
          </w:tcPr>
          <w:p>
            <w:pPr>
              <w:pStyle w:val="MdTableCell"/>
            </w:pPr>
            <w:r>
              <w:t xml:space="preserve">اطلاع كامل واعتماد القرارات الجوهرية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قيادة</w:t>
            </w:r>
          </w:p>
        </w:tc>
        <w:tc>
          <w:tcPr>
            <w:tcMar>
              <w:top w:type="dxa" w:w="80"/>
              <w:left w:type="dxa" w:w="120"/>
              <w:bottom w:type="dxa" w:w="80"/>
              <w:right w:type="dxa" w:w="120"/>
            </w:tcMar>
            <w:vAlign w:val="center"/>
          </w:tcPr>
          <w:p>
            <w:pPr>
              <w:pStyle w:val="MdTableCell"/>
            </w:pPr>
            <w:r>
              <w:t xml:space="preserve">مسؤول تطوير الأعمال والتسويق والمبيعات العقارية</w:t>
            </w:r>
          </w:p>
        </w:tc>
        <w:tc>
          <w:tcPr>
            <w:tcMar>
              <w:top w:type="dxa" w:w="80"/>
              <w:left w:type="dxa" w:w="120"/>
              <w:bottom w:type="dxa" w:w="80"/>
              <w:right w:type="dxa" w:w="120"/>
            </w:tcMar>
            <w:vAlign w:val="center"/>
          </w:tcPr>
          <w:p>
            <w:pPr>
              <w:pStyle w:val="MdTableCell"/>
            </w:pPr>
            <w:r>
              <w:t xml:space="preserve">قيادة الخطة وتحويلها إلى أهداف ومهام وتقارير، ومتابعة ما تم بيعه والتحصيلات</w:t>
            </w:r>
          </w:p>
        </w:tc>
        <w:tc>
          <w:tcPr>
            <w:tcBorders>
              <w:right w:val="none"/>
            </w:tcBorders>
            <w:tcMar>
              <w:top w:type="dxa" w:w="80"/>
              <w:left w:type="dxa" w:w="120"/>
              <w:bottom w:type="dxa" w:w="80"/>
              <w:right w:type="dxa" w:w="120"/>
            </w:tcMar>
            <w:vAlign w:val="center"/>
          </w:tcPr>
          <w:p>
            <w:pPr>
              <w:pStyle w:val="MdTableCell"/>
            </w:pPr>
            <w:r>
              <w:t xml:space="preserve">الاطلاع التشغيلي على الوحدات المباعة والمحجوزة، قيم التعاقدات، المبالغ المسددة والمتبقي، أعداد العمليات وتواريخها، وتوجيه موظفي المتابعة، وفق التفويض، دون اعتماد صرف أو تعديل مالي منفرد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مبيعات</w:t>
            </w:r>
          </w:p>
        </w:tc>
        <w:tc>
          <w:tcPr>
            <w:tcMar>
              <w:top w:type="dxa" w:w="80"/>
              <w:left w:type="dxa" w:w="120"/>
              <w:bottom w:type="dxa" w:w="80"/>
              <w:right w:type="dxa" w:w="120"/>
            </w:tcMar>
            <w:vAlign w:val="center"/>
          </w:tcPr>
          <w:p>
            <w:pPr>
              <w:pStyle w:val="MdTableCell"/>
            </w:pPr>
            <w:r>
              <w:t xml:space="preserve">موظفة المتابعة والبيع والمعاينات</w:t>
            </w:r>
          </w:p>
        </w:tc>
        <w:tc>
          <w:tcPr>
            <w:tcMar>
              <w:top w:type="dxa" w:w="80"/>
              <w:left w:type="dxa" w:w="120"/>
              <w:bottom w:type="dxa" w:w="80"/>
              <w:right w:type="dxa" w:w="120"/>
            </w:tcMar>
            <w:vAlign w:val="center"/>
          </w:tcPr>
          <w:p>
            <w:pPr>
              <w:pStyle w:val="MdTableCell"/>
            </w:pPr>
            <w:r>
              <w:t xml:space="preserve">استقبال العملاء، جدولة المعاينات، تحديث CRM، متابعة العروض والحجوزات</w:t>
            </w:r>
          </w:p>
        </w:tc>
        <w:tc>
          <w:tcPr>
            <w:tcBorders>
              <w:right w:val="none"/>
            </w:tcBorders>
            <w:tcMar>
              <w:top w:type="dxa" w:w="80"/>
              <w:left w:type="dxa" w:w="120"/>
              <w:bottom w:type="dxa" w:w="80"/>
              <w:right w:type="dxa" w:w="120"/>
            </w:tcMar>
            <w:vAlign w:val="center"/>
          </w:tcPr>
          <w:p>
            <w:pPr>
              <w:pStyle w:val="MdTableCell"/>
            </w:pPr>
            <w:r>
              <w:t xml:space="preserve">إدخال ومتابعة البيانات، دون تعديل الأسعار أو اعتماد الخصومات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مبيعات</w:t>
            </w:r>
          </w:p>
        </w:tc>
        <w:tc>
          <w:tcPr>
            <w:tcMar>
              <w:top w:type="dxa" w:w="80"/>
              <w:left w:type="dxa" w:w="120"/>
              <w:bottom w:type="dxa" w:w="80"/>
              <w:right w:type="dxa" w:w="120"/>
            </w:tcMar>
            <w:vAlign w:val="center"/>
          </w:tcPr>
          <w:p>
            <w:pPr>
              <w:pStyle w:val="MdTableCell"/>
            </w:pPr>
            <w:r>
              <w:t xml:space="preserve">موظف المتابعة والبيع والمعاينات</w:t>
            </w:r>
          </w:p>
        </w:tc>
        <w:tc>
          <w:tcPr>
            <w:tcMar>
              <w:top w:type="dxa" w:w="80"/>
              <w:left w:type="dxa" w:w="120"/>
              <w:bottom w:type="dxa" w:w="80"/>
              <w:right w:type="dxa" w:w="120"/>
            </w:tcMar>
            <w:vAlign w:val="center"/>
          </w:tcPr>
          <w:p>
            <w:pPr>
              <w:pStyle w:val="MdTableCell"/>
            </w:pPr>
            <w:r>
              <w:t xml:space="preserve">متابعة العملاء والبروكرز، المعاينات، العروض، وإدارة الفرص حتى الحجز</w:t>
            </w:r>
          </w:p>
        </w:tc>
        <w:tc>
          <w:tcPr>
            <w:tcBorders>
              <w:right w:val="none"/>
            </w:tcBorders>
            <w:tcMar>
              <w:top w:type="dxa" w:w="80"/>
              <w:left w:type="dxa" w:w="120"/>
              <w:bottom w:type="dxa" w:w="80"/>
              <w:right w:type="dxa" w:w="120"/>
            </w:tcMar>
            <w:vAlign w:val="center"/>
          </w:tcPr>
          <w:p>
            <w:pPr>
              <w:pStyle w:val="MdTableCell"/>
            </w:pPr>
            <w:r>
              <w:t xml:space="preserve">إنشاء وتحديث الفرص، دون تعديل الأسعار المعتمدة أو اعتماد الخصومات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تشغيل</w:t>
            </w:r>
          </w:p>
        </w:tc>
        <w:tc>
          <w:tcPr>
            <w:tcMar>
              <w:top w:type="dxa" w:w="80"/>
              <w:left w:type="dxa" w:w="120"/>
              <w:bottom w:type="dxa" w:w="80"/>
              <w:right w:type="dxa" w:w="120"/>
            </w:tcMar>
            <w:vAlign w:val="center"/>
          </w:tcPr>
          <w:p>
            <w:pPr>
              <w:pStyle w:val="MdTableCell"/>
            </w:pPr>
            <w:r>
              <w:t xml:space="preserve">مسؤول المشروع من داخل المطور</w:t>
            </w:r>
          </w:p>
        </w:tc>
        <w:tc>
          <w:tcPr>
            <w:tcMar>
              <w:top w:type="dxa" w:w="80"/>
              <w:left w:type="dxa" w:w="120"/>
              <w:bottom w:type="dxa" w:w="80"/>
              <w:right w:type="dxa" w:w="120"/>
            </w:tcMar>
            <w:vAlign w:val="center"/>
          </w:tcPr>
          <w:p>
            <w:pPr>
              <w:pStyle w:val="MdTableCell"/>
            </w:pPr>
            <w:r>
              <w:t xml:space="preserve">حالة الوحدات، الجاهزية، التشطيبات، التسليم، والتنسيق مع فريق البيع</w:t>
            </w:r>
          </w:p>
        </w:tc>
        <w:tc>
          <w:tcPr>
            <w:tcBorders>
              <w:right w:val="none"/>
            </w:tcBorders>
            <w:tcMar>
              <w:top w:type="dxa" w:w="80"/>
              <w:left w:type="dxa" w:w="120"/>
              <w:bottom w:type="dxa" w:w="80"/>
              <w:right w:type="dxa" w:w="120"/>
            </w:tcMar>
            <w:vAlign w:val="center"/>
          </w:tcPr>
          <w:p>
            <w:pPr>
              <w:pStyle w:val="MdTableCell"/>
            </w:pPr>
            <w:r>
              <w:t xml:space="preserve">لا يعتمد أسعارًا أو خصومات أو صرفًا منفردًا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مالية وإدارة</w:t>
            </w:r>
          </w:p>
        </w:tc>
        <w:tc>
          <w:tcPr>
            <w:tcMar>
              <w:top w:type="dxa" w:w="80"/>
              <w:left w:type="dxa" w:w="120"/>
              <w:bottom w:type="dxa" w:w="80"/>
              <w:right w:type="dxa" w:w="120"/>
            </w:tcMar>
            <w:vAlign w:val="center"/>
          </w:tcPr>
          <w:p>
            <w:pPr>
              <w:pStyle w:val="MdTableCell"/>
            </w:pPr>
            <w:r>
              <w:t xml:space="preserve">المسؤول المالي والإداري من داخل المطور</w:t>
            </w:r>
          </w:p>
        </w:tc>
        <w:tc>
          <w:tcPr>
            <w:tcMar>
              <w:top w:type="dxa" w:w="80"/>
              <w:left w:type="dxa" w:w="120"/>
              <w:bottom w:type="dxa" w:w="80"/>
              <w:right w:type="dxa" w:w="120"/>
            </w:tcMar>
            <w:vAlign w:val="center"/>
          </w:tcPr>
          <w:p>
            <w:pPr>
              <w:pStyle w:val="MdTableCell"/>
            </w:pPr>
            <w:r>
              <w:t xml:space="preserve">مراجعة البيع والتحصيل والمسدد والمتبقي، ومطابقة المستندات والتقارير</w:t>
            </w:r>
          </w:p>
        </w:tc>
        <w:tc>
          <w:tcPr>
            <w:tcBorders>
              <w:right w:val="none"/>
            </w:tcBorders>
            <w:tcMar>
              <w:top w:type="dxa" w:w="80"/>
              <w:left w:type="dxa" w:w="120"/>
              <w:bottom w:type="dxa" w:w="80"/>
              <w:right w:type="dxa" w:w="120"/>
            </w:tcMar>
            <w:vAlign w:val="center"/>
          </w:tcPr>
          <w:p>
            <w:pPr>
              <w:pStyle w:val="MdTableCell"/>
            </w:pPr>
            <w:r>
              <w:t xml:space="preserve">اعتماد القيود وفق التفويض؛ لا يحذف أو يعدل دون مستند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تسويق</w:t>
            </w:r>
          </w:p>
        </w:tc>
        <w:tc>
          <w:tcPr>
            <w:tcMar>
              <w:top w:type="dxa" w:w="80"/>
              <w:left w:type="dxa" w:w="120"/>
              <w:bottom w:type="dxa" w:w="80"/>
              <w:right w:type="dxa" w:w="120"/>
            </w:tcMar>
            <w:vAlign w:val="center"/>
          </w:tcPr>
          <w:p>
            <w:pPr>
              <w:pStyle w:val="MdTableCell"/>
            </w:pPr>
            <w:r>
              <w:t xml:space="preserve">مسؤول تسويق رقمي ومحتوى</w:t>
            </w:r>
          </w:p>
        </w:tc>
        <w:tc>
          <w:tcPr>
            <w:tcMar>
              <w:top w:type="dxa" w:w="80"/>
              <w:left w:type="dxa" w:w="120"/>
              <w:bottom w:type="dxa" w:w="80"/>
              <w:right w:type="dxa" w:w="120"/>
            </w:tcMar>
            <w:vAlign w:val="center"/>
          </w:tcPr>
          <w:p>
            <w:pPr>
              <w:pStyle w:val="MdTableCell"/>
            </w:pPr>
            <w:r>
              <w:t xml:space="preserve">الحملات، المحتوى، القنوات، وقياس مصادر العملاء</w:t>
            </w:r>
          </w:p>
        </w:tc>
        <w:tc>
          <w:tcPr>
            <w:tcBorders>
              <w:right w:val="none"/>
            </w:tcBorders>
            <w:tcMar>
              <w:top w:type="dxa" w:w="80"/>
              <w:left w:type="dxa" w:w="120"/>
              <w:bottom w:type="dxa" w:w="80"/>
              <w:right w:type="dxa" w:w="120"/>
            </w:tcMar>
            <w:vAlign w:val="center"/>
          </w:tcPr>
          <w:p>
            <w:pPr>
              <w:pStyle w:val="MdTableCell"/>
            </w:pPr>
            <w:r>
              <w:t xml:space="preserve">تشغيل الحملات ضمن الميزانية المعتمدة، دون الاطلاع على التحصيل إلا بتفويض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بيانات</w:t>
            </w:r>
          </w:p>
        </w:tc>
        <w:tc>
          <w:tcPr>
            <w:tcMar>
              <w:top w:type="dxa" w:w="80"/>
              <w:left w:type="dxa" w:w="120"/>
              <w:bottom w:type="dxa" w:w="80"/>
              <w:right w:type="dxa" w:w="120"/>
            </w:tcMar>
            <w:vAlign w:val="center"/>
          </w:tcPr>
          <w:p>
            <w:pPr>
              <w:pStyle w:val="MdTableCell"/>
            </w:pPr>
            <w:r>
              <w:t xml:space="preserve">منسق CRM وبيانات</w:t>
            </w:r>
          </w:p>
        </w:tc>
        <w:tc>
          <w:tcPr>
            <w:tcMar>
              <w:top w:type="dxa" w:w="80"/>
              <w:left w:type="dxa" w:w="120"/>
              <w:bottom w:type="dxa" w:w="80"/>
              <w:right w:type="dxa" w:w="120"/>
            </w:tcMar>
            <w:vAlign w:val="center"/>
          </w:tcPr>
          <w:p>
            <w:pPr>
              <w:pStyle w:val="MdTableCell"/>
            </w:pPr>
            <w:r>
              <w:t xml:space="preserve">سلامة البيانات، توزيع العملاء، التقارير، ومنع التكرار</w:t>
            </w:r>
          </w:p>
        </w:tc>
        <w:tc>
          <w:tcPr>
            <w:tcBorders>
              <w:right w:val="none"/>
            </w:tcBorders>
            <w:tcMar>
              <w:top w:type="dxa" w:w="80"/>
              <w:left w:type="dxa" w:w="120"/>
              <w:bottom w:type="dxa" w:w="80"/>
              <w:right w:type="dxa" w:w="120"/>
            </w:tcMar>
            <w:vAlign w:val="center"/>
          </w:tcPr>
          <w:p>
            <w:pPr>
              <w:pStyle w:val="MdTableCell"/>
            </w:pPr>
            <w:r>
              <w:t xml:space="preserve">إدارة السجلات التشغيلية، دون حذف نهائي أو تعديل مالي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تحصيل</w:t>
            </w:r>
          </w:p>
        </w:tc>
        <w:tc>
          <w:tcPr>
            <w:tcMar>
              <w:top w:type="dxa" w:w="80"/>
              <w:left w:type="dxa" w:w="120"/>
              <w:bottom w:type="dxa" w:w="80"/>
              <w:right w:type="dxa" w:w="120"/>
            </w:tcMar>
            <w:vAlign w:val="center"/>
          </w:tcPr>
          <w:p>
            <w:pPr>
              <w:pStyle w:val="MdTableCell"/>
            </w:pPr>
            <w:r>
              <w:t xml:space="preserve">مسؤول مالية/تحصيل أو نقطة اتصال مالية</w:t>
            </w:r>
          </w:p>
        </w:tc>
        <w:tc>
          <w:tcPr>
            <w:tcMar>
              <w:top w:type="dxa" w:w="80"/>
              <w:left w:type="dxa" w:w="120"/>
              <w:bottom w:type="dxa" w:w="80"/>
              <w:right w:type="dxa" w:w="120"/>
            </w:tcMar>
            <w:vAlign w:val="center"/>
          </w:tcPr>
          <w:p>
            <w:pPr>
              <w:pStyle w:val="MdTableCell"/>
            </w:pPr>
            <w:r>
              <w:t xml:space="preserve">مطابقة المدفوعات والمستحقات وتوثيقها</w:t>
            </w:r>
          </w:p>
        </w:tc>
        <w:tc>
          <w:tcPr>
            <w:tcBorders>
              <w:right w:val="none"/>
            </w:tcBorders>
            <w:tcMar>
              <w:top w:type="dxa" w:w="80"/>
              <w:left w:type="dxa" w:w="120"/>
              <w:bottom w:type="dxa" w:w="80"/>
              <w:right w:type="dxa" w:w="120"/>
            </w:tcMar>
            <w:vAlign w:val="center"/>
          </w:tcPr>
          <w:p>
            <w:pPr>
              <w:pStyle w:val="MdTableCell"/>
            </w:pPr>
            <w:r>
              <w:t xml:space="preserve">الاطلاع على المبالغ والتحصيل وفق موافقة الإدارة، مع فصل مهام الاعتماد والتنفيذ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دعم</w:t>
            </w:r>
          </w:p>
        </w:tc>
        <w:tc>
          <w:tcPr>
            <w:tcMar>
              <w:top w:type="dxa" w:w="80"/>
              <w:left w:type="dxa" w:w="120"/>
              <w:bottom w:type="dxa" w:w="80"/>
              <w:right w:type="dxa" w:w="120"/>
            </w:tcMar>
            <w:vAlign w:val="center"/>
          </w:tcPr>
          <w:p>
            <w:pPr>
              <w:pStyle w:val="MdTableCell"/>
            </w:pPr>
            <w:r>
              <w:t xml:space="preserve">مصور/مصمم، ومستشار قانوني وهندسي</w:t>
            </w:r>
          </w:p>
        </w:tc>
        <w:tc>
          <w:tcPr>
            <w:tcMar>
              <w:top w:type="dxa" w:w="80"/>
              <w:left w:type="dxa" w:w="120"/>
              <w:bottom w:type="dxa" w:w="80"/>
              <w:right w:type="dxa" w:w="120"/>
            </w:tcMar>
            <w:vAlign w:val="center"/>
          </w:tcPr>
          <w:p>
            <w:pPr>
              <w:pStyle w:val="MdTableCell"/>
            </w:pPr>
            <w:r>
              <w:t xml:space="preserve">تجهيز المواد ومراجعة المستندات والمساحات والاستخدامات والتسليم</w:t>
            </w:r>
          </w:p>
        </w:tc>
        <w:tc>
          <w:tcPr>
            <w:tcBorders>
              <w:right w:val="none"/>
            </w:tcBorders>
            <w:tcMar>
              <w:top w:type="dxa" w:w="80"/>
              <w:left w:type="dxa" w:w="120"/>
              <w:bottom w:type="dxa" w:w="80"/>
              <w:right w:type="dxa" w:w="120"/>
            </w:tcMar>
            <w:vAlign w:val="center"/>
          </w:tcPr>
          <w:p>
            <w:pPr>
              <w:pStyle w:val="MdTableCell"/>
            </w:pPr>
            <w:r>
              <w:t xml:space="preserve">صلاحية محدودة حسب المهمة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حوكمة</w:t>
            </w:r>
          </w:p>
        </w:tc>
        <w:tc>
          <w:tcPr>
            <w:tcBorders>
              <w:bottom w:val="single" w:color="E1E4E8" w:sz="4"/>
            </w:tcBorders>
            <w:tcMar>
              <w:top w:type="dxa" w:w="80"/>
              <w:left w:type="dxa" w:w="120"/>
              <w:bottom w:type="dxa" w:w="80"/>
              <w:right w:type="dxa" w:w="120"/>
            </w:tcMar>
            <w:vAlign w:val="center"/>
          </w:tcPr>
          <w:p>
            <w:pPr>
              <w:pStyle w:val="MdTableCell"/>
            </w:pPr>
            <w:r>
              <w:t xml:space="preserve">مدقق النظام / مسؤول النظام</w:t>
            </w:r>
          </w:p>
        </w:tc>
        <w:tc>
          <w:tcPr>
            <w:tcBorders>
              <w:bottom w:val="single" w:color="E1E4E8" w:sz="4"/>
            </w:tcBorders>
            <w:tcMar>
              <w:top w:type="dxa" w:w="80"/>
              <w:left w:type="dxa" w:w="120"/>
              <w:bottom w:type="dxa" w:w="80"/>
              <w:right w:type="dxa" w:w="120"/>
            </w:tcMar>
            <w:vAlign w:val="center"/>
          </w:tcPr>
          <w:p>
            <w:pPr>
              <w:pStyle w:val="MdTableCell"/>
            </w:pPr>
            <w:r>
              <w:t xml:space="preserve">المستخدمون، مستويات الوصول، سجل التغييرات، النسخ الاحتياطية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إدارة تقنية دون اعتماد تجاري أو مالي</w:t>
            </w:r>
          </w:p>
        </w:tc>
      </w:tr>
    </w:tbl>
    <w:p>
      <w:pPr>
        <w:pStyle w:val="Heading2"/>
        <w:pStyle w:val="MdHeading2"/>
      </w:pPr>
      <w:r>
        <w:t xml:space="preserve">ثانيًا: توزيع الوظائف حسب المراحل الزمنية</w:t>
      </w:r>
    </w:p>
    <w:p>
      <w:pPr>
        <w:pStyle w:val="Heading3"/>
        <w:pStyle w:val="MdHeading3"/>
      </w:pPr>
      <w:r>
        <w:t xml:space="preserve">المرحلة الأولى: التأسيس والتحقق — 22 أغسطس إلى 31 ديسمبر 2026</w:t>
      </w:r>
    </w:p>
    <w:p>
      <w:pPr>
        <w:pStyle w:val="MdParagraph"/>
      </w:pPr>
      <w:r>
        <w:t xml:space="preserve">الهدف في هذه المرحلة هو بناء قاعدة صحيحة قبل التوسع. يبدأ التنفيذ بموظفة وموظف للمتابعة والبيع والمعاينات، ومسؤول مشروع، ومسؤول مالي وإداري من داخل المطور، تحت قيادة مسؤول تطوير الأعمال والتسويق والمبيعات. ويمكن الاستعانة بمصور ومصمم ومستشارين بنظام تعاقدي عند الحاجة بدل التعيين الكامل من اليوم الأول.</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الوظيفة</w:t>
            </w:r>
          </w:p>
        </w:tc>
        <w:tc>
          <w:tcPr>
            <w:tcMar>
              <w:top w:type="dxa" w:w="100"/>
              <w:left w:type="dxa" w:w="120"/>
              <w:bottom w:type="dxa" w:w="100"/>
              <w:right w:type="dxa" w:w="120"/>
            </w:tcMar>
            <w:vAlign w:val="center"/>
          </w:tcPr>
          <w:p>
            <w:pPr>
              <w:pStyle w:val="MdTableHeader"/>
            </w:pPr>
            <w:r>
              <w:t xml:space="preserve">أولوية المرحلة الأولى</w:t>
            </w:r>
          </w:p>
        </w:tc>
        <w:tc>
          <w:tcPr>
            <w:tcBorders>
              <w:right w:val="none"/>
            </w:tcBorders>
            <w:tcMar>
              <w:top w:type="dxa" w:w="100"/>
              <w:left w:type="dxa" w:w="120"/>
              <w:bottom w:type="dxa" w:w="100"/>
              <w:right w:type="dxa" w:w="120"/>
            </w:tcMar>
            <w:vAlign w:val="center"/>
          </w:tcPr>
          <w:p>
            <w:pPr>
              <w:pStyle w:val="MdTableHeader"/>
            </w:pPr>
            <w:r>
              <w:t xml:space="preserve">مخرج العمل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تطوير الأعمال والتسويق والمبيعات</w:t>
            </w:r>
          </w:p>
        </w:tc>
        <w:tc>
          <w:tcPr>
            <w:tcMar>
              <w:top w:type="dxa" w:w="80"/>
              <w:left w:type="dxa" w:w="120"/>
              <w:bottom w:type="dxa" w:w="80"/>
              <w:right w:type="dxa" w:w="120"/>
            </w:tcMar>
            <w:vAlign w:val="center"/>
          </w:tcPr>
          <w:p>
            <w:pPr>
              <w:pStyle w:val="MdTableCell"/>
            </w:pPr>
            <w:r>
              <w:t xml:space="preserve">أساسي</w:t>
            </w:r>
          </w:p>
        </w:tc>
        <w:tc>
          <w:tcPr>
            <w:tcBorders>
              <w:right w:val="none"/>
            </w:tcBorders>
            <w:tcMar>
              <w:top w:type="dxa" w:w="80"/>
              <w:left w:type="dxa" w:w="120"/>
              <w:bottom w:type="dxa" w:w="80"/>
              <w:right w:type="dxa" w:w="120"/>
            </w:tcMar>
            <w:vAlign w:val="center"/>
          </w:tcPr>
          <w:p>
            <w:pPr>
              <w:pStyle w:val="MdTableCell"/>
            </w:pPr>
            <w:r>
              <w:t xml:space="preserve">خطة أسبوعية، كشف فرص، تقارير الإدارة، وضبط الربط بين التسويق والمبيعات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مبيعات وتأجير تجاري</w:t>
            </w:r>
          </w:p>
        </w:tc>
        <w:tc>
          <w:tcPr>
            <w:tcMar>
              <w:top w:type="dxa" w:w="80"/>
              <w:left w:type="dxa" w:w="120"/>
              <w:bottom w:type="dxa" w:w="80"/>
              <w:right w:type="dxa" w:w="120"/>
            </w:tcMar>
            <w:vAlign w:val="center"/>
          </w:tcPr>
          <w:p>
            <w:pPr>
              <w:pStyle w:val="MdTableCell"/>
            </w:pPr>
            <w:r>
              <w:t xml:space="preserve">أساسي</w:t>
            </w:r>
          </w:p>
        </w:tc>
        <w:tc>
          <w:tcPr>
            <w:tcBorders>
              <w:right w:val="none"/>
            </w:tcBorders>
            <w:tcMar>
              <w:top w:type="dxa" w:w="80"/>
              <w:left w:type="dxa" w:w="120"/>
              <w:bottom w:type="dxa" w:w="80"/>
              <w:right w:type="dxa" w:w="120"/>
            </w:tcMar>
            <w:vAlign w:val="center"/>
          </w:tcPr>
          <w:p>
            <w:pPr>
              <w:pStyle w:val="MdTableCell"/>
            </w:pPr>
            <w:r>
              <w:t xml:space="preserve">معاينات، عروض، متابعة أصحاب القرار، وتوثيق الحجوزات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تسويق رقمي ومحتوى</w:t>
            </w:r>
          </w:p>
        </w:tc>
        <w:tc>
          <w:tcPr>
            <w:tcMar>
              <w:top w:type="dxa" w:w="80"/>
              <w:left w:type="dxa" w:w="120"/>
              <w:bottom w:type="dxa" w:w="80"/>
              <w:right w:type="dxa" w:w="120"/>
            </w:tcMar>
            <w:vAlign w:val="center"/>
          </w:tcPr>
          <w:p>
            <w:pPr>
              <w:pStyle w:val="MdTableCell"/>
            </w:pPr>
            <w:r>
              <w:t xml:space="preserve">أساسي أو متعاقد</w:t>
            </w:r>
          </w:p>
        </w:tc>
        <w:tc>
          <w:tcPr>
            <w:tcBorders>
              <w:right w:val="none"/>
            </w:tcBorders>
            <w:tcMar>
              <w:top w:type="dxa" w:w="80"/>
              <w:left w:type="dxa" w:w="120"/>
              <w:bottom w:type="dxa" w:w="80"/>
              <w:right w:type="dxa" w:w="120"/>
            </w:tcMar>
            <w:vAlign w:val="center"/>
          </w:tcPr>
          <w:p>
            <w:pPr>
              <w:pStyle w:val="MdTableCell"/>
            </w:pPr>
            <w:r>
              <w:t xml:space="preserve">حملات، محتوى، روابط تتبع، وتقارير مصادر العملاء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منسق CRM وبيانات</w:t>
            </w:r>
          </w:p>
        </w:tc>
        <w:tc>
          <w:tcPr>
            <w:tcMar>
              <w:top w:type="dxa" w:w="80"/>
              <w:left w:type="dxa" w:w="120"/>
              <w:bottom w:type="dxa" w:w="80"/>
              <w:right w:type="dxa" w:w="120"/>
            </w:tcMar>
            <w:vAlign w:val="center"/>
          </w:tcPr>
          <w:p>
            <w:pPr>
              <w:pStyle w:val="MdTableCell"/>
            </w:pPr>
            <w:r>
              <w:t xml:space="preserve">أساسي ولو بدوام جزئي</w:t>
            </w:r>
          </w:p>
        </w:tc>
        <w:tc>
          <w:tcPr>
            <w:tcBorders>
              <w:right w:val="none"/>
            </w:tcBorders>
            <w:tcMar>
              <w:top w:type="dxa" w:w="80"/>
              <w:left w:type="dxa" w:w="120"/>
              <w:bottom w:type="dxa" w:w="80"/>
              <w:right w:type="dxa" w:w="120"/>
            </w:tcMar>
            <w:vAlign w:val="center"/>
          </w:tcPr>
          <w:p>
            <w:pPr>
              <w:pStyle w:val="MdTableCell"/>
            </w:pPr>
            <w:r>
              <w:t xml:space="preserve">قاعدة الوحدات، العملاء، الحجوزات السابقة، وسجل المتابعة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تحصيل/مالية</w:t>
            </w:r>
          </w:p>
        </w:tc>
        <w:tc>
          <w:tcPr>
            <w:tcMar>
              <w:top w:type="dxa" w:w="80"/>
              <w:left w:type="dxa" w:w="120"/>
              <w:bottom w:type="dxa" w:w="80"/>
              <w:right w:type="dxa" w:w="120"/>
            </w:tcMar>
            <w:vAlign w:val="center"/>
          </w:tcPr>
          <w:p>
            <w:pPr>
              <w:pStyle w:val="MdTableCell"/>
            </w:pPr>
            <w:r>
              <w:t xml:space="preserve">نقطة اتصال من الإدارة</w:t>
            </w:r>
          </w:p>
        </w:tc>
        <w:tc>
          <w:tcPr>
            <w:tcBorders>
              <w:right w:val="none"/>
            </w:tcBorders>
            <w:tcMar>
              <w:top w:type="dxa" w:w="80"/>
              <w:left w:type="dxa" w:w="120"/>
              <w:bottom w:type="dxa" w:w="80"/>
              <w:right w:type="dxa" w:w="120"/>
            </w:tcMar>
            <w:vAlign w:val="center"/>
          </w:tcPr>
          <w:p>
            <w:pPr>
              <w:pStyle w:val="MdTableCell"/>
            </w:pPr>
            <w:r>
              <w:t xml:space="preserve">تأكيد المبالغ والحالات دون فتح صلاحية مالية واسعة للفريق</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تصوير/تصميم</w:t>
            </w:r>
          </w:p>
        </w:tc>
        <w:tc>
          <w:tcPr>
            <w:tcBorders>
              <w:bottom w:val="single" w:color="E1E4E8" w:sz="4"/>
            </w:tcBorders>
            <w:tcMar>
              <w:top w:type="dxa" w:w="80"/>
              <w:left w:type="dxa" w:w="120"/>
              <w:bottom w:type="dxa" w:w="80"/>
              <w:right w:type="dxa" w:w="120"/>
            </w:tcMar>
            <w:vAlign w:val="center"/>
          </w:tcPr>
          <w:p>
            <w:pPr>
              <w:pStyle w:val="MdTableCell"/>
            </w:pPr>
            <w:r>
              <w:t xml:space="preserve">عند الحاجة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ملف بصري موحد لكل وحدة والموقع</w:t>
            </w:r>
          </w:p>
        </w:tc>
      </w:tr>
    </w:tbl>
    <w:p>
      <w:pPr>
        <w:pStyle w:val="Heading3"/>
        <w:pStyle w:val="MdHeading3"/>
      </w:pPr>
      <w:r>
        <w:t xml:space="preserve">خطة الستة أشهر التالية — 1 يناير إلى 30 يونيو 2027</w:t>
      </w:r>
    </w:p>
    <w:p>
      <w:pPr>
        <w:pStyle w:val="MdParagraph"/>
      </w:pPr>
      <w:r>
        <w:t xml:space="preserve">في هذه المرحلة لا تتم زيادة الفريق لمجرد زيادة النشاط؛ بل ترتبط الزيادة بحجم العملاء المؤهلين، وعدد المعاينات، وعدد الفرص المفتوحة، ونسبة التحويل إلى تسجيل أو حجز. عند ارتفاع الحمل التشغيلي، يضاف موظف مبيعات أو منسق متابعة قبل إضافة أدوار إدارية جديدة.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الإشارة التشغيلية</w:t>
            </w:r>
          </w:p>
        </w:tc>
        <w:tc>
          <w:tcPr>
            <w:tcBorders>
              <w:right w:val="none"/>
            </w:tcBorders>
            <w:tcMar>
              <w:top w:type="dxa" w:w="100"/>
              <w:left w:type="dxa" w:w="120"/>
              <w:bottom w:type="dxa" w:w="100"/>
              <w:right w:type="dxa" w:w="120"/>
            </w:tcMar>
            <w:vAlign w:val="center"/>
          </w:tcPr>
          <w:p>
            <w:pPr>
              <w:pStyle w:val="MdTableHeader"/>
            </w:pPr>
            <w:r>
              <w:t xml:space="preserve">التوسع الوظيفي المقترح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زيادة عدد العملاء والردود اليومية</w:t>
            </w:r>
          </w:p>
        </w:tc>
        <w:tc>
          <w:tcPr>
            <w:tcBorders>
              <w:right w:val="none"/>
            </w:tcBorders>
            <w:tcMar>
              <w:top w:type="dxa" w:w="80"/>
              <w:left w:type="dxa" w:w="120"/>
              <w:bottom w:type="dxa" w:w="80"/>
              <w:right w:type="dxa" w:w="120"/>
            </w:tcMar>
            <w:vAlign w:val="center"/>
          </w:tcPr>
          <w:p>
            <w:pPr>
              <w:pStyle w:val="MdTableCell"/>
            </w:pPr>
            <w:r>
              <w:t xml:space="preserve">إضافة مسؤول مبيعات/متابعة أو تقسيم العملاء حسب القطاع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ارتفاع المعاينات والعروض</w:t>
            </w:r>
          </w:p>
        </w:tc>
        <w:tc>
          <w:tcPr>
            <w:tcBorders>
              <w:right w:val="none"/>
            </w:tcBorders>
            <w:tcMar>
              <w:top w:type="dxa" w:w="80"/>
              <w:left w:type="dxa" w:w="120"/>
              <w:bottom w:type="dxa" w:w="80"/>
              <w:right w:type="dxa" w:w="120"/>
            </w:tcMar>
            <w:vAlign w:val="center"/>
          </w:tcPr>
          <w:p>
            <w:pPr>
              <w:pStyle w:val="MdTableCell"/>
            </w:pPr>
            <w:r>
              <w:t xml:space="preserve">إضافة مسؤول مبيعات وتأجير تجاري أو مسؤول 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تعدد القنوات والحملات</w:t>
            </w:r>
          </w:p>
        </w:tc>
        <w:tc>
          <w:tcPr>
            <w:tcBorders>
              <w:right w:val="none"/>
            </w:tcBorders>
            <w:tcMar>
              <w:top w:type="dxa" w:w="80"/>
              <w:left w:type="dxa" w:w="120"/>
              <w:bottom w:type="dxa" w:w="80"/>
              <w:right w:type="dxa" w:w="120"/>
            </w:tcMar>
            <w:vAlign w:val="center"/>
          </w:tcPr>
          <w:p>
            <w:pPr>
              <w:pStyle w:val="MdTableCell"/>
            </w:pPr>
            <w:r>
              <w:t xml:space="preserve">إضافة أخصائي أداء رقمي أو تعهيد إدارة الحملات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زيادة الحجوزات والأقساط</w:t>
            </w:r>
          </w:p>
        </w:tc>
        <w:tc>
          <w:tcPr>
            <w:tcBorders>
              <w:right w:val="none"/>
            </w:tcBorders>
            <w:tcMar>
              <w:top w:type="dxa" w:w="80"/>
              <w:left w:type="dxa" w:w="120"/>
              <w:bottom w:type="dxa" w:w="80"/>
              <w:right w:type="dxa" w:w="120"/>
            </w:tcMar>
            <w:vAlign w:val="center"/>
          </w:tcPr>
          <w:p>
            <w:pPr>
              <w:pStyle w:val="MdTableCell"/>
            </w:pPr>
            <w:r>
              <w:t xml:space="preserve">تفعيل مسؤول تحصيل/مالية مخصص أو نقطة تحصيل رسمية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اتساع قاعدة البيانات</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تعيين مسؤول CRM كامل الصلاحية التشغيلية مع مدقق نظام</w:t>
            </w:r>
          </w:p>
        </w:tc>
      </w:tr>
    </w:tbl>
    <w:p>
      <w:pPr>
        <w:pStyle w:val="Heading3"/>
        <w:pStyle w:val="MdHeading3"/>
      </w:pPr>
      <w:r>
        <w:t xml:space="preserve">خطة السنة — 22 أغسطس 2026 إلى 21 أغسطس 2027</w:t>
      </w:r>
    </w:p>
    <w:p>
      <w:pPr>
        <w:pStyle w:val="MdParagraph"/>
      </w:pPr>
      <w:r>
        <w:t xml:space="preserve">تتحول المنظومة في السنة الأولى من فريق حملة إلى إدارة مبيعات وتسويق مستمرة. يتم فصل قيادة المبيعات عن قيادة التسويق إذا أصبح حجم العمل يستدعي ذلك، ويُنشأ مسؤول عمليات أو مدير مبيعات، مع بقاء الاعتمادات المالية والتجارية في الإدارة العليا.</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الوظيفة المستقبلية</w:t>
            </w:r>
          </w:p>
        </w:tc>
        <w:tc>
          <w:tcPr>
            <w:tcMar>
              <w:top w:type="dxa" w:w="100"/>
              <w:left w:type="dxa" w:w="120"/>
              <w:bottom w:type="dxa" w:w="100"/>
              <w:right w:type="dxa" w:w="120"/>
            </w:tcMar>
            <w:vAlign w:val="center"/>
          </w:tcPr>
          <w:p>
            <w:pPr>
              <w:pStyle w:val="MdTableHeader"/>
            </w:pPr>
            <w:r>
              <w:t xml:space="preserve">متى تُدرس؟</w:t>
            </w:r>
          </w:p>
        </w:tc>
        <w:tc>
          <w:tcPr>
            <w:tcBorders>
              <w:right w:val="none"/>
            </w:tcBorders>
            <w:tcMar>
              <w:top w:type="dxa" w:w="100"/>
              <w:left w:type="dxa" w:w="120"/>
              <w:bottom w:type="dxa" w:w="100"/>
              <w:right w:type="dxa" w:w="120"/>
            </w:tcMar>
            <w:vAlign w:val="center"/>
          </w:tcPr>
          <w:p>
            <w:pPr>
              <w:pStyle w:val="MdTableHeader"/>
            </w:pPr>
            <w:r>
              <w:t xml:space="preserve">الغرض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مدير مبيعات</w:t>
            </w:r>
          </w:p>
        </w:tc>
        <w:tc>
          <w:tcPr>
            <w:tcMar>
              <w:top w:type="dxa" w:w="80"/>
              <w:left w:type="dxa" w:w="120"/>
              <w:bottom w:type="dxa" w:w="80"/>
              <w:right w:type="dxa" w:w="120"/>
            </w:tcMar>
            <w:vAlign w:val="center"/>
          </w:tcPr>
          <w:p>
            <w:pPr>
              <w:pStyle w:val="MdTableCell"/>
            </w:pPr>
            <w:r>
              <w:t xml:space="preserve">عند ثبات تدفق الفرص والحجوزات</w:t>
            </w:r>
          </w:p>
        </w:tc>
        <w:tc>
          <w:tcPr>
            <w:tcBorders>
              <w:right w:val="none"/>
            </w:tcBorders>
            <w:tcMar>
              <w:top w:type="dxa" w:w="80"/>
              <w:left w:type="dxa" w:w="120"/>
              <w:bottom w:type="dxa" w:w="80"/>
              <w:right w:type="dxa" w:w="120"/>
            </w:tcMar>
            <w:vAlign w:val="center"/>
          </w:tcPr>
          <w:p>
            <w:pPr>
              <w:pStyle w:val="MdTableCell"/>
            </w:pPr>
            <w:r>
              <w:t xml:space="preserve">إدارة الفريق والتوقعات والعمولات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مدير تسويق وأداء</w:t>
            </w:r>
          </w:p>
        </w:tc>
        <w:tc>
          <w:tcPr>
            <w:tcMar>
              <w:top w:type="dxa" w:w="80"/>
              <w:left w:type="dxa" w:w="120"/>
              <w:bottom w:type="dxa" w:w="80"/>
              <w:right w:type="dxa" w:w="120"/>
            </w:tcMar>
            <w:vAlign w:val="center"/>
          </w:tcPr>
          <w:p>
            <w:pPr>
              <w:pStyle w:val="MdTableCell"/>
            </w:pPr>
            <w:r>
              <w:t xml:space="preserve">عند تعدد القنوات والقطاعات</w:t>
            </w:r>
          </w:p>
        </w:tc>
        <w:tc>
          <w:tcPr>
            <w:tcBorders>
              <w:right w:val="none"/>
            </w:tcBorders>
            <w:tcMar>
              <w:top w:type="dxa" w:w="80"/>
              <w:left w:type="dxa" w:w="120"/>
              <w:bottom w:type="dxa" w:w="80"/>
              <w:right w:type="dxa" w:w="120"/>
            </w:tcMar>
            <w:vAlign w:val="center"/>
          </w:tcPr>
          <w:p>
            <w:pPr>
              <w:pStyle w:val="MdTableCell"/>
            </w:pPr>
            <w:r>
              <w:t xml:space="preserve">إدارة الاستراتيجية والإنفاق والمحتوى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تحصيل وعمليات</w:t>
            </w:r>
          </w:p>
        </w:tc>
        <w:tc>
          <w:tcPr>
            <w:tcMar>
              <w:top w:type="dxa" w:w="80"/>
              <w:left w:type="dxa" w:w="120"/>
              <w:bottom w:type="dxa" w:w="80"/>
              <w:right w:type="dxa" w:w="120"/>
            </w:tcMar>
            <w:vAlign w:val="center"/>
          </w:tcPr>
          <w:p>
            <w:pPr>
              <w:pStyle w:val="MdTableCell"/>
            </w:pPr>
            <w:r>
              <w:t xml:space="preserve">عند اتساع العقود والأقساط</w:t>
            </w:r>
          </w:p>
        </w:tc>
        <w:tc>
          <w:tcPr>
            <w:tcBorders>
              <w:right w:val="none"/>
            </w:tcBorders>
            <w:tcMar>
              <w:top w:type="dxa" w:w="80"/>
              <w:left w:type="dxa" w:w="120"/>
              <w:bottom w:type="dxa" w:w="80"/>
              <w:right w:type="dxa" w:w="120"/>
            </w:tcMar>
            <w:vAlign w:val="center"/>
          </w:tcPr>
          <w:p>
            <w:pPr>
              <w:pStyle w:val="MdTableCell"/>
            </w:pPr>
            <w:r>
              <w:t xml:space="preserve">ربط البيع بالتحصيل والتقارير المالية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شراكات وبروكرز</w:t>
            </w:r>
          </w:p>
        </w:tc>
        <w:tc>
          <w:tcPr>
            <w:tcMar>
              <w:top w:type="dxa" w:w="80"/>
              <w:left w:type="dxa" w:w="120"/>
              <w:bottom w:type="dxa" w:w="80"/>
              <w:right w:type="dxa" w:w="120"/>
            </w:tcMar>
            <w:vAlign w:val="center"/>
          </w:tcPr>
          <w:p>
            <w:pPr>
              <w:pStyle w:val="MdTableCell"/>
            </w:pPr>
            <w:r>
              <w:t xml:space="preserve">عند اتساع شبكة الوسطاء</w:t>
            </w:r>
          </w:p>
        </w:tc>
        <w:tc>
          <w:tcPr>
            <w:tcBorders>
              <w:right w:val="none"/>
            </w:tcBorders>
            <w:tcMar>
              <w:top w:type="dxa" w:w="80"/>
              <w:left w:type="dxa" w:w="120"/>
              <w:bottom w:type="dxa" w:w="80"/>
              <w:right w:type="dxa" w:w="120"/>
            </w:tcMar>
            <w:vAlign w:val="center"/>
          </w:tcPr>
          <w:p>
            <w:pPr>
              <w:pStyle w:val="MdTableCell"/>
            </w:pPr>
            <w:r>
              <w:t xml:space="preserve">إدارة الاعتماد والعمولات ومصادر العملاء</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محلل بيانات/تقارير</w:t>
            </w:r>
          </w:p>
        </w:tc>
        <w:tc>
          <w:tcPr>
            <w:tcBorders>
              <w:bottom w:val="single" w:color="E1E4E8" w:sz="4"/>
            </w:tcBorders>
            <w:tcMar>
              <w:top w:type="dxa" w:w="80"/>
              <w:left w:type="dxa" w:w="120"/>
              <w:bottom w:type="dxa" w:w="80"/>
              <w:right w:type="dxa" w:w="120"/>
            </w:tcMar>
            <w:vAlign w:val="center"/>
          </w:tcPr>
          <w:p>
            <w:pPr>
              <w:pStyle w:val="MdTableCell"/>
            </w:pPr>
            <w:r>
              <w:t xml:space="preserve">عند تراكم البيانات</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تحليل التحويل ومخزون الوحدات وأداء القنوات</w:t>
            </w:r>
          </w:p>
        </w:tc>
      </w:tr>
    </w:tbl>
    <w:p>
      <w:pPr>
        <w:pStyle w:val="Heading2"/>
        <w:pStyle w:val="MdHeading2"/>
      </w:pPr>
      <w:r>
        <w:t xml:space="preserve">ثالثًا: تصميم نظام الشركة والـ CRM</w:t>
      </w:r>
    </w:p>
    <w:p>
      <w:pPr>
        <w:pStyle w:val="Heading3"/>
        <w:pStyle w:val="MdHeading3"/>
      </w:pPr>
      <w:r>
        <w:t xml:space="preserve">الهدف</w:t>
      </w:r>
    </w:p>
    <w:p>
      <w:pPr>
        <w:pStyle w:val="MdParagraph"/>
      </w:pPr>
      <w:r>
        <w:t xml:space="preserve">النظام المطلوب هو نظام شركة متكامل وقابل للتوسع، وليس مجرد جدول إعلاني. يبدأ بالمشروع الحالي، ثم يمكن استخدامه لباقي مشاريع الشركة. يجب أن يوحد بيانات الوحدات، والعملاء المحتملين، والتسجيلات، والحجوزات، والعقود، والتحصيل عند موافقة الإدارة، والمراسلات، والمعاينات، والتقارير.</w:t>
      </w:r>
    </w:p>
    <w:p>
      <w:pPr>
        <w:pStyle w:val="MdSpace"/>
        <w:spacing w:before="0" w:after="60"/>
      </w:pPr>
    </w:p>
    <w:p>
      <w:pPr>
        <w:pStyle w:val="Heading3"/>
        <w:pStyle w:val="MdHeading3"/>
      </w:pPr>
      <w:r>
        <w:t xml:space="preserve">الوحدات الأساسية للنظام</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الوحدة</w:t>
            </w:r>
          </w:p>
        </w:tc>
        <w:tc>
          <w:tcPr>
            <w:tcMar>
              <w:top w:type="dxa" w:w="100"/>
              <w:left w:type="dxa" w:w="120"/>
              <w:bottom w:type="dxa" w:w="100"/>
              <w:right w:type="dxa" w:w="120"/>
            </w:tcMar>
            <w:vAlign w:val="center"/>
          </w:tcPr>
          <w:p>
            <w:pPr>
              <w:pStyle w:val="MdTableHeader"/>
            </w:pPr>
            <w:r>
              <w:t xml:space="preserve">ما تحتويه</w:t>
            </w:r>
          </w:p>
        </w:tc>
        <w:tc>
          <w:tcPr>
            <w:tcBorders>
              <w:right w:val="none"/>
            </w:tcBorders>
            <w:tcMar>
              <w:top w:type="dxa" w:w="100"/>
              <w:left w:type="dxa" w:w="120"/>
              <w:bottom w:type="dxa" w:w="100"/>
              <w:right w:type="dxa" w:w="120"/>
            </w:tcMar>
            <w:vAlign w:val="center"/>
          </w:tcPr>
          <w:p>
            <w:pPr>
              <w:pStyle w:val="MdTableHeader"/>
            </w:pPr>
            <w:r>
              <w:t xml:space="preserve">المالك التشغيلي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مخزون الوحدات</w:t>
            </w:r>
          </w:p>
        </w:tc>
        <w:tc>
          <w:tcPr>
            <w:tcMar>
              <w:top w:type="dxa" w:w="80"/>
              <w:left w:type="dxa" w:w="120"/>
              <w:bottom w:type="dxa" w:w="80"/>
              <w:right w:type="dxa" w:w="120"/>
            </w:tcMar>
            <w:vAlign w:val="center"/>
          </w:tcPr>
          <w:p>
            <w:pPr>
              <w:pStyle w:val="MdTableCell"/>
            </w:pPr>
            <w:r>
              <w:t xml:space="preserve">رقم الوحدة، البرج، الدور، المساحة، السعر، التشطيب، الواجهة، النشاط، التسليم، الحالة</w:t>
            </w:r>
          </w:p>
        </w:tc>
        <w:tc>
          <w:tcPr>
            <w:tcBorders>
              <w:right w:val="none"/>
            </w:tcBorders>
            <w:tcMar>
              <w:top w:type="dxa" w:w="80"/>
              <w:left w:type="dxa" w:w="120"/>
              <w:bottom w:type="dxa" w:w="80"/>
              <w:right w:type="dxa" w:w="120"/>
            </w:tcMar>
            <w:vAlign w:val="center"/>
          </w:tcPr>
          <w:p>
            <w:pPr>
              <w:pStyle w:val="MdTableCell"/>
            </w:pPr>
            <w:r>
              <w:t xml:space="preserve">مسؤول CRM وقائد 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العملاء المحتملون</w:t>
            </w:r>
          </w:p>
        </w:tc>
        <w:tc>
          <w:tcPr>
            <w:tcMar>
              <w:top w:type="dxa" w:w="80"/>
              <w:left w:type="dxa" w:w="120"/>
              <w:bottom w:type="dxa" w:w="80"/>
              <w:right w:type="dxa" w:w="120"/>
            </w:tcMar>
            <w:vAlign w:val="center"/>
          </w:tcPr>
          <w:p>
            <w:pPr>
              <w:pStyle w:val="MdTableCell"/>
            </w:pPr>
            <w:r>
              <w:t xml:space="preserve">الاسم، الهاتف، النشاط، القطاع، المصدر، الاحتياج، المسؤول، آخر تواصل</w:t>
            </w:r>
          </w:p>
        </w:tc>
        <w:tc>
          <w:tcPr>
            <w:tcBorders>
              <w:right w:val="none"/>
            </w:tcBorders>
            <w:tcMar>
              <w:top w:type="dxa" w:w="80"/>
              <w:left w:type="dxa" w:w="120"/>
              <w:bottom w:type="dxa" w:w="80"/>
              <w:right w:type="dxa" w:w="120"/>
            </w:tcMar>
            <w:vAlign w:val="center"/>
          </w:tcPr>
          <w:p>
            <w:pPr>
              <w:pStyle w:val="MdTableCell"/>
            </w:pPr>
            <w:r>
              <w:t xml:space="preserve">المبيعات وCRM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التسجيلات</w:t>
            </w:r>
          </w:p>
        </w:tc>
        <w:tc>
          <w:tcPr>
            <w:tcMar>
              <w:top w:type="dxa" w:w="80"/>
              <w:left w:type="dxa" w:w="120"/>
              <w:bottom w:type="dxa" w:w="80"/>
              <w:right w:type="dxa" w:w="120"/>
            </w:tcMar>
            <w:vAlign w:val="center"/>
          </w:tcPr>
          <w:p>
            <w:pPr>
              <w:pStyle w:val="MdTableCell"/>
            </w:pPr>
            <w:r>
              <w:t xml:space="preserve">تاريخ التسجيل، الحملة، الوحدة/القطاع، درجة التأهيل، الإجراء التالي</w:t>
            </w:r>
          </w:p>
        </w:tc>
        <w:tc>
          <w:tcPr>
            <w:tcBorders>
              <w:right w:val="none"/>
            </w:tcBorders>
            <w:tcMar>
              <w:top w:type="dxa" w:w="80"/>
              <w:left w:type="dxa" w:w="120"/>
              <w:bottom w:type="dxa" w:w="80"/>
              <w:right w:type="dxa" w:w="120"/>
            </w:tcMar>
            <w:vAlign w:val="center"/>
          </w:tcPr>
          <w:p>
            <w:pPr>
              <w:pStyle w:val="MdTableCell"/>
            </w:pPr>
            <w:r>
              <w:t xml:space="preserve">التسويق والمبيعات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المعاينات</w:t>
            </w:r>
          </w:p>
        </w:tc>
        <w:tc>
          <w:tcPr>
            <w:tcMar>
              <w:top w:type="dxa" w:w="80"/>
              <w:left w:type="dxa" w:w="120"/>
              <w:bottom w:type="dxa" w:w="80"/>
              <w:right w:type="dxa" w:w="120"/>
            </w:tcMar>
            <w:vAlign w:val="center"/>
          </w:tcPr>
          <w:p>
            <w:pPr>
              <w:pStyle w:val="MdTableCell"/>
            </w:pPr>
            <w:r>
              <w:t xml:space="preserve">الموعد، الحضور، الوحدة، الملاحظات، النتيجة، الموعد التالي</w:t>
            </w:r>
          </w:p>
        </w:tc>
        <w:tc>
          <w:tcPr>
            <w:tcBorders>
              <w:right w:val="none"/>
            </w:tcBorders>
            <w:tcMar>
              <w:top w:type="dxa" w:w="80"/>
              <w:left w:type="dxa" w:w="120"/>
              <w:bottom w:type="dxa" w:w="80"/>
              <w:right w:type="dxa" w:w="120"/>
            </w:tcMar>
            <w:vAlign w:val="center"/>
          </w:tcPr>
          <w:p>
            <w:pPr>
              <w:pStyle w:val="MdTableCell"/>
            </w:pPr>
            <w:r>
              <w:t xml:space="preserve">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العروض والحجوزات</w:t>
            </w:r>
          </w:p>
        </w:tc>
        <w:tc>
          <w:tcPr>
            <w:tcMar>
              <w:top w:type="dxa" w:w="80"/>
              <w:left w:type="dxa" w:w="120"/>
              <w:bottom w:type="dxa" w:w="80"/>
              <w:right w:type="dxa" w:w="120"/>
            </w:tcMar>
            <w:vAlign w:val="center"/>
          </w:tcPr>
          <w:p>
            <w:pPr>
              <w:pStyle w:val="MdTableCell"/>
            </w:pPr>
            <w:r>
              <w:t xml:space="preserve">الوحدة، السعر المعتمد، خطة السداد، البروكر، حالة الحجز، المستندات</w:t>
            </w:r>
          </w:p>
        </w:tc>
        <w:tc>
          <w:tcPr>
            <w:tcBorders>
              <w:right w:val="none"/>
            </w:tcBorders>
            <w:tcMar>
              <w:top w:type="dxa" w:w="80"/>
              <w:left w:type="dxa" w:w="120"/>
              <w:bottom w:type="dxa" w:w="80"/>
              <w:right w:type="dxa" w:w="120"/>
            </w:tcMar>
            <w:vAlign w:val="center"/>
          </w:tcPr>
          <w:p>
            <w:pPr>
              <w:pStyle w:val="MdTableCell"/>
            </w:pPr>
            <w:r>
              <w:t xml:space="preserve">قائد المبيعات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العقود والتحصيل</w:t>
            </w:r>
          </w:p>
        </w:tc>
        <w:tc>
          <w:tcPr>
            <w:tcMar>
              <w:top w:type="dxa" w:w="80"/>
              <w:left w:type="dxa" w:w="120"/>
              <w:bottom w:type="dxa" w:w="80"/>
              <w:right w:type="dxa" w:w="120"/>
            </w:tcMar>
            <w:vAlign w:val="center"/>
          </w:tcPr>
          <w:p>
            <w:pPr>
              <w:pStyle w:val="MdTableCell"/>
            </w:pPr>
            <w:r>
              <w:t xml:space="preserve">قيمة التعاقد، المدفوع، المستحق، تواريخ الأقساط، حالة المطابقة</w:t>
            </w:r>
          </w:p>
        </w:tc>
        <w:tc>
          <w:tcPr>
            <w:tcBorders>
              <w:right w:val="none"/>
            </w:tcBorders>
            <w:tcMar>
              <w:top w:type="dxa" w:w="80"/>
              <w:left w:type="dxa" w:w="120"/>
              <w:bottom w:type="dxa" w:w="80"/>
              <w:right w:type="dxa" w:w="120"/>
            </w:tcMar>
            <w:vAlign w:val="center"/>
          </w:tcPr>
          <w:p>
            <w:pPr>
              <w:pStyle w:val="MdTableCell"/>
            </w:pPr>
            <w:r>
              <w:t xml:space="preserve">المالية/التحصيل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ملفات السنوات السابقة</w:t>
            </w:r>
          </w:p>
        </w:tc>
        <w:tc>
          <w:tcPr>
            <w:tcMar>
              <w:top w:type="dxa" w:w="80"/>
              <w:left w:type="dxa" w:w="120"/>
              <w:bottom w:type="dxa" w:w="80"/>
              <w:right w:type="dxa" w:w="120"/>
            </w:tcMar>
            <w:vAlign w:val="center"/>
          </w:tcPr>
          <w:p>
            <w:pPr>
              <w:pStyle w:val="MdTableCell"/>
            </w:pPr>
            <w:r>
              <w:t xml:space="preserve">نسخة المصدر، السنة، العميل، الوحدة، المبلغ، الحالة، إمكانية إعادة التواصل</w:t>
            </w:r>
          </w:p>
        </w:tc>
        <w:tc>
          <w:tcPr>
            <w:tcBorders>
              <w:right w:val="none"/>
            </w:tcBorders>
            <w:tcMar>
              <w:top w:type="dxa" w:w="80"/>
              <w:left w:type="dxa" w:w="120"/>
              <w:bottom w:type="dxa" w:w="80"/>
              <w:right w:type="dxa" w:w="120"/>
            </w:tcMar>
            <w:vAlign w:val="center"/>
          </w:tcPr>
          <w:p>
            <w:pPr>
              <w:pStyle w:val="MdTableCell"/>
            </w:pPr>
            <w:r>
              <w:t xml:space="preserve">CRM والمالية بتفويض</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التقارير</w:t>
            </w:r>
          </w:p>
        </w:tc>
        <w:tc>
          <w:tcPr>
            <w:tcBorders>
              <w:bottom w:val="single" w:color="E1E4E8" w:sz="4"/>
            </w:tcBorders>
            <w:tcMar>
              <w:top w:type="dxa" w:w="80"/>
              <w:left w:type="dxa" w:w="120"/>
              <w:bottom w:type="dxa" w:w="80"/>
              <w:right w:type="dxa" w:w="120"/>
            </w:tcMar>
            <w:vAlign w:val="center"/>
          </w:tcPr>
          <w:p>
            <w:pPr>
              <w:pStyle w:val="MdTableCell"/>
            </w:pPr>
            <w:r>
              <w:t xml:space="preserve">القمع البيعي، المخزون، الحجوزات، التحصيل، مصادر العملاء، أداء البروكرز</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قائد المشروع والإدارة</w:t>
            </w:r>
          </w:p>
        </w:tc>
      </w:tr>
    </w:tbl>
    <w:p>
      <w:pPr>
        <w:pStyle w:val="Heading3"/>
        <w:pStyle w:val="MdHeading3"/>
      </w:pPr>
      <w:r>
        <w:t xml:space="preserve">صلاحيات مسؤول التطوير في المتابعة</w:t>
      </w:r>
    </w:p>
    <w:p>
      <w:pPr>
        <w:pStyle w:val="MdParagraph"/>
      </w:pPr>
      <w:r>
        <w:t xml:space="preserve">يكون لمسؤول تطوير الأعمال والتسويق والمبيعات صلاحية رسمية للاطلاع على سجل البيع والحجوزات والتحصيلات، بما يسمح له بمعرفة عدد الوحدات المباعة، وأرقام الوحدات، وقيمة التعاقد، والمبالغ المسددة، والمتبقي، وحالة العملية، وتاريخ التسجيل والحجز والتعاقد وكل دفعة وآخر تحديث. ويستخدم هذه البيانات في إعداد التارجت والتقارير واكتشاف التعثر وربط نتائج التسويق بالمبيعات والتحصيل.</w:t>
      </w:r>
    </w:p>
    <w:p>
      <w:pPr>
        <w:pStyle w:val="MdSpace"/>
        <w:spacing w:before="0" w:after="60"/>
      </w:pPr>
    </w:p>
    <w:p>
      <w:pPr>
        <w:pStyle w:val="MdParagraph"/>
      </w:pPr>
      <w:r>
        <w:t xml:space="preserve">هذه صلاحية اطلاع ومتابعة وليست صلاحية صرف أو اعتماد عقد أو تعديل سعر أو تعديل قيد مالي أو حذف سجل. تقوم المالية بتسجيل ومطابقة التحصيل، وتعرض تقاريرها لمسؤول التطوير، بينما تعتمد الإدارة القرارات التجارية والمالية. ويسجل النظام كل دخول أو تعديل باسم المستخدم وتاريخه.</w:t>
      </w:r>
    </w:p>
    <w:p>
      <w:pPr>
        <w:pStyle w:val="MdSpace"/>
        <w:spacing w:before="0" w:after="60"/>
      </w:pPr>
    </w:p>
    <w:p>
      <w:pPr>
        <w:pStyle w:val="Heading3"/>
        <w:pStyle w:val="MdHeading3"/>
      </w:pPr>
      <w:r>
        <w:t xml:space="preserve">ربط حجوزات السنوات السابقة بالعملاء الجدد</w:t>
      </w:r>
    </w:p>
    <w:p>
      <w:pPr>
        <w:pStyle w:val="MdParagraph"/>
      </w:pPr>
      <w:r>
        <w:t xml:space="preserve">يتم استيراد الملفات القديمة على دفعات، مع الاحتفاظ بنسخة أصلية غير قابلة للتعديل، ثم إنشاء سجل موحد لكل عميل بعد إزالة التكرارات. لا يُفترض أن العميل القديم فرصة جديدة تلقائيًا؛ بل يضاف حقل يوضح حالته: عميل سابق، مالك/حاجز، متعثر، مكتمل، قابل لإعادة التواصل، أو غير مسموح بالتواصل معه.</w:t>
      </w:r>
    </w:p>
    <w:p>
      <w:pPr>
        <w:pStyle w:val="MdSpace"/>
        <w:spacing w:before="0" w:after="60"/>
      </w:pPr>
    </w:p>
    <w:p>
      <w:pPr>
        <w:pStyle w:val="MdParagraph"/>
      </w:pPr>
      <w:r>
        <w:t xml:space="preserve">يجب أن يحتوي كل سجل مستورد على مصدره وتاريخ استيراده وموظف المراجعة. وعند ظهور عميل جديد يشابه سجلًا قديمًا، ينشئ النظام تنبيهًا للتطابق بدل إنشاء سجل مزدوج. كما يجب فصل بيانات الاتصال عن بيانات التحصيل، وعدم إظهار المبالغ إلا للمستخدم المخول.</w:t>
      </w:r>
    </w:p>
    <w:p>
      <w:pPr>
        <w:pStyle w:val="MdSpace"/>
        <w:spacing w:before="0" w:after="60"/>
      </w:pPr>
    </w:p>
    <w:p>
      <w:pPr>
        <w:pStyle w:val="Heading3"/>
        <w:pStyle w:val="MdHeading3"/>
      </w:pPr>
      <w:r>
        <w:t xml:space="preserve">مسار المتابعة الآلي</w:t>
      </w:r>
    </w:p>
    <w:p>
      <w:pPr>
        <w:pStyle w:val="MdListItem"/>
        <w:numPr>
          <w:ilvl w:val="0"/>
          <w:numId w:val="3"/>
        </w:numPr>
      </w:pPr>
      <w:r>
        <w:t xml:space="preserve">يدخل العميل من إعلان أو بروكر أو اتصال أو زيارة، ويحصل على مصدر واضح.</w:t>
      </w:r>
    </w:p>
    <w:p>
      <w:pPr>
        <w:pStyle w:val="MdListItem"/>
        <w:numPr>
          <w:ilvl w:val="0"/>
          <w:numId w:val="3"/>
        </w:numPr>
      </w:pPr>
      <w:r>
        <w:t xml:space="preserve">ينشئ النظام مهمة اتصال أولى ويحدد مسؤولًا وموعدًا نهائيًا.</w:t>
      </w:r>
    </w:p>
    <w:p>
      <w:pPr>
        <w:pStyle w:val="MdListItem"/>
        <w:numPr>
          <w:ilvl w:val="0"/>
          <w:numId w:val="3"/>
        </w:numPr>
      </w:pPr>
      <w:r>
        <w:t xml:space="preserve">إذا لم يتم الرد، تنشأ متابعة لاحقة وفق سياسة تعتمدها الإدارة، دون إرسال رسائل آلية حساسة أو مزعجة.</w:t>
      </w:r>
    </w:p>
    <w:p>
      <w:pPr>
        <w:pStyle w:val="MdListItem"/>
        <w:numPr>
          <w:ilvl w:val="0"/>
          <w:numId w:val="3"/>
        </w:numPr>
      </w:pPr>
      <w:r>
        <w:t xml:space="preserve">عند التأهيل، ينتقل العميل إلى مرحلة احتياج محدد ووحدات مقترحة.</w:t>
      </w:r>
    </w:p>
    <w:p>
      <w:pPr>
        <w:pStyle w:val="MdListItem"/>
        <w:numPr>
          <w:ilvl w:val="0"/>
          <w:numId w:val="3"/>
        </w:numPr>
      </w:pPr>
      <w:r>
        <w:t xml:space="preserve">بعد المعاينة، يسجل الموظف النتيجة والإجراء التالي.</w:t>
      </w:r>
    </w:p>
    <w:p>
      <w:pPr>
        <w:pStyle w:val="MdListItem"/>
        <w:numPr>
          <w:ilvl w:val="0"/>
          <w:numId w:val="3"/>
        </w:numPr>
      </w:pPr>
      <w:r>
        <w:t xml:space="preserve">عند طلب الحجز، يوقف النظام الوحدة مؤقتًا بحالة واضحة إلى أن تؤكد الإدارة الحجز.</w:t>
      </w:r>
    </w:p>
    <w:p>
      <w:pPr>
        <w:pStyle w:val="MdListItem"/>
        <w:numPr>
          <w:ilvl w:val="0"/>
          <w:numId w:val="3"/>
        </w:numPr>
      </w:pPr>
      <w:r>
        <w:t xml:space="preserve">لا يتحول الحجز إلى بيع أو تحصيل إلا بعد مراجعة المستندات واعتماد الحالة.</w:t>
      </w:r>
    </w:p>
    <w:p>
      <w:pPr>
        <w:pStyle w:val="MdListItem"/>
        <w:numPr>
          <w:ilvl w:val="0"/>
          <w:numId w:val="3"/>
        </w:numPr>
      </w:pPr>
      <w:r>
        <w:t xml:space="preserve">ترسل لوحة يومية بالمهام المتأخرة، ولوحة أسبوعية بالقمع البيعي ومصادر العملاء والحجوزات.</w:t>
      </w:r>
    </w:p>
    <w:p>
      <w:pPr>
        <w:pStyle w:val="MdSpace"/>
        <w:spacing w:before="0" w:after="60"/>
      </w:pPr>
    </w:p>
    <w:p>
      <w:pPr>
        <w:pStyle w:val="Heading3"/>
        <w:pStyle w:val="MdHeading3"/>
      </w:pPr>
      <w:r>
        <w:t xml:space="preserve">الصلاحيات والحوكمة</w:t>
      </w:r>
    </w:p>
    <w:p>
      <w:pPr>
        <w:pStyle w:val="MdParagraph"/>
      </w:pPr>
      <w:r>
        <w:t xml:space="preserve">يجب استخدام حساب فردي لكل موظف، وتسجيل الدخول والتعديل والحذف، وتطبيق مبدأ أقل صلاحية. تكون صلاحية الاطلاع على ملفات البيع السابقة متاحة لمسؤول تطوير الأعمال والمبيعات بالقدر اللازم، وتكون صلاحية الاطلاع على المبالغ المحصلة لمسؤول المالية/التحصيل ومن تفوضه الإدارة فقط. يمنع حذف السجلات نهائيًا؛ ويستخدم الإلغاء أو الأرشفة مع تسجيل السبب.</w:t>
      </w:r>
    </w:p>
    <w:p>
      <w:pPr>
        <w:pStyle w:val="MdSpace"/>
        <w:spacing w:before="0" w:after="60"/>
      </w:pPr>
    </w:p>
    <w:p>
      <w:pPr>
        <w:pStyle w:val="Heading3"/>
        <w:pStyle w:val="MdHeading3"/>
      </w:pPr>
      <w:r>
        <w:t xml:space="preserve">الحد الأدنى للتنفيذ</w:t>
      </w:r>
    </w:p>
    <w:p>
      <w:pPr>
        <w:pStyle w:val="MdParagraph"/>
      </w:pPr>
      <w:r>
        <w:t xml:space="preserve">يبدأ النظام بإصدار أولي منظم، وليس بمشروع تقني ضخم: قاعدة بيانات موحدة، مستخدمون وصلاحيات، مراحل عميل، مهام متابعة، سجل وحدات، سجل حجوزات، تقارير أسبوعية، ونسخ احتياطية. بعد اختبار الاستخدام، تضاف الأتمتة المتقدمة والتكاملات تدريجيًا.</w:t>
      </w:r>
    </w:p>
    <w:p>
      <w:pPr>
        <w:pStyle w:val="MdSpace"/>
        <w:spacing w:before="0" w:after="60"/>
      </w:pPr>
    </w:p>
    <w:p>
      <w:pPr>
        <w:pStyle w:val="Heading2"/>
        <w:pStyle w:val="MdHeading2"/>
      </w:pPr>
      <w:r>
        <w:t xml:space="preserve">رابعًا: مؤشرات الإدارة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التعريف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H6</w:t>
            </w:r>
          </w:p>
        </w:tc>
        <w:tc>
          <w:tcPr>
            <w:tcBorders>
              <w:right w:val="none"/>
            </w:tcBorders>
            <w:tcMar>
              <w:top w:type="dxa" w:w="80"/>
              <w:left w:type="dxa" w:w="120"/>
              <w:bottom w:type="dxa" w:w="80"/>
              <w:right w:type="dxa" w:w="120"/>
            </w:tcMar>
            <w:vAlign w:val="center"/>
          </w:tcPr>
          <w:p>
            <w:pPr>
              <w:pStyle w:val="MdTableCell"/>
            </w:pPr>
            <w:r>
              <w:t xml:space="preserve">إجمالي التسجيلات أو الحجوزات المعتمدة خلال آخر 6 أشهر قبل القياس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التارجت</w:t>
            </w:r>
          </w:p>
        </w:tc>
        <w:tc>
          <w:tcPr>
            <w:tcBorders>
              <w:right w:val="none"/>
            </w:tcBorders>
            <w:tcMar>
              <w:top w:type="dxa" w:w="80"/>
              <w:left w:type="dxa" w:w="120"/>
              <w:bottom w:type="dxa" w:w="80"/>
              <w:right w:type="dxa" w:w="120"/>
            </w:tcMar>
            <w:vAlign w:val="center"/>
          </w:tcPr>
          <w:p>
            <w:pPr>
              <w:pStyle w:val="MdTableCell"/>
            </w:pPr>
            <w:r>
              <w:t xml:space="preserve">2 × H6 خلال الستة أشهر التالية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سرعة المتابعة</w:t>
            </w:r>
          </w:p>
        </w:tc>
        <w:tc>
          <w:tcPr>
            <w:tcBorders>
              <w:right w:val="none"/>
            </w:tcBorders>
            <w:tcMar>
              <w:top w:type="dxa" w:w="80"/>
              <w:left w:type="dxa" w:w="120"/>
              <w:bottom w:type="dxa" w:w="80"/>
              <w:right w:type="dxa" w:w="120"/>
            </w:tcMar>
            <w:vAlign w:val="center"/>
          </w:tcPr>
          <w:p>
            <w:pPr>
              <w:pStyle w:val="MdTableCell"/>
            </w:pPr>
            <w:r>
              <w:t xml:space="preserve">الزمن بين دخول العميل وأول إجراء موثق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جودة القمع</w:t>
            </w:r>
          </w:p>
        </w:tc>
        <w:tc>
          <w:tcPr>
            <w:tcBorders>
              <w:right w:val="none"/>
            </w:tcBorders>
            <w:tcMar>
              <w:top w:type="dxa" w:w="80"/>
              <w:left w:type="dxa" w:w="120"/>
              <w:bottom w:type="dxa" w:w="80"/>
              <w:right w:type="dxa" w:w="120"/>
            </w:tcMar>
            <w:vAlign w:val="center"/>
          </w:tcPr>
          <w:p>
            <w:pPr>
              <w:pStyle w:val="MdTableCell"/>
            </w:pPr>
            <w:r>
              <w:t xml:space="preserve">نسبة الانتقال من تسجيل إلى تأهيل إلى معاينة إلى حجز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دقة المخزون</w:t>
            </w:r>
          </w:p>
        </w:tc>
        <w:tc>
          <w:tcPr>
            <w:tcBorders>
              <w:right w:val="none"/>
            </w:tcBorders>
            <w:tcMar>
              <w:top w:type="dxa" w:w="80"/>
              <w:left w:type="dxa" w:w="120"/>
              <w:bottom w:type="dxa" w:w="80"/>
              <w:right w:type="dxa" w:w="120"/>
            </w:tcMar>
            <w:vAlign w:val="center"/>
          </w:tcPr>
          <w:p>
            <w:pPr>
              <w:pStyle w:val="MdTableCell"/>
            </w:pPr>
            <w:r>
              <w:t xml:space="preserve">نسبة الوحدات التي بياناتها مؤكدة ومحدثة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مصادر الحجوزات</w:t>
            </w:r>
          </w:p>
        </w:tc>
        <w:tc>
          <w:tcPr>
            <w:tcBorders>
              <w:right w:val="none"/>
            </w:tcBorders>
            <w:tcMar>
              <w:top w:type="dxa" w:w="80"/>
              <w:left w:type="dxa" w:w="120"/>
              <w:bottom w:type="dxa" w:w="80"/>
              <w:right w:type="dxa" w:w="120"/>
            </w:tcMar>
            <w:vAlign w:val="center"/>
          </w:tcPr>
          <w:p>
            <w:pPr>
              <w:pStyle w:val="MdTableCell"/>
            </w:pPr>
            <w:r>
              <w:t xml:space="preserve">حصة البروكرز والإعلانات والاتصالات والزيارات وغيرها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التحصيل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المبالغ المسددة والمستحقات، بصلاحيات مالية مقيدة، مع تقرير متابعة لمسؤول التطوير</w:t>
            </w:r>
          </w:p>
        </w:tc>
      </w:tr>
    </w:tbl>
    <w:p>
      <w:pPr>
        <w:pStyle w:val="Heading2"/>
        <w:pStyle w:val="MdHeading2"/>
      </w:pPr>
      <w:r>
        <w:t xml:space="preserve">خامسًا: نص الإلقاء أمام مجلس الإدارة</w:t>
      </w:r>
    </w:p>
    <w:p>
      <w:pPr>
        <w:pStyle w:val="Heading3"/>
        <w:pStyle w:val="MdHeading3"/>
      </w:pPr>
      <w:r>
        <w:t xml:space="preserve">افتتاح الاجتماع</w:t>
      </w:r>
    </w:p>
    <w:p>
      <w:pPr>
        <w:pStyle w:val="MdParagraph"/>
      </w:pPr>
      <w:r>
        <w:t xml:space="preserve">"السيد المهندس/ محمد البدري، السيد رئيس مجلس الإدارة، أشكركم على إتاحة الفرصة لعرض خطة العمل والتسويق والمبيعات والتشغيل الخاصة بمشروع كايرو بلازا. الهدف من العرض ليس زيادة الإعلان فقط، وإنما بناء منظومة شركة واضحة تبدأ من تأكيد الوحدات والأسعار، وتمر بالتسويق والمبيعات والمتابعة، وتنتهي بتقارير يمكن للإدارة أن تتخذ على أساسها قرارًا دقيقًا."</w:t>
      </w:r>
    </w:p>
    <w:p>
      <w:pPr>
        <w:pStyle w:val="MdSpace"/>
        <w:spacing w:before="0" w:after="60"/>
      </w:pPr>
    </w:p>
    <w:p>
      <w:pPr>
        <w:pStyle w:val="Heading3"/>
        <w:pStyle w:val="MdHeading3"/>
      </w:pPr>
      <w:r>
        <w:t xml:space="preserve">عرض القيمة والوحدات</w:t>
      </w:r>
    </w:p>
    <w:p>
      <w:pPr>
        <w:pStyle w:val="MdParagraph"/>
      </w:pPr>
      <w:r>
        <w:t xml:space="preserve">"وفق البيانات والمرفقات المقدمة، تبلغ القيمة الحسابية الإرشادية للأرض 404,668,000 جنيه، وتبلغ قيمة الوحدات المتاحة وفق الملفات 68,678,700 جنيه. وبالجمع الحسابي تبلغ القيمة الإرشادية للأرض والوحدات 473,346,700 جنيه. أؤكد أن هذا ليس تقييمًا نهائيًا ولا سعر بيع للمشروع، وأن المطلوب أولًا هو تأكيد الوحدات والأسعار والحالات وعدم وجود ازدواج في احتساب القيمة."</w:t>
      </w:r>
    </w:p>
    <w:p>
      <w:pPr>
        <w:pStyle w:val="MdSpace"/>
        <w:spacing w:before="0" w:after="60"/>
      </w:pPr>
    </w:p>
    <w:p>
      <w:pPr>
        <w:pStyle w:val="Heading3"/>
        <w:pStyle w:val="MdHeading3"/>
      </w:pPr>
      <w:r>
        <w:t xml:space="preserve">عرض المشكلة التشغيلية والحل</w:t>
      </w:r>
    </w:p>
    <w:p>
      <w:pPr>
        <w:pStyle w:val="MdParagraph"/>
      </w:pPr>
      <w:r>
        <w:t xml:space="preserve">"التحدي الأساسي ليس الوصول إلى العميل فقط، بل ضمان أن تكون المعلومة التي يصل إليها صحيحة، وأن يكون لكل عميل مسؤول وموعد متابعة ونتيجة واضحة. لذلك نقترح نظام شركة متكاملًا، وليس ملفًا منفصلًا للحملة. النظام سيجمع المخزون والعملاء والتسجيلات والحجوزات والعقود والتحصيل عند موافقة الإدارة، مع صلاحيات مختلفة وسجل لكل تعديل."</w:t>
      </w:r>
    </w:p>
    <w:p>
      <w:pPr>
        <w:pStyle w:val="MdSpace"/>
        <w:spacing w:before="0" w:after="60"/>
      </w:pPr>
    </w:p>
    <w:p>
      <w:pPr>
        <w:pStyle w:val="Heading3"/>
        <w:pStyle w:val="MdHeading3"/>
      </w:pPr>
      <w:r>
        <w:t xml:space="preserve">عرض الصلاحيات والملفات السابقة</w:t>
      </w:r>
    </w:p>
    <w:p>
      <w:pPr>
        <w:pStyle w:val="MdParagraph"/>
      </w:pPr>
      <w:r>
        <w:t xml:space="preserve">"نطلب اعتماد صلاحية الاطلاع على ملفات البيع والحجوزات السابقة، وعلى مبالغ التحصيل إذا سمحت الإدارة وبالقدر اللازم للعمل. هذه الصلاحية لا تعني فتح البيانات للجميع؛ بل تعني تصنيفها وربطها بالمستخدم المناسب. الإدارة العليا ترى الصورة الكاملة، والمبيعات ترى ما يلزم للبيع، والمالية ترى ما يلزم للتحصيل، وكل تعديل أو دخول يكون مسجلًا."</w:t>
      </w:r>
    </w:p>
    <w:p>
      <w:pPr>
        <w:pStyle w:val="MdSpace"/>
        <w:spacing w:before="0" w:after="60"/>
      </w:pPr>
    </w:p>
    <w:p>
      <w:pPr>
        <w:pStyle w:val="Heading3"/>
        <w:pStyle w:val="MdHeading3"/>
      </w:pPr>
      <w:r>
        <w:t xml:space="preserve">عرض الهيكل التنظيمي</w:t>
      </w:r>
    </w:p>
    <w:p>
      <w:pPr>
        <w:pStyle w:val="MdParagraph"/>
      </w:pPr>
      <w:r>
        <w:t xml:space="preserve">"نبدأ بفريق صغير واضح المسؤولية: مسؤول تطوير الأعمال والتسويق والمبيعات، مسؤول مبيعات وتأجير تجاري، مسؤول تسويق رقمي ومحتوى، ومنسق CRM وبيانات، مع دعم تصوير وتصميم واستشارة قانونية وهندسية عند الحاجة. خلال الستة أشهر التالية لا نزيد العدد تلقائيًا؛ نزيده عندما تثبت البيانات أن حجم العملاء أو المعاينات أو الحجوزات يحتاج إلى قدرة إضافية."</w:t>
      </w:r>
    </w:p>
    <w:p>
      <w:pPr>
        <w:pStyle w:val="MdSpace"/>
        <w:spacing w:before="0" w:after="60"/>
      </w:pPr>
    </w:p>
    <w:p>
      <w:pPr>
        <w:pStyle w:val="Heading3"/>
        <w:pStyle w:val="MdHeading3"/>
      </w:pPr>
      <w:r>
        <w:t xml:space="preserve">عرض الهدف التجاري</w:t>
      </w:r>
    </w:p>
    <w:p>
      <w:pPr>
        <w:pStyle w:val="MdParagraph"/>
      </w:pPr>
      <w:r>
        <w:t xml:space="preserve">"الهدف قابل للقياس. نحتاج من الإدارة اعتماد خط الأساس H6، أي عدد التسجيلات أو الحجوزات المعتمدة خلال آخر ستة أشهر. ثم يكون التارجت للستة أشهر التالية ضعف هذا الرقم، أي 2×H6. هذا الهدف يدعم السعي إلى بيع الوحدات المتاحة خلال النصف الأول من 2027، لكنه ليس وعدًا غير مشروط؛ فالنتيجة مرتبطة بتأكيد المخزون، والأسعار، وسرعة التسليم، وجودة المتابعة، والطلب الفعلي."</w:t>
      </w:r>
    </w:p>
    <w:p>
      <w:pPr>
        <w:pStyle w:val="MdSpace"/>
        <w:spacing w:before="0" w:after="60"/>
      </w:pPr>
    </w:p>
    <w:p>
      <w:pPr>
        <w:pStyle w:val="Heading3"/>
        <w:pStyle w:val="MdHeading3"/>
      </w:pPr>
      <w:r>
        <w:t xml:space="preserve">عرض البروكرز والسياسة التجارية</w:t>
      </w:r>
    </w:p>
    <w:p>
      <w:pPr>
        <w:pStyle w:val="MdParagraph"/>
      </w:pPr>
      <w:r>
        <w:t xml:space="preserve">"نقترح اعتماد عمولة البروكرز بنسبة 6% من إجمالي التعاقد عندما يسدد العميل أكثر من 75% من قيمة الوحدة. وإذا كانت نسبة السداد أقل من 75%، تحسب العمولة من المبالغ المسددة فعليًا. كما يمكن للإدارة اعتماد حد أدنى 4% إذا رأت ذلك مناسبًا. وأي زيادة سعرية تصل إلى 10% تكون دراسة لاحقة وتدريجية بعد المرحلة الأولى، وليست قرارًا تلقائيًا عند البداية."</w:t>
      </w:r>
    </w:p>
    <w:p>
      <w:pPr>
        <w:pStyle w:val="MdSpace"/>
        <w:spacing w:before="0" w:after="60"/>
      </w:pPr>
    </w:p>
    <w:p>
      <w:pPr>
        <w:pStyle w:val="Heading3"/>
        <w:pStyle w:val="MdHeading3"/>
      </w:pPr>
      <w:r>
        <w:t xml:space="preserve">عرض المطلوب من المجلس</w:t>
      </w:r>
    </w:p>
    <w:p>
      <w:pPr>
        <w:pStyle w:val="MdParagraph"/>
      </w:pPr>
      <w:r>
        <w:t xml:space="preserve">"المطلوب اليوم هو اعتماد الإطار: تأكيد الوحدات والبيانات، السماح بالاطلاع المنظم على الملفات السابقة والتحصيل عند الموافقة، اعتماد إنشاء النظام والصلاحيات، اعتماد الوظائف من حيث المبدأ، اعتماد عمولة البروكرز بصيغتها، وتحديد نطاق ميزانية التسويق من الإدارة العليا دون فرض رقم مسبق."</w:t>
      </w:r>
    </w:p>
    <w:p>
      <w:pPr>
        <w:pStyle w:val="MdSpace"/>
        <w:spacing w:before="0" w:after="60"/>
      </w:pPr>
    </w:p>
    <w:p>
      <w:pPr>
        <w:pStyle w:val="Heading3"/>
        <w:pStyle w:val="MdHeading3"/>
      </w:pPr>
      <w:r>
        <w:t xml:space="preserve">الخاتمة</w:t>
      </w:r>
    </w:p>
    <w:p>
      <w:pPr>
        <w:pStyle w:val="MdParagraph"/>
      </w:pPr>
      <w:r>
        <w:t xml:space="preserve">"بعد الاعتماد، تبدأ المرحلة الأولى من 22 أغسطس حتى 31 ديسمبر 2026 ببناء البيانات والنظام وإطلاق التنفيذ المنضبط. وفي نهاية المرحلة نرفع تقريرًا يقارن النتائج بخط الأساس H6. أما استكمال التشطيبات، وتوسيع الإعلان، وعدم بيع الأرض، ونقل المكتب، فتظل مقترحات مستقبلية تعرض على الإدارة بعد ظهور النتائج، وليس جزءًا من التزام فوري. شكرًا لحضراتكم، وأنا مستعد لمناقشة كل بند وتحديد المسؤول والموعد والمخرج المطلوب."</w:t>
      </w:r>
    </w:p>
    <w:p>
      <w:pPr>
        <w:pStyle w:val="MdSpace"/>
        <w:spacing w:before="0" w:after="60"/>
      </w:pPr>
    </w:p>
    <w:p>
      <w:pPr>
        <w:pStyle w:val="Heading2"/>
        <w:pStyle w:val="MdHeading2"/>
      </w:pPr>
      <w:r>
        <w:t xml:space="preserve">سادسًا: أسئلة متوقعة وإجابات مختصرة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السؤال</w:t>
            </w:r>
          </w:p>
        </w:tc>
        <w:tc>
          <w:tcPr>
            <w:tcBorders>
              <w:right w:val="none"/>
            </w:tcBorders>
            <w:tcMar>
              <w:top w:type="dxa" w:w="100"/>
              <w:left w:type="dxa" w:w="120"/>
              <w:bottom w:type="dxa" w:w="100"/>
              <w:right w:type="dxa" w:w="120"/>
            </w:tcMar>
            <w:vAlign w:val="center"/>
          </w:tcPr>
          <w:p>
            <w:pPr>
              <w:pStyle w:val="MdTableHeader"/>
            </w:pPr>
            <w:r>
              <w:t xml:space="preserve">الإجابة المقترحة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لماذا نحتاج ملفات السنوات السابقة؟</w:t>
            </w:r>
          </w:p>
        </w:tc>
        <w:tc>
          <w:tcPr>
            <w:tcBorders>
              <w:right w:val="none"/>
            </w:tcBorders>
            <w:tcMar>
              <w:top w:type="dxa" w:w="80"/>
              <w:left w:type="dxa" w:w="120"/>
              <w:bottom w:type="dxa" w:w="80"/>
              <w:right w:type="dxa" w:w="120"/>
            </w:tcMar>
            <w:vAlign w:val="center"/>
          </w:tcPr>
          <w:p>
            <w:pPr>
              <w:pStyle w:val="MdTableCell"/>
            </w:pPr>
            <w:r>
              <w:t xml:space="preserve">لبناء خط أساس صحيح، منع تكرار العملاء، وفهم ما أدى إلى تسجيل أو حجز فعلي.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هل الاطلاع يعني صلاحية تعديل أو صرف؟</w:t>
            </w:r>
          </w:p>
        </w:tc>
        <w:tc>
          <w:tcPr>
            <w:tcBorders>
              <w:right w:val="none"/>
            </w:tcBorders>
            <w:tcMar>
              <w:top w:type="dxa" w:w="80"/>
              <w:left w:type="dxa" w:w="120"/>
              <w:bottom w:type="dxa" w:w="80"/>
              <w:right w:type="dxa" w:w="120"/>
            </w:tcMar>
            <w:vAlign w:val="center"/>
          </w:tcPr>
          <w:p>
            <w:pPr>
              <w:pStyle w:val="MdTableCell"/>
            </w:pPr>
            <w:r>
              <w:t xml:space="preserve">لا. الاطلاع منفصل عن التعديل والاعتماد والتحصيل، وكل مستوى له حدود واضحة.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هل ضعف التسجيلات مضمون؟</w:t>
            </w:r>
          </w:p>
        </w:tc>
        <w:tc>
          <w:tcPr>
            <w:tcBorders>
              <w:right w:val="none"/>
            </w:tcBorders>
            <w:tcMar>
              <w:top w:type="dxa" w:w="80"/>
              <w:left w:type="dxa" w:w="120"/>
              <w:bottom w:type="dxa" w:w="80"/>
              <w:right w:type="dxa" w:w="120"/>
            </w:tcMar>
            <w:vAlign w:val="center"/>
          </w:tcPr>
          <w:p>
            <w:pPr>
              <w:pStyle w:val="MdTableCell"/>
            </w:pPr>
            <w:r>
              <w:t xml:space="preserve">لا. هو تارجت إداري قابل للقياس، ويُراجع بعد النتائج الفعلية.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لماذا 6% للبروكرز؟</w:t>
            </w:r>
          </w:p>
        </w:tc>
        <w:tc>
          <w:tcPr>
            <w:tcBorders>
              <w:right w:val="none"/>
            </w:tcBorders>
            <w:tcMar>
              <w:top w:type="dxa" w:w="80"/>
              <w:left w:type="dxa" w:w="120"/>
              <w:bottom w:type="dxa" w:w="80"/>
              <w:right w:type="dxa" w:w="120"/>
            </w:tcMar>
            <w:vAlign w:val="center"/>
          </w:tcPr>
          <w:p>
            <w:pPr>
              <w:pStyle w:val="MdTableCell"/>
            </w:pPr>
            <w:r>
              <w:t xml:space="preserve">لأنها السياسة المقترحة للاعتماد؛ وتُحمى السيولة باحتسابها من المسدد عند سداد أقل من 75%.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هل نبدأ بتعيين فريق كبير؟</w:t>
            </w:r>
          </w:p>
        </w:tc>
        <w:tc>
          <w:tcPr>
            <w:tcBorders>
              <w:right w:val="none"/>
            </w:tcBorders>
            <w:tcMar>
              <w:top w:type="dxa" w:w="80"/>
              <w:left w:type="dxa" w:w="120"/>
              <w:bottom w:type="dxa" w:w="80"/>
              <w:right w:type="dxa" w:w="120"/>
            </w:tcMar>
            <w:vAlign w:val="center"/>
          </w:tcPr>
          <w:p>
            <w:pPr>
              <w:pStyle w:val="MdTableCell"/>
            </w:pPr>
            <w:r>
              <w:t xml:space="preserve">لا. نبدأ بالحد الأدنى، ثم نزيد الوظائف عند ثبوت الحاجة من مؤشرات القمع البيعي.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هل قررنا استكمال الأرض والتشطيبات؟</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لا. هذه مقترحات مستقبلية مرتبطة بالنتائج ودراسة مستقلة وقرار الإدارة.</w:t>
            </w:r>
          </w:p>
        </w:tc>
      </w:tr>
    </w:tbl>
    <w:p>
      <w:pPr>
        <w:pStyle w:val="Heading2"/>
        <w:pStyle w:val="MdHeading2"/>
      </w:pPr>
      <w:r>
        <w:t xml:space="preserve">سابعًا: قرارات الاجتماع المطلوب توثيقها</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القرار</w:t>
            </w:r>
          </w:p>
        </w:tc>
        <w:tc>
          <w:tcPr>
            <w:tcBorders>
              <w:right w:val="none"/>
            </w:tcBorders>
            <w:tcMar>
              <w:top w:type="dxa" w:w="100"/>
              <w:left w:type="dxa" w:w="120"/>
              <w:bottom w:type="dxa" w:w="100"/>
              <w:right w:type="dxa" w:w="120"/>
            </w:tcMar>
            <w:vAlign w:val="center"/>
          </w:tcPr>
          <w:p>
            <w:pPr>
              <w:pStyle w:val="MdTableHeader"/>
            </w:pPr>
            <w:r>
              <w:t xml:space="preserve">حالة الاعتماد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خط الأساس H6 وتعريف التسجيل والحجز</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نظام الشركة والـCRM</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مستويات الصلاحيات</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السماح بالاطلاع على ملفات البيع السابقة</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السماح بالاطلاع على التحصيل عند الحاجة</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عمولة 6% عند سداد أكثر من 75%، ومن المسدد عند الأقل</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الوظائف من حيث المبدأ</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تحديد نطاق ميزانية التسويق</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2"/>
        <w:pStyle w:val="MdHeading2"/>
      </w:pPr>
      <w:r>
        <w:t xml:space="preserve">References</w:t>
      </w:r>
    </w:p>
    <w:p>
      <w:pPr>
        <w:pStyle w:val="MdListItem"/>
        <w:numPr>
          <w:ilvl w:val="0"/>
          <w:numId w:val="2"/>
        </w:numPr>
      </w:pPr>
      <w:r>
        <w:t xml:space="preserve">بيانات الوحدات والأسعار والحجوزات والأرض: الملفات والبيانات المقدمة من المستخدم.</w:t>
      </w:r>
    </w:p>
    <w:p>
      <w:pPr>
        <w:pStyle w:val="MdListItem"/>
        <w:numPr>
          <w:ilvl w:val="0"/>
          <w:numId w:val="2"/>
        </w:numPr>
      </w:pPr>
      <w:r>
        <w:t xml:space="preserve">تعريفات H6 والتارجت والوظائف: صياغة تشغيلية مقترحة للاعتماد الإداري.</w:t>
      </w:r>
    </w:p>
    <w:p>
      <w:pPr>
        <w:pStyle w:val="MdSpace"/>
        <w:spacing w:before="0" w:after="60"/>
      </w:pPr>
    </w:p>
    <w:p>
      <w:pPr>
        <w:pStyle w:val="Heading1"/>
        <w:pStyle w:val="MdHeading1"/>
      </w:pPr>
      <w:r>
        <w:t xml:space="preserve">مصدر مدمج: cairo_plaza_campaign_proposal.md</w:t>
      </w:r>
    </w:p>
    <w:p>
      <w:pPr>
        <w:pStyle w:val="Heading1"/>
        <w:pStyle w:val="MdHeading1"/>
      </w:pPr>
      <w:r>
        <w:t xml:space="preserve">المقترح الشامل للحملة التسويقية والمبيعات</w:t>
      </w:r>
    </w:p>
    <w:p>
      <w:pPr>
        <w:pStyle w:val="Heading2"/>
        <w:pStyle w:val="MdHeading2"/>
      </w:pPr>
      <w:r>
        <w:t xml:space="preserve">مشروع كايرو بلازا — المطرية</w:t>
      </w:r>
    </w:p>
    <w:p>
      <w:pPr>
        <w:pStyle w:val="MdParagraph"/>
      </w:pPr>
      <w:r>
        <w:rPr>
          <w:rStyle w:val="MdStrong"/>
          <w:b/>
          <w:bCs/>
        </w:rPr>
        <w:t xml:space="preserve">إعداد:</w:t>
      </w:r>
      <w:r>
        <w:t xml:space="preserve"> Manus AI</w:t>
      </w:r>
      <w:r>
        <w:rPr>
          <w:rStyle w:val="MdBr"/>
        </w:rPr>
        <w:br/>
        <w:t xml:space="preserve"/>
      </w:r>
      <w:r>
        <w:rPr>
          <w:rStyle w:val="MdStrong"/>
          <w:b/>
          <w:bCs/>
        </w:rPr>
        <w:t xml:space="preserve">تاريخ الإعداد:</w:t>
      </w:r>
      <w:r>
        <w:t xml:space="preserve"> أغسطس 2026</w:t>
      </w:r>
      <w:r>
        <w:rPr>
          <w:rStyle w:val="MdBr"/>
        </w:rPr>
        <w:br/>
        <w:t xml:space="preserve"/>
      </w:r>
      <w:r>
        <w:rPr>
          <w:rStyle w:val="MdStrong"/>
          <w:b/>
          <w:bCs/>
        </w:rPr>
        <w:t xml:space="preserve">مدة الخطة:</w:t>
      </w:r>
      <w:r>
        <w:t xml:space="preserve"> المرحلة الأولى من 22 أغسطس إلى 31 ديسمبر 2026، مع تمديد تشغيلي إلى 30 يونيو 2027 عند اعتماد الإدارة.</w:t>
      </w:r>
    </w:p>
    <w:p>
      <w:pPr>
        <w:pStyle w:val="MdSpace"/>
        <w:spacing w:before="0" w:after="60"/>
      </w:pPr>
    </w:p>
    <w:p>
      <w:pPr>
        <w:pStyle w:val="MdBlockquote"/>
      </w:pPr>
      <w:r>
        <w:rPr>
          <w:rStyle w:val="MdStrong"/>
          <w:b/>
          <w:bCs/>
        </w:rPr>
        <w:t xml:space="preserve">تنبيه تنفيذي:</w:t>
      </w:r>
      <w:r>
        <w:t xml:space="preserve"> هذا مقترح تسويقي وتشغيلي مبني على البيانات والمرفقات المقدمة. لا يجوز نشر أي وحدة أو سعر أو وعد بالتسليم قبل تأكيده من الإدارة والمطور والمسؤول المالي والإداري.</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الملخص التنفيذي</w:t>
      </w:r>
    </w:p>
    <w:p>
      <w:pPr>
        <w:pStyle w:val="MdParagraph"/>
      </w:pPr>
      <w:r>
        <w:t xml:space="preserve">تهدف الحملة إلى تحويل مشروع كايرو بلازا من مخزون وحدات يحتاج إلى تنشيط تجاري إلى منظومة بيع منظمة تستهدف العملاء الأكثر احتمالًا للشراء أو الإيجار، مع ربط كل استفسار بمصدره وموظفه وموعد متابعته ونتيجته النهائية.</w:t>
      </w:r>
    </w:p>
    <w:p>
      <w:pPr>
        <w:pStyle w:val="MdSpace"/>
        <w:spacing w:before="0" w:after="60"/>
      </w:pPr>
    </w:p>
    <w:p>
      <w:pPr>
        <w:pStyle w:val="MdParagraph"/>
      </w:pPr>
      <w:r>
        <w:t xml:space="preserve">تتكون الوحدات المتاحة وفق الملفات من 75 وحدة: 42 وحدة إدارية و33 وحدة تجارية، بإجمالي مساحة 3,141.70 م² وقيمة ملفات قدرها 68,678,700 جنيه. وتبلغ قيمة الأرض وفق البيانات المقدمة 404,668,000 جنيه. هذه أرقام إرشادية تحتاج إلى اعتماد وتأكيد قبل استخدامها في الإعلانات.</w:t>
      </w:r>
    </w:p>
    <w:p>
      <w:pPr>
        <w:pStyle w:val="MdSpace"/>
        <w:spacing w:before="0" w:after="60"/>
      </w:pPr>
    </w:p>
    <w:p>
      <w:pPr>
        <w:pStyle w:val="MdParagraph"/>
      </w:pPr>
      <w:r>
        <w:t xml:space="preserve">الهدف التجاري هو اعتماد خط الأساس H6، أي إجمالي التسجيلات أو الحجوزات المعتمدة خلال آخر 6 أشهر، ثم استهداف </w:t>
      </w:r>
      <w:r>
        <w:rPr>
          <w:rStyle w:val="MdStrong"/>
          <w:b/>
          <w:bCs/>
        </w:rPr>
        <w:t xml:space="preserve">2 × H6 خلال الستة أشهر التالية</w:t>
      </w:r>
      <w:r>
        <w:t xml:space="preserve">. لا تعتمد الحملة على عدد الرسائل فقط، بل على العملاء المؤهلين، والمعاينات، والعروض، والحجوزات المعتمدة، والتحصيل الفعلي.</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هدف الحملة</w:t>
      </w:r>
    </w:p>
    <w:p>
      <w:pPr>
        <w:pStyle w:val="Heading3"/>
        <w:pStyle w:val="MdHeading3"/>
      </w:pPr>
      <w:r>
        <w:t xml:space="preserve">الهدف الأساسي</w:t>
      </w:r>
    </w:p>
    <w:p>
      <w:pPr>
        <w:pStyle w:val="MdParagraph"/>
      </w:pPr>
      <w:r>
        <w:t xml:space="preserve">الوصول إلى عملاء حقيقيين من أصحاب القرار والأنشطة القابلة للتشغيل، وتحويلهم إلى معاينات ثم حجوزات معتمدة، مع الحفاظ على دقة بيانات الوحدات والأسعار وحالة التسليم.</w:t>
      </w:r>
    </w:p>
    <w:p>
      <w:pPr>
        <w:pStyle w:val="MdSpace"/>
        <w:spacing w:before="0" w:after="60"/>
      </w:pPr>
    </w:p>
    <w:p>
      <w:pPr>
        <w:pStyle w:val="Heading3"/>
        <w:pStyle w:val="MdHeading3"/>
      </w:pPr>
      <w:r>
        <w:t xml:space="preserve">الأهداف المرحلية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الفترة</w:t>
            </w:r>
          </w:p>
        </w:tc>
        <w:tc>
          <w:tcPr>
            <w:tcBorders>
              <w:right w:val="none"/>
            </w:tcBorders>
            <w:tcMar>
              <w:top w:type="dxa" w:w="100"/>
              <w:left w:type="dxa" w:w="120"/>
              <w:bottom w:type="dxa" w:w="100"/>
              <w:right w:type="dxa" w:w="120"/>
            </w:tcMar>
            <w:vAlign w:val="center"/>
          </w:tcPr>
          <w:p>
            <w:pPr>
              <w:pStyle w:val="MdTableHeader"/>
            </w:pPr>
            <w:r>
              <w:t xml:space="preserve">الهدف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أول 14 يومًا</w:t>
            </w:r>
          </w:p>
        </w:tc>
        <w:tc>
          <w:tcPr>
            <w:tcBorders>
              <w:right w:val="none"/>
            </w:tcBorders>
            <w:tcMar>
              <w:top w:type="dxa" w:w="80"/>
              <w:left w:type="dxa" w:w="120"/>
              <w:bottom w:type="dxa" w:w="80"/>
              <w:right w:type="dxa" w:w="120"/>
            </w:tcMar>
            <w:vAlign w:val="center"/>
          </w:tcPr>
          <w:p>
            <w:pPr>
              <w:pStyle w:val="MdTableCell"/>
            </w:pPr>
            <w:r>
              <w:t xml:space="preserve">تأكيد المخزون والأسعار، إعداد المواد، تشغيل نظام المتابعة، وبناء قائمة العملاء والبراندات والبروكرز.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حتى 31 ديسمبر 2026</w:t>
            </w:r>
          </w:p>
        </w:tc>
        <w:tc>
          <w:tcPr>
            <w:tcBorders>
              <w:right w:val="none"/>
            </w:tcBorders>
            <w:tcMar>
              <w:top w:type="dxa" w:w="80"/>
              <w:left w:type="dxa" w:w="120"/>
              <w:bottom w:type="dxa" w:w="80"/>
              <w:right w:type="dxa" w:w="120"/>
            </w:tcMar>
            <w:vAlign w:val="center"/>
          </w:tcPr>
          <w:p>
            <w:pPr>
              <w:pStyle w:val="MdTableCell"/>
            </w:pPr>
            <w:r>
              <w:t xml:space="preserve">تشغيل القنوات المعتمدة، قياس جودة العملاء والمعاينات والحجوزات، وإصدار تقرير مرحلي للإدارة.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أول 6 أشهر تالية</w:t>
            </w:r>
          </w:p>
        </w:tc>
        <w:tc>
          <w:tcPr>
            <w:tcBorders>
              <w:right w:val="none"/>
            </w:tcBorders>
            <w:tcMar>
              <w:top w:type="dxa" w:w="80"/>
              <w:left w:type="dxa" w:w="120"/>
              <w:bottom w:type="dxa" w:w="80"/>
              <w:right w:type="dxa" w:w="120"/>
            </w:tcMar>
            <w:vAlign w:val="center"/>
          </w:tcPr>
          <w:p>
            <w:pPr>
              <w:pStyle w:val="MdTableCell"/>
            </w:pPr>
            <w:r>
              <w:t xml:space="preserve">تحقيق ضعف H6 في التسجيلات أو الحجوزات المعتمدة، مع مراجعة أسبوعية للتارجت.</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النصف الأول من 2027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السعي لبيع الوحدات المتاحة، دون تقديم البيع الكامل كضمان.</w:t>
            </w:r>
          </w:p>
        </w:tc>
      </w:tr>
    </w:tbl>
    <w:p>
      <w:pPr>
        <w:pStyle w:val="MdHr"/>
        <w:pBdr>
          <w:bottom w:val="single" w:color="auto" w:sz="6" w:space="1"/>
        </w:pBdr>
      </w:pPr>
    </w:p>
    <w:p>
      <w:pPr>
        <w:pStyle w:val="MdSpace"/>
        <w:spacing w:before="0" w:after="60"/>
      </w:pPr>
    </w:p>
    <w:p>
      <w:pPr>
        <w:pStyle w:val="Heading2"/>
        <w:pStyle w:val="MdHeading2"/>
      </w:pPr>
      <w:r>
        <w:t xml:space="preserve">3. الفئات المستهدفة</w:t>
      </w:r>
    </w:p>
    <w:p>
      <w:pPr>
        <w:pStyle w:val="Heading3"/>
        <w:pStyle w:val="MdHeading3"/>
      </w:pPr>
      <w:r>
        <w:t xml:space="preserve">أ. العملاء التجاريون</w:t>
      </w:r>
    </w:p>
    <w:p>
      <w:pPr>
        <w:pStyle w:val="MdParagraph"/>
      </w:pPr>
      <w:r>
        <w:t xml:space="preserve">تشمل الفئة أصحاب البراندات، مديري التوسع، أصحاب المحلات، الصيدليات، المطاعم، محلات الأغذية، محلات الملابس، خدمات التجزئة، مراكز الاتصالات، ومقدمي الخدمات اليومية. ويجب تقسيمهم إلى صاحب قرار، مؤثر في القرار، ووسيط أو مستشار.</w:t>
      </w:r>
    </w:p>
    <w:p>
      <w:pPr>
        <w:pStyle w:val="MdSpace"/>
        <w:spacing w:before="0" w:after="60"/>
      </w:pPr>
    </w:p>
    <w:p>
      <w:pPr>
        <w:pStyle w:val="Heading3"/>
        <w:pStyle w:val="MdHeading3"/>
      </w:pPr>
      <w:r>
        <w:t xml:space="preserve">ب. القطاع الطبي والإداري</w:t>
      </w:r>
    </w:p>
    <w:p>
      <w:pPr>
        <w:pStyle w:val="MdParagraph"/>
      </w:pPr>
      <w:r>
        <w:t xml:space="preserve">تشمل الأطباء، العيادات، معامل التحاليل، مراكز الأشعة، شركات الخدمات الطبية، مكاتب المحاماة والمحاسبة، شركات الشحن، مراكز التدريب، والشركات الصغيرة التي تحتاج إلى مقر في منطقة يسهل الوصول إليها.</w:t>
      </w:r>
    </w:p>
    <w:p>
      <w:pPr>
        <w:pStyle w:val="MdSpace"/>
        <w:spacing w:before="0" w:after="60"/>
      </w:pPr>
    </w:p>
    <w:p>
      <w:pPr>
        <w:pStyle w:val="Heading3"/>
        <w:pStyle w:val="MdHeading3"/>
      </w:pPr>
      <w:r>
        <w:t xml:space="preserve">ج. البروكرز</w:t>
      </w:r>
    </w:p>
    <w:p>
      <w:pPr>
        <w:pStyle w:val="MdParagraph"/>
      </w:pPr>
      <w:r>
        <w:t xml:space="preserve">يتم بناء قائمة بروكرز نشطة داخل القاهرة والمناطق المحيطة، مع تعريف واضح للوحدات والأسعار والعمولة وشرط الاستحقاق. تكون العمولة 6% من إجمالي التعاقد عند سداد العميل أكثر من 75% من قيمة الوحدة، وإذا كان السداد 75% أو أقل تحسب العمولة من المبالغ المسددة فعليًا، وفق القرار المكتوب من الإدارة.</w:t>
      </w:r>
    </w:p>
    <w:p>
      <w:pPr>
        <w:pStyle w:val="MdSpace"/>
        <w:spacing w:before="0" w:after="60"/>
      </w:pPr>
    </w:p>
    <w:p>
      <w:pPr>
        <w:pStyle w:val="Heading3"/>
        <w:pStyle w:val="MdHeading3"/>
      </w:pPr>
      <w:r>
        <w:t xml:space="preserve">د. العملاء السابقون والعملاء المرتبطون بالمشروع</w:t>
      </w:r>
    </w:p>
    <w:p>
      <w:pPr>
        <w:pStyle w:val="MdParagraph"/>
      </w:pPr>
      <w:r>
        <w:t xml:space="preserve">تتم إعادة التواصل وفق موافقة الإدارة وسياسة الخصوصية، مع تصنيف العميل إلى عميل سابق، حاجز، مالك، متعثر، قابل لإعادة التواصل، أو غير مسموح بالتواصل معه. لا يستخدم ملف قديم في حملة جديدة قبل مراجعته وتحديثه.</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التموضع التسويقي المقترح</w:t>
      </w:r>
    </w:p>
    <w:p>
      <w:pPr>
        <w:pStyle w:val="Heading3"/>
        <w:pStyle w:val="MdHeading3"/>
      </w:pPr>
      <w:r>
        <w:t xml:space="preserve">الفكرة الرئيسية</w:t>
      </w:r>
    </w:p>
    <w:p>
      <w:pPr>
        <w:pStyle w:val="MdParagraph"/>
      </w:pPr>
      <w:r>
        <w:rPr>
          <w:rStyle w:val="MdStrong"/>
          <w:b/>
          <w:bCs/>
        </w:rPr>
        <w:t xml:space="preserve">"مقر عمل أو نشاط تجاري في موقع يخدم الوصول والحركة — بوحدات يتم تأكيدها وسعرها وخطتها بوضوح."</w:t>
      </w:r>
    </w:p>
    <w:p>
      <w:pPr>
        <w:pStyle w:val="MdSpace"/>
        <w:spacing w:before="0" w:after="60"/>
      </w:pPr>
    </w:p>
    <w:p>
      <w:pPr>
        <w:pStyle w:val="MdParagraph"/>
      </w:pPr>
      <w:r>
        <w:t xml:space="preserve">لا ينبغي بناء الإعلان على مبالغة أو وعود غير موثقة. قوة الرسالة تكون في وضوح الوحدة، المساحة، النشاط المناسب، حالة التشطيب، الترخيص، خطة السداد، وإمكانية المعاينة.</w:t>
      </w:r>
    </w:p>
    <w:p>
      <w:pPr>
        <w:pStyle w:val="MdSpace"/>
        <w:spacing w:before="0" w:after="60"/>
      </w:pPr>
    </w:p>
    <w:p>
      <w:pPr>
        <w:pStyle w:val="Heading3"/>
        <w:pStyle w:val="MdHeading3"/>
      </w:pPr>
      <w:r>
        <w:t xml:space="preserve">رسائل حسب الفئة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الفئة</w:t>
            </w:r>
          </w:p>
        </w:tc>
        <w:tc>
          <w:tcPr>
            <w:tcBorders>
              <w:right w:val="none"/>
            </w:tcBorders>
            <w:tcMar>
              <w:top w:type="dxa" w:w="100"/>
              <w:left w:type="dxa" w:w="120"/>
              <w:bottom w:type="dxa" w:w="100"/>
              <w:right w:type="dxa" w:w="120"/>
            </w:tcMar>
            <w:vAlign w:val="center"/>
          </w:tcPr>
          <w:p>
            <w:pPr>
              <w:pStyle w:val="MdTableHeader"/>
            </w:pPr>
            <w:r>
              <w:t xml:space="preserve">الرسالة الأساسية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براندات ومحلات</w:t>
            </w:r>
          </w:p>
        </w:tc>
        <w:tc>
          <w:tcPr>
            <w:tcBorders>
              <w:right w:val="none"/>
            </w:tcBorders>
            <w:tcMar>
              <w:top w:type="dxa" w:w="80"/>
              <w:left w:type="dxa" w:w="120"/>
              <w:bottom w:type="dxa" w:w="80"/>
              <w:right w:type="dxa" w:w="120"/>
            </w:tcMar>
            <w:vAlign w:val="center"/>
          </w:tcPr>
          <w:p>
            <w:pPr>
              <w:pStyle w:val="MdTableCell"/>
            </w:pPr>
            <w:r>
              <w:t xml:space="preserve">موقع يصلح للتوسع، مع وحدات تجارية ومساحات مختلفة ومعاينة فعلية.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أطباء وعيادات</w:t>
            </w:r>
          </w:p>
        </w:tc>
        <w:tc>
          <w:tcPr>
            <w:tcBorders>
              <w:right w:val="none"/>
            </w:tcBorders>
            <w:tcMar>
              <w:top w:type="dxa" w:w="80"/>
              <w:left w:type="dxa" w:w="120"/>
              <w:bottom w:type="dxa" w:w="80"/>
              <w:right w:type="dxa" w:w="120"/>
            </w:tcMar>
            <w:vAlign w:val="center"/>
          </w:tcPr>
          <w:p>
            <w:pPr>
              <w:pStyle w:val="MdTableCell"/>
            </w:pPr>
            <w:r>
              <w:t xml:space="preserve">وحدات إدارية يمكن دراسة ملاءمتها للنشاط الطبي بعد تأكيد الترخيص والتجهيز.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صيدليات ومطاعم</w:t>
            </w:r>
          </w:p>
        </w:tc>
        <w:tc>
          <w:tcPr>
            <w:tcBorders>
              <w:right w:val="none"/>
            </w:tcBorders>
            <w:tcMar>
              <w:top w:type="dxa" w:w="80"/>
              <w:left w:type="dxa" w:w="120"/>
              <w:bottom w:type="dxa" w:w="80"/>
              <w:right w:type="dxa" w:w="120"/>
            </w:tcMar>
            <w:vAlign w:val="center"/>
          </w:tcPr>
          <w:p>
            <w:pPr>
              <w:pStyle w:val="MdTableCell"/>
            </w:pPr>
            <w:r>
              <w:t xml:space="preserve">واجهات ومساحات مناسبة للنشاط، مع مراجعة الاشتراطات قبل الالتزام.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شركات ومكاتب</w:t>
            </w:r>
          </w:p>
        </w:tc>
        <w:tc>
          <w:tcPr>
            <w:tcBorders>
              <w:right w:val="none"/>
            </w:tcBorders>
            <w:tcMar>
              <w:top w:type="dxa" w:w="80"/>
              <w:left w:type="dxa" w:w="120"/>
              <w:bottom w:type="dxa" w:w="80"/>
              <w:right w:type="dxa" w:w="120"/>
            </w:tcMar>
            <w:vAlign w:val="center"/>
          </w:tcPr>
          <w:p>
            <w:pPr>
              <w:pStyle w:val="MdTableCell"/>
            </w:pPr>
            <w:r>
              <w:t xml:space="preserve">وحدات إدارية بمساحات متعددة وخيارات سداد تعتمدها الإدارة.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بروكرز</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مخزون واضح، أسعار محدثة، مسؤول متابعة، وسياسة عمولة مكتوبة.</w:t>
            </w:r>
          </w:p>
        </w:tc>
      </w:tr>
    </w:tbl>
    <w:p>
      <w:pPr>
        <w:pStyle w:val="MdHr"/>
        <w:pBdr>
          <w:bottom w:val="single" w:color="auto" w:sz="6" w:space="1"/>
        </w:pBdr>
      </w:pPr>
    </w:p>
    <w:p>
      <w:pPr>
        <w:pStyle w:val="MdSpace"/>
        <w:spacing w:before="0" w:after="60"/>
      </w:pPr>
    </w:p>
    <w:p>
      <w:pPr>
        <w:pStyle w:val="Heading2"/>
        <w:pStyle w:val="MdHeading2"/>
      </w:pPr>
      <w:r>
        <w:t xml:space="preserve">5. الحملة الإبداعية</w:t>
      </w:r>
    </w:p>
    <w:p>
      <w:pPr>
        <w:pStyle w:val="Heading3"/>
        <w:pStyle w:val="MdHeading3"/>
      </w:pPr>
      <w:r>
        <w:t xml:space="preserve">الاسم المقترح للحملة</w:t>
      </w:r>
    </w:p>
    <w:p>
      <w:pPr>
        <w:pStyle w:val="MdParagraph"/>
      </w:pPr>
      <w:r>
        <w:rPr>
          <w:rStyle w:val="MdStrong"/>
          <w:b/>
          <w:bCs/>
        </w:rPr>
        <w:t xml:space="preserve">"مكانك يبدأ من كايرو بلازا"</w:t>
      </w:r>
    </w:p>
    <w:p>
      <w:pPr>
        <w:pStyle w:val="MdSpace"/>
        <w:spacing w:before="0" w:after="60"/>
      </w:pPr>
    </w:p>
    <w:p>
      <w:pPr>
        <w:pStyle w:val="Heading3"/>
        <w:pStyle w:val="MdHeading3"/>
      </w:pPr>
      <w:r>
        <w:t xml:space="preserve">البدائل</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الاسم</w:t>
            </w:r>
          </w:p>
        </w:tc>
        <w:tc>
          <w:tcPr>
            <w:tcBorders>
              <w:right w:val="none"/>
            </w:tcBorders>
            <w:tcMar>
              <w:top w:type="dxa" w:w="100"/>
              <w:left w:type="dxa" w:w="120"/>
              <w:bottom w:type="dxa" w:w="100"/>
              <w:right w:type="dxa" w:w="120"/>
            </w:tcMar>
            <w:vAlign w:val="center"/>
          </w:tcPr>
          <w:p>
            <w:pPr>
              <w:pStyle w:val="MdTableHeader"/>
            </w:pPr>
            <w:r>
              <w:t xml:space="preserve">الاستخدام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«اختار وحدتك من الموقع»</w:t>
            </w:r>
          </w:p>
        </w:tc>
        <w:tc>
          <w:tcPr>
            <w:tcBorders>
              <w:right w:val="none"/>
            </w:tcBorders>
            <w:tcMar>
              <w:top w:type="dxa" w:w="80"/>
              <w:left w:type="dxa" w:w="120"/>
              <w:bottom w:type="dxa" w:w="80"/>
              <w:right w:type="dxa" w:w="120"/>
            </w:tcMar>
            <w:vAlign w:val="center"/>
          </w:tcPr>
          <w:p>
            <w:pPr>
              <w:pStyle w:val="MdTableCell"/>
            </w:pPr>
            <w:r>
              <w:t xml:space="preserve">إعلانات الوحدات والمعاينات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«خطوتك التجارية القادمة»</w:t>
            </w:r>
          </w:p>
        </w:tc>
        <w:tc>
          <w:tcPr>
            <w:tcBorders>
              <w:right w:val="none"/>
            </w:tcBorders>
            <w:tcMar>
              <w:top w:type="dxa" w:w="80"/>
              <w:left w:type="dxa" w:w="120"/>
              <w:bottom w:type="dxa" w:w="80"/>
              <w:right w:type="dxa" w:w="120"/>
            </w:tcMar>
            <w:vAlign w:val="center"/>
          </w:tcPr>
          <w:p>
            <w:pPr>
              <w:pStyle w:val="MdTableCell"/>
            </w:pPr>
            <w:r>
              <w:t xml:space="preserve">أصحاب البراندات والتوسع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«مقر أقرب لعملائك»</w:t>
            </w:r>
          </w:p>
        </w:tc>
        <w:tc>
          <w:tcPr>
            <w:tcBorders>
              <w:right w:val="none"/>
            </w:tcBorders>
            <w:tcMar>
              <w:top w:type="dxa" w:w="80"/>
              <w:left w:type="dxa" w:w="120"/>
              <w:bottom w:type="dxa" w:w="80"/>
              <w:right w:type="dxa" w:w="120"/>
            </w:tcMar>
            <w:vAlign w:val="center"/>
          </w:tcPr>
          <w:p>
            <w:pPr>
              <w:pStyle w:val="MdTableCell"/>
            </w:pPr>
            <w:r>
              <w:t xml:space="preserve">الإداري والعيادات والمكاتب</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«معاينة قبل القرار»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رسائل الثقة وتقليل التردد</w:t>
            </w:r>
          </w:p>
        </w:tc>
      </w:tr>
    </w:tbl>
    <w:p>
      <w:pPr>
        <w:pStyle w:val="Heading3"/>
        <w:pStyle w:val="MdHeading3"/>
      </w:pPr>
      <w:r>
        <w:t xml:space="preserve">التصور البصري للإعلان</w:t>
      </w:r>
    </w:p>
    <w:p>
      <w:pPr>
        <w:pStyle w:val="MdParagraph"/>
      </w:pPr>
      <w:r>
        <w:t xml:space="preserve">يُستخدم تصوير حقيقي للمبنى والواجهات والممرات والوحدات، مع لقطة واضحة للموقع والطرق المحيطة دون استخدام صور غير مطابقة. يبدأ الفيديو أو التصميم بلقطة خارجية للمبنى، ثم يوضح نوع الوحدة والمساحة، ثم لقطة من الطريق أو المدخل، ثم دعوة مباشرة لحجز المعاينة.</w:t>
      </w:r>
    </w:p>
    <w:p>
      <w:pPr>
        <w:pStyle w:val="MdSpace"/>
        <w:spacing w:before="0" w:after="60"/>
      </w:pPr>
    </w:p>
    <w:p>
      <w:pPr>
        <w:pStyle w:val="MdParagraph"/>
      </w:pPr>
      <w:r>
        <w:rPr>
          <w:rStyle w:val="MdStrong"/>
          <w:b/>
          <w:bCs/>
        </w:rPr>
        <w:t xml:space="preserve">تسلسل فيديو قصير مدته 20–30 ثانية:</w:t>
      </w:r>
    </w:p>
    <w:p>
      <w:pPr>
        <w:pStyle w:val="MdSpace"/>
        <w:spacing w:before="0" w:after="60"/>
      </w:pPr>
    </w:p>
    <w:p>
      <w:pPr>
        <w:pStyle w:val="MdListItem"/>
        <w:numPr>
          <w:ilvl w:val="0"/>
          <w:numId w:val="3"/>
        </w:numPr>
      </w:pPr>
      <w:r>
        <w:t xml:space="preserve">لقطة افتتاحية للمبنى والموقع: «بتدور على مقر أو محل في المطرية؟»</w:t>
      </w:r>
    </w:p>
    <w:p>
      <w:pPr>
        <w:pStyle w:val="MdListItem"/>
        <w:numPr>
          <w:ilvl w:val="0"/>
          <w:numId w:val="3"/>
        </w:numPr>
      </w:pPr>
      <w:r>
        <w:t xml:space="preserve">لقطات وحدات حقيقية: «وحدات إدارية وتجارية بمساحات مختلفة.»</w:t>
      </w:r>
    </w:p>
    <w:p>
      <w:pPr>
        <w:pStyle w:val="MdListItem"/>
        <w:numPr>
          <w:ilvl w:val="0"/>
          <w:numId w:val="3"/>
        </w:numPr>
      </w:pPr>
      <w:r>
        <w:t xml:space="preserve">توضيح الاستخدام: «مكاتب، عيادات، صيدليات، مطاعم، وامتدادات تجارية — حسب اعتماد النشاط.»</w:t>
      </w:r>
    </w:p>
    <w:p>
      <w:pPr>
        <w:pStyle w:val="MdListItem"/>
        <w:numPr>
          <w:ilvl w:val="0"/>
          <w:numId w:val="3"/>
        </w:numPr>
      </w:pPr>
      <w:r>
        <w:t xml:space="preserve">عنصر الثقة: «بيانات الوحدة والسعر والحالة يتم تأكيدها قبل التعاقد.»</w:t>
      </w:r>
    </w:p>
    <w:p>
      <w:pPr>
        <w:pStyle w:val="MdListItem"/>
        <w:numPr>
          <w:ilvl w:val="0"/>
          <w:numId w:val="3"/>
        </w:numPr>
      </w:pPr>
      <w:r>
        <w:t xml:space="preserve">الدعوة: «اطلب قائمة الوحدات واحجز معاينتك.»</w:t>
      </w:r>
    </w:p>
    <w:p>
      <w:pPr>
        <w:pStyle w:val="MdListItem"/>
        <w:numPr>
          <w:ilvl w:val="0"/>
          <w:numId w:val="3"/>
        </w:numPr>
      </w:pPr>
      <w:r>
        <w:t xml:space="preserve">شاشة أخيرة: رقم الهاتف، واتساب، وQR للـCRM أو نموذج التسجيل.</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نماذج الإعلانات الجاهزة</w:t>
      </w:r>
    </w:p>
    <w:p>
      <w:pPr>
        <w:pStyle w:val="Heading3"/>
        <w:pStyle w:val="MdHeading3"/>
      </w:pPr>
      <w:r>
        <w:t xml:space="preserve">إعلان 1 — تجاري عام</w:t>
      </w:r>
    </w:p>
    <w:p>
      <w:pPr>
        <w:pStyle w:val="MdParagraph"/>
      </w:pPr>
      <w:r>
        <w:rPr>
          <w:rStyle w:val="MdStrong"/>
          <w:b/>
          <w:bCs/>
        </w:rPr>
        <w:t xml:space="preserve">العنوان:</w:t>
      </w:r>
      <w:r>
        <w:t xml:space="preserve"> وحدتك التجارية القادمة في كايرو بلازا</w:t>
      </w:r>
    </w:p>
    <w:p>
      <w:pPr>
        <w:pStyle w:val="MdSpace"/>
        <w:spacing w:before="0" w:after="60"/>
      </w:pPr>
    </w:p>
    <w:p>
      <w:pPr>
        <w:pStyle w:val="MdParagraph"/>
      </w:pPr>
      <w:r>
        <w:rPr>
          <w:rStyle w:val="MdStrong"/>
          <w:b/>
          <w:bCs/>
        </w:rPr>
        <w:t xml:space="preserve">النص:</w:t>
      </w:r>
    </w:p>
    <w:p>
      <w:pPr>
        <w:pStyle w:val="MdSpace"/>
        <w:spacing w:before="0" w:after="60"/>
      </w:pPr>
    </w:p>
    <w:p>
      <w:pPr>
        <w:pStyle w:val="MdParagraph"/>
      </w:pPr>
      <w:r>
        <w:t xml:space="preserve">"لو بتخطط لفتح محل أو توسعة نشاطك، اطلب قائمة الوحدات التجارية المتاحة في كايرو بلازا بالمطرية. مساحات مختلفة، وحدات أرضي وأول، ومعاينة فعلية قبل اتخاذ القرار. اترك بياناتك وسيتواصل معك مسؤول المبيعات لتأكيد الوحدة والسعر والحالة."</w:t>
      </w:r>
    </w:p>
    <w:p>
      <w:pPr>
        <w:pStyle w:val="MdSpace"/>
        <w:spacing w:before="0" w:after="60"/>
      </w:pPr>
    </w:p>
    <w:p>
      <w:pPr>
        <w:pStyle w:val="MdParagraph"/>
      </w:pPr>
      <w:r>
        <w:rPr>
          <w:rStyle w:val="MdStrong"/>
          <w:b/>
          <w:bCs/>
        </w:rPr>
        <w:t xml:space="preserve">الدعوة:</w:t>
      </w:r>
      <w:r>
        <w:t xml:space="preserve"> اطلب قائمة الوحدات / احجز معاينة.</w:t>
      </w:r>
    </w:p>
    <w:p>
      <w:pPr>
        <w:pStyle w:val="MdSpace"/>
        <w:spacing w:before="0" w:after="60"/>
      </w:pPr>
    </w:p>
    <w:p>
      <w:pPr>
        <w:pStyle w:val="Heading3"/>
        <w:pStyle w:val="MdHeading3"/>
      </w:pPr>
      <w:r>
        <w:t xml:space="preserve">إعلان 2 — براندات وتوسع</w:t>
      </w:r>
    </w:p>
    <w:p>
      <w:pPr>
        <w:pStyle w:val="MdParagraph"/>
      </w:pPr>
      <w:r>
        <w:rPr>
          <w:rStyle w:val="MdStrong"/>
          <w:b/>
          <w:bCs/>
        </w:rPr>
        <w:t xml:space="preserve">العنوان:</w:t>
      </w:r>
      <w:r>
        <w:t xml:space="preserve"> موقع جديد لتوسع البراند</w:t>
      </w:r>
    </w:p>
    <w:p>
      <w:pPr>
        <w:pStyle w:val="MdSpace"/>
        <w:spacing w:before="0" w:after="60"/>
      </w:pPr>
    </w:p>
    <w:p>
      <w:pPr>
        <w:pStyle w:val="MdParagraph"/>
      </w:pPr>
      <w:r>
        <w:rPr>
          <w:rStyle w:val="MdStrong"/>
          <w:b/>
          <w:bCs/>
        </w:rPr>
        <w:t xml:space="preserve">النص:</w:t>
      </w:r>
    </w:p>
    <w:p>
      <w:pPr>
        <w:pStyle w:val="MdSpace"/>
        <w:spacing w:before="0" w:after="60"/>
      </w:pPr>
    </w:p>
    <w:p>
      <w:pPr>
        <w:pStyle w:val="MdParagraph"/>
      </w:pPr>
      <w:r>
        <w:t xml:space="preserve">"هل تبحث عن موقع جديد لفرع أو نقطة بيع؟ نستقبل طلبات البراندات والأنشطة التجارية لمعاينة الوحدات المتاحة في كايرو بلازا. أرسل النشاط والمساحة المطلوبة، وسنقترح الوحدات المناسبة بعد مراجعة التوافر."</w:t>
      </w:r>
    </w:p>
    <w:p>
      <w:pPr>
        <w:pStyle w:val="MdSpace"/>
        <w:spacing w:before="0" w:after="60"/>
      </w:pPr>
    </w:p>
    <w:p>
      <w:pPr>
        <w:pStyle w:val="MdParagraph"/>
      </w:pPr>
      <w:r>
        <w:rPr>
          <w:rStyle w:val="MdStrong"/>
          <w:b/>
          <w:bCs/>
        </w:rPr>
        <w:t xml:space="preserve">الدعوة:</w:t>
      </w:r>
      <w:r>
        <w:t xml:space="preserve"> تحدث مع مسؤول التوسع.</w:t>
      </w:r>
    </w:p>
    <w:p>
      <w:pPr>
        <w:pStyle w:val="MdSpace"/>
        <w:spacing w:before="0" w:after="60"/>
      </w:pPr>
    </w:p>
    <w:p>
      <w:pPr>
        <w:pStyle w:val="Heading3"/>
        <w:pStyle w:val="MdHeading3"/>
      </w:pPr>
      <w:r>
        <w:t xml:space="preserve">إعلان 3 — أطباء وعيادات</w:t>
      </w:r>
    </w:p>
    <w:p>
      <w:pPr>
        <w:pStyle w:val="MdParagraph"/>
      </w:pPr>
      <w:r>
        <w:rPr>
          <w:rStyle w:val="MdStrong"/>
          <w:b/>
          <w:bCs/>
        </w:rPr>
        <w:t xml:space="preserve">العنوان:</w:t>
      </w:r>
      <w:r>
        <w:t xml:space="preserve"> مقر إداري لنشاطك الطبي</w:t>
      </w:r>
    </w:p>
    <w:p>
      <w:pPr>
        <w:pStyle w:val="MdSpace"/>
        <w:spacing w:before="0" w:after="60"/>
      </w:pPr>
    </w:p>
    <w:p>
      <w:pPr>
        <w:pStyle w:val="MdParagraph"/>
      </w:pPr>
      <w:r>
        <w:rPr>
          <w:rStyle w:val="MdStrong"/>
          <w:b/>
          <w:bCs/>
        </w:rPr>
        <w:t xml:space="preserve">النص:</w:t>
      </w:r>
    </w:p>
    <w:p>
      <w:pPr>
        <w:pStyle w:val="MdSpace"/>
        <w:spacing w:before="0" w:after="60"/>
      </w:pPr>
    </w:p>
    <w:p>
      <w:pPr>
        <w:pStyle w:val="MdParagraph"/>
      </w:pPr>
      <w:r>
        <w:t xml:space="preserve">"لأصحاب العيادات والمراكز الطبية: وحدات إدارية بمساحات متنوعة في مشروع كايرو بلازا. يتم تأكيد ملاءمة النشاط والترخيص والتجهيز قبل التعاقد. سجل احتياجك وحدد المساحة المطلوبة لحجز المعاينة."</w:t>
      </w:r>
    </w:p>
    <w:p>
      <w:pPr>
        <w:pStyle w:val="MdSpace"/>
        <w:spacing w:before="0" w:after="60"/>
      </w:pPr>
    </w:p>
    <w:p>
      <w:pPr>
        <w:pStyle w:val="MdParagraph"/>
      </w:pPr>
      <w:r>
        <w:rPr>
          <w:rStyle w:val="MdStrong"/>
          <w:b/>
          <w:bCs/>
        </w:rPr>
        <w:t xml:space="preserve">الدعوة:</w:t>
      </w:r>
      <w:r>
        <w:t xml:space="preserve"> سجل للمعاينة.</w:t>
      </w:r>
    </w:p>
    <w:p>
      <w:pPr>
        <w:pStyle w:val="MdSpace"/>
        <w:spacing w:before="0" w:after="60"/>
      </w:pPr>
    </w:p>
    <w:p>
      <w:pPr>
        <w:pStyle w:val="Heading3"/>
        <w:pStyle w:val="MdHeading3"/>
      </w:pPr>
      <w:r>
        <w:t xml:space="preserve">إعلان 4 — مكاتب وشركات</w:t>
      </w:r>
    </w:p>
    <w:p>
      <w:pPr>
        <w:pStyle w:val="MdParagraph"/>
      </w:pPr>
      <w:r>
        <w:rPr>
          <w:rStyle w:val="MdStrong"/>
          <w:b/>
          <w:bCs/>
        </w:rPr>
        <w:t xml:space="preserve">العنوان:</w:t>
      </w:r>
      <w:r>
        <w:t xml:space="preserve"> مكتب بمساحة تناسب بداية شركتك</w:t>
      </w:r>
    </w:p>
    <w:p>
      <w:pPr>
        <w:pStyle w:val="MdSpace"/>
        <w:spacing w:before="0" w:after="60"/>
      </w:pPr>
    </w:p>
    <w:p>
      <w:pPr>
        <w:pStyle w:val="MdParagraph"/>
      </w:pPr>
      <w:r>
        <w:rPr>
          <w:rStyle w:val="MdStrong"/>
          <w:b/>
          <w:bCs/>
        </w:rPr>
        <w:t xml:space="preserve">النص:</w:t>
      </w:r>
    </w:p>
    <w:p>
      <w:pPr>
        <w:pStyle w:val="MdSpace"/>
        <w:spacing w:before="0" w:after="60"/>
      </w:pPr>
    </w:p>
    <w:p>
      <w:pPr>
        <w:pStyle w:val="MdParagraph"/>
      </w:pPr>
      <w:r>
        <w:t xml:space="preserve">"مساحات إدارية متعددة للشركات والمكاتب وأصحاب الأعمال. اطلب كشف الوحدات المؤكدة، تعرف على المساحة والدور وحالة التشطيب وخطة السداد، ثم احجز معاينة قبل القرار."</w:t>
      </w:r>
    </w:p>
    <w:p>
      <w:pPr>
        <w:pStyle w:val="MdSpace"/>
        <w:spacing w:before="0" w:after="60"/>
      </w:pPr>
    </w:p>
    <w:p>
      <w:pPr>
        <w:pStyle w:val="MdParagraph"/>
      </w:pPr>
      <w:r>
        <w:rPr>
          <w:rStyle w:val="MdStrong"/>
          <w:b/>
          <w:bCs/>
        </w:rPr>
        <w:t xml:space="preserve">الدعوة:</w:t>
      </w:r>
      <w:r>
        <w:t xml:space="preserve"> احصل على التفاصيل.</w:t>
      </w:r>
    </w:p>
    <w:p>
      <w:pPr>
        <w:pStyle w:val="MdSpace"/>
        <w:spacing w:before="0" w:after="60"/>
      </w:pPr>
    </w:p>
    <w:p>
      <w:pPr>
        <w:pStyle w:val="Heading3"/>
        <w:pStyle w:val="MdHeading3"/>
      </w:pPr>
      <w:r>
        <w:t xml:space="preserve">إعلان 5 — بروكرز</w:t>
      </w:r>
    </w:p>
    <w:p>
      <w:pPr>
        <w:pStyle w:val="MdParagraph"/>
      </w:pPr>
      <w:r>
        <w:rPr>
          <w:rStyle w:val="MdStrong"/>
          <w:b/>
          <w:bCs/>
        </w:rPr>
        <w:t xml:space="preserve">العنوان:</w:t>
      </w:r>
      <w:r>
        <w:t xml:space="preserve"> تعاون مع بروكرز معتمدين</w:t>
      </w:r>
    </w:p>
    <w:p>
      <w:pPr>
        <w:pStyle w:val="MdSpace"/>
        <w:spacing w:before="0" w:after="60"/>
      </w:pPr>
    </w:p>
    <w:p>
      <w:pPr>
        <w:pStyle w:val="MdParagraph"/>
      </w:pPr>
      <w:r>
        <w:rPr>
          <w:rStyle w:val="MdStrong"/>
          <w:b/>
          <w:bCs/>
        </w:rPr>
        <w:t xml:space="preserve">النص:</w:t>
      </w:r>
    </w:p>
    <w:p>
      <w:pPr>
        <w:pStyle w:val="MdSpace"/>
        <w:spacing w:before="0" w:after="60"/>
      </w:pPr>
    </w:p>
    <w:p>
      <w:pPr>
        <w:pStyle w:val="MdParagraph"/>
      </w:pPr>
      <w:r>
        <w:t xml:space="preserve">"نستقبل بروكرز لديهم عملاء جادون في المحلات والمكاتب والعيادات. مخزون محدث، مسؤول متابعة، ومعايير واضحة لتسجيل مصدر العميل واستحقاق العمولة. نسبة 6% عند تجاوز سداد العميل 75%، ومن المسدد عند النسب الأقل وفق السياسة المعتمدة."</w:t>
      </w:r>
    </w:p>
    <w:p>
      <w:pPr>
        <w:pStyle w:val="MdSpace"/>
        <w:spacing w:before="0" w:after="60"/>
      </w:pPr>
    </w:p>
    <w:p>
      <w:pPr>
        <w:pStyle w:val="MdParagraph"/>
      </w:pPr>
      <w:r>
        <w:rPr>
          <w:rStyle w:val="MdStrong"/>
          <w:b/>
          <w:bCs/>
        </w:rPr>
        <w:t xml:space="preserve">الدعوة:</w:t>
      </w:r>
      <w:r>
        <w:t xml:space="preserve"> سجل كبروكر معتمد.</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خطة القنوات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القناة</w:t>
            </w:r>
          </w:p>
        </w:tc>
        <w:tc>
          <w:tcPr>
            <w:tcMar>
              <w:top w:type="dxa" w:w="100"/>
              <w:left w:type="dxa" w:w="120"/>
              <w:bottom w:type="dxa" w:w="100"/>
              <w:right w:type="dxa" w:w="120"/>
            </w:tcMar>
            <w:vAlign w:val="center"/>
          </w:tcPr>
          <w:p>
            <w:pPr>
              <w:pStyle w:val="MdTableHeader"/>
            </w:pPr>
            <w:r>
              <w:t xml:space="preserve">الدور</w:t>
            </w:r>
          </w:p>
        </w:tc>
        <w:tc>
          <w:tcPr>
            <w:tcMar>
              <w:top w:type="dxa" w:w="100"/>
              <w:left w:type="dxa" w:w="120"/>
              <w:bottom w:type="dxa" w:w="100"/>
              <w:right w:type="dxa" w:w="120"/>
            </w:tcMar>
            <w:vAlign w:val="center"/>
          </w:tcPr>
          <w:p>
            <w:pPr>
              <w:pStyle w:val="MdTableHeader"/>
            </w:pPr>
            <w:r>
              <w:t xml:space="preserve">المحتوى</w:t>
            </w:r>
          </w:p>
        </w:tc>
        <w:tc>
          <w:tcPr>
            <w:tcBorders>
              <w:right w:val="none"/>
            </w:tcBorders>
            <w:tcMar>
              <w:top w:type="dxa" w:w="100"/>
              <w:left w:type="dxa" w:w="120"/>
              <w:bottom w:type="dxa" w:w="100"/>
              <w:right w:type="dxa" w:w="120"/>
            </w:tcMar>
            <w:vAlign w:val="center"/>
          </w:tcPr>
          <w:p>
            <w:pPr>
              <w:pStyle w:val="MdTableHeader"/>
            </w:pPr>
            <w:r>
              <w:t xml:space="preserve">طريقة القياس</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Search</w:t>
            </w:r>
          </w:p>
        </w:tc>
        <w:tc>
          <w:tcPr>
            <w:tcMar>
              <w:top w:type="dxa" w:w="80"/>
              <w:left w:type="dxa" w:w="120"/>
              <w:bottom w:type="dxa" w:w="80"/>
              <w:right w:type="dxa" w:w="120"/>
            </w:tcMar>
            <w:vAlign w:val="center"/>
          </w:tcPr>
          <w:p>
            <w:pPr>
              <w:pStyle w:val="MdTableCell"/>
            </w:pPr>
            <w:r>
              <w:t xml:space="preserve">التقاط نية البحث المباشر</w:t>
            </w:r>
          </w:p>
        </w:tc>
        <w:tc>
          <w:tcPr>
            <w:tcMar>
              <w:top w:type="dxa" w:w="80"/>
              <w:left w:type="dxa" w:w="120"/>
              <w:bottom w:type="dxa" w:w="80"/>
              <w:right w:type="dxa" w:w="120"/>
            </w:tcMar>
            <w:vAlign w:val="center"/>
          </w:tcPr>
          <w:p>
            <w:pPr>
              <w:pStyle w:val="MdTableCell"/>
            </w:pPr>
            <w:r>
              <w:t xml:space="preserve">محلات للبيع بجوار المترو، مكاتب إدارية، عيادات، محل تجاري</w:t>
            </w:r>
          </w:p>
        </w:tc>
        <w:tc>
          <w:tcPr>
            <w:tcBorders>
              <w:right w:val="none"/>
            </w:tcBorders>
            <w:tcMar>
              <w:top w:type="dxa" w:w="80"/>
              <w:left w:type="dxa" w:w="120"/>
              <w:bottom w:type="dxa" w:w="80"/>
              <w:right w:type="dxa" w:w="120"/>
            </w:tcMar>
            <w:vAlign w:val="center"/>
          </w:tcPr>
          <w:p>
            <w:pPr>
              <w:pStyle w:val="MdTableCell"/>
            </w:pPr>
            <w:r>
              <w:t xml:space="preserve">مكالمات، نماذج، معاينات، حجوزات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 / Facebook</w:t>
            </w:r>
          </w:p>
        </w:tc>
        <w:tc>
          <w:tcPr>
            <w:tcMar>
              <w:top w:type="dxa" w:w="80"/>
              <w:left w:type="dxa" w:w="120"/>
              <w:bottom w:type="dxa" w:w="80"/>
              <w:right w:type="dxa" w:w="120"/>
            </w:tcMar>
            <w:vAlign w:val="center"/>
          </w:tcPr>
          <w:p>
            <w:pPr>
              <w:pStyle w:val="MdTableCell"/>
            </w:pPr>
            <w:r>
              <w:t xml:space="preserve">الوصول الواسع وإعادة الاستهداف</w:t>
            </w:r>
          </w:p>
        </w:tc>
        <w:tc>
          <w:tcPr>
            <w:tcMar>
              <w:top w:type="dxa" w:w="80"/>
              <w:left w:type="dxa" w:w="120"/>
              <w:bottom w:type="dxa" w:w="80"/>
              <w:right w:type="dxa" w:w="120"/>
            </w:tcMar>
            <w:vAlign w:val="center"/>
          </w:tcPr>
          <w:p>
            <w:pPr>
              <w:pStyle w:val="MdTableCell"/>
            </w:pPr>
            <w:r>
              <w:t xml:space="preserve">فيديوهات الموقع والوحدات والقصص</w:t>
            </w:r>
          </w:p>
        </w:tc>
        <w:tc>
          <w:tcPr>
            <w:tcBorders>
              <w:right w:val="none"/>
            </w:tcBorders>
            <w:tcMar>
              <w:top w:type="dxa" w:w="80"/>
              <w:left w:type="dxa" w:w="120"/>
              <w:bottom w:type="dxa" w:w="80"/>
              <w:right w:type="dxa" w:w="120"/>
            </w:tcMar>
            <w:vAlign w:val="center"/>
          </w:tcPr>
          <w:p>
            <w:pPr>
              <w:pStyle w:val="MdTableCell"/>
            </w:pPr>
            <w:r>
              <w:t xml:space="preserve">تسجيلات مؤهلة، واتساب، تكلفة المعاينة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Instagram</w:t>
            </w:r>
          </w:p>
        </w:tc>
        <w:tc>
          <w:tcPr>
            <w:tcMar>
              <w:top w:type="dxa" w:w="80"/>
              <w:left w:type="dxa" w:w="120"/>
              <w:bottom w:type="dxa" w:w="80"/>
              <w:right w:type="dxa" w:w="120"/>
            </w:tcMar>
            <w:vAlign w:val="center"/>
          </w:tcPr>
          <w:p>
            <w:pPr>
              <w:pStyle w:val="MdTableCell"/>
            </w:pPr>
            <w:r>
              <w:t xml:space="preserve">إبراز الشكل والموقع</w:t>
            </w:r>
          </w:p>
        </w:tc>
        <w:tc>
          <w:tcPr>
            <w:tcMar>
              <w:top w:type="dxa" w:w="80"/>
              <w:left w:type="dxa" w:w="120"/>
              <w:bottom w:type="dxa" w:w="80"/>
              <w:right w:type="dxa" w:w="120"/>
            </w:tcMar>
            <w:vAlign w:val="center"/>
          </w:tcPr>
          <w:p>
            <w:pPr>
              <w:pStyle w:val="MdTableCell"/>
            </w:pPr>
            <w:r>
              <w:t xml:space="preserve">Reels، صور الواجهات، قصص الوحدات</w:t>
            </w:r>
          </w:p>
        </w:tc>
        <w:tc>
          <w:tcPr>
            <w:tcBorders>
              <w:right w:val="none"/>
            </w:tcBorders>
            <w:tcMar>
              <w:top w:type="dxa" w:w="80"/>
              <w:left w:type="dxa" w:w="120"/>
              <w:bottom w:type="dxa" w:w="80"/>
              <w:right w:type="dxa" w:w="120"/>
            </w:tcMar>
            <w:vAlign w:val="center"/>
          </w:tcPr>
          <w:p>
            <w:pPr>
              <w:pStyle w:val="MdTableCell"/>
            </w:pPr>
            <w:r>
              <w:t xml:space="preserve">زيارات الملف، رسائل، 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w:t>
            </w:r>
          </w:p>
        </w:tc>
        <w:tc>
          <w:tcPr>
            <w:tcMar>
              <w:top w:type="dxa" w:w="80"/>
              <w:left w:type="dxa" w:w="120"/>
              <w:bottom w:type="dxa" w:w="80"/>
              <w:right w:type="dxa" w:w="120"/>
            </w:tcMar>
            <w:vAlign w:val="center"/>
          </w:tcPr>
          <w:p>
            <w:pPr>
              <w:pStyle w:val="MdTableCell"/>
            </w:pPr>
            <w:r>
              <w:t xml:space="preserve">تحويل الاستفسار إلى متابعة</w:t>
            </w:r>
          </w:p>
        </w:tc>
        <w:tc>
          <w:tcPr>
            <w:tcMar>
              <w:top w:type="dxa" w:w="80"/>
              <w:left w:type="dxa" w:w="120"/>
              <w:bottom w:type="dxa" w:w="80"/>
              <w:right w:type="dxa" w:w="120"/>
            </w:tcMar>
            <w:vAlign w:val="center"/>
          </w:tcPr>
          <w:p>
            <w:pPr>
              <w:pStyle w:val="MdTableCell"/>
            </w:pPr>
            <w:r>
              <w:t xml:space="preserve">كتالوج مؤكد ورسائل متابعة</w:t>
            </w:r>
          </w:p>
        </w:tc>
        <w:tc>
          <w:tcPr>
            <w:tcBorders>
              <w:right w:val="none"/>
            </w:tcBorders>
            <w:tcMar>
              <w:top w:type="dxa" w:w="80"/>
              <w:left w:type="dxa" w:w="120"/>
              <w:bottom w:type="dxa" w:w="80"/>
              <w:right w:type="dxa" w:w="120"/>
            </w:tcMar>
            <w:vAlign w:val="center"/>
          </w:tcPr>
          <w:p>
            <w:pPr>
              <w:pStyle w:val="MdTableCell"/>
            </w:pPr>
            <w:r>
              <w:t xml:space="preserve">سرعة الرد، المعاينات، الحجوزات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LinkedIn</w:t>
            </w:r>
          </w:p>
        </w:tc>
        <w:tc>
          <w:tcPr>
            <w:tcMar>
              <w:top w:type="dxa" w:w="80"/>
              <w:left w:type="dxa" w:w="120"/>
              <w:bottom w:type="dxa" w:w="80"/>
              <w:right w:type="dxa" w:w="120"/>
            </w:tcMar>
            <w:vAlign w:val="center"/>
          </w:tcPr>
          <w:p>
            <w:pPr>
              <w:pStyle w:val="MdTableCell"/>
            </w:pPr>
            <w:r>
              <w:t xml:space="preserve">أصحاب القرار والبراندات والأطباء</w:t>
            </w:r>
          </w:p>
        </w:tc>
        <w:tc>
          <w:tcPr>
            <w:tcMar>
              <w:top w:type="dxa" w:w="80"/>
              <w:left w:type="dxa" w:w="120"/>
              <w:bottom w:type="dxa" w:w="80"/>
              <w:right w:type="dxa" w:w="120"/>
            </w:tcMar>
            <w:vAlign w:val="center"/>
          </w:tcPr>
          <w:p>
            <w:pPr>
              <w:pStyle w:val="MdTableCell"/>
            </w:pPr>
            <w:r>
              <w:t xml:space="preserve">رسائل مهنية، قوائم شركات، محتوى توسع</w:t>
            </w:r>
          </w:p>
        </w:tc>
        <w:tc>
          <w:tcPr>
            <w:tcBorders>
              <w:right w:val="none"/>
            </w:tcBorders>
            <w:tcMar>
              <w:top w:type="dxa" w:w="80"/>
              <w:left w:type="dxa" w:w="120"/>
              <w:bottom w:type="dxa" w:w="80"/>
              <w:right w:type="dxa" w:w="120"/>
            </w:tcMar>
            <w:vAlign w:val="center"/>
          </w:tcPr>
          <w:p>
            <w:pPr>
              <w:pStyle w:val="MdTableCell"/>
            </w:pPr>
            <w:r>
              <w:t xml:space="preserve">اجتماعات، طلبات عروض، 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البروكرز</w:t>
            </w:r>
          </w:p>
        </w:tc>
        <w:tc>
          <w:tcPr>
            <w:tcMar>
              <w:top w:type="dxa" w:w="80"/>
              <w:left w:type="dxa" w:w="120"/>
              <w:bottom w:type="dxa" w:w="80"/>
              <w:right w:type="dxa" w:w="120"/>
            </w:tcMar>
            <w:vAlign w:val="center"/>
          </w:tcPr>
          <w:p>
            <w:pPr>
              <w:pStyle w:val="MdTableCell"/>
            </w:pPr>
            <w:r>
              <w:t xml:space="preserve">الوصول إلى الطلب الجاهز</w:t>
            </w:r>
          </w:p>
        </w:tc>
        <w:tc>
          <w:tcPr>
            <w:tcMar>
              <w:top w:type="dxa" w:w="80"/>
              <w:left w:type="dxa" w:w="120"/>
              <w:bottom w:type="dxa" w:w="80"/>
              <w:right w:type="dxa" w:w="120"/>
            </w:tcMar>
            <w:vAlign w:val="center"/>
          </w:tcPr>
          <w:p>
            <w:pPr>
              <w:pStyle w:val="MdTableCell"/>
            </w:pPr>
            <w:r>
              <w:t xml:space="preserve">ملف وحدات وعمولة مكتوبة</w:t>
            </w:r>
          </w:p>
        </w:tc>
        <w:tc>
          <w:tcPr>
            <w:tcBorders>
              <w:right w:val="none"/>
            </w:tcBorders>
            <w:tcMar>
              <w:top w:type="dxa" w:w="80"/>
              <w:left w:type="dxa" w:w="120"/>
              <w:bottom w:type="dxa" w:w="80"/>
              <w:right w:type="dxa" w:w="120"/>
            </w:tcMar>
            <w:vAlign w:val="center"/>
          </w:tcPr>
          <w:p>
            <w:pPr>
              <w:pStyle w:val="MdTableCell"/>
            </w:pPr>
            <w:r>
              <w:t xml:space="preserve">عملاء مسجلون، حجوزات، تحصيل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اللافتات</w:t>
            </w:r>
          </w:p>
        </w:tc>
        <w:tc>
          <w:tcPr>
            <w:tcMar>
              <w:top w:type="dxa" w:w="80"/>
              <w:left w:type="dxa" w:w="120"/>
              <w:bottom w:type="dxa" w:w="80"/>
              <w:right w:type="dxa" w:w="120"/>
            </w:tcMar>
            <w:vAlign w:val="center"/>
          </w:tcPr>
          <w:p>
            <w:pPr>
              <w:pStyle w:val="MdTableCell"/>
            </w:pPr>
            <w:r>
              <w:t xml:space="preserve">التقاط الطلب المحلي</w:t>
            </w:r>
          </w:p>
        </w:tc>
        <w:tc>
          <w:tcPr>
            <w:tcMar>
              <w:top w:type="dxa" w:w="80"/>
              <w:left w:type="dxa" w:w="120"/>
              <w:bottom w:type="dxa" w:w="80"/>
              <w:right w:type="dxa" w:w="120"/>
            </w:tcMar>
            <w:vAlign w:val="center"/>
          </w:tcPr>
          <w:p>
            <w:pPr>
              <w:pStyle w:val="MdTableCell"/>
            </w:pPr>
            <w:r>
              <w:t xml:space="preserve">رقم مختلف أو QR لكل موقع</w:t>
            </w:r>
          </w:p>
        </w:tc>
        <w:tc>
          <w:tcPr>
            <w:tcBorders>
              <w:right w:val="none"/>
            </w:tcBorders>
            <w:tcMar>
              <w:top w:type="dxa" w:w="80"/>
              <w:left w:type="dxa" w:w="120"/>
              <w:bottom w:type="dxa" w:w="80"/>
              <w:right w:type="dxa" w:w="120"/>
            </w:tcMar>
            <w:vAlign w:val="center"/>
          </w:tcPr>
          <w:p>
            <w:pPr>
              <w:pStyle w:val="MdTableCell"/>
            </w:pPr>
            <w:r>
              <w:t xml:space="preserve">مكالمات وواتساب حسب كود الموقع</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الزيارات والمعاينات</w:t>
            </w:r>
          </w:p>
        </w:tc>
        <w:tc>
          <w:tcPr>
            <w:tcBorders>
              <w:bottom w:val="single" w:color="E1E4E8" w:sz="4"/>
            </w:tcBorders>
            <w:tcMar>
              <w:top w:type="dxa" w:w="80"/>
              <w:left w:type="dxa" w:w="120"/>
              <w:bottom w:type="dxa" w:w="80"/>
              <w:right w:type="dxa" w:w="120"/>
            </w:tcMar>
            <w:vAlign w:val="center"/>
          </w:tcPr>
          <w:p>
            <w:pPr>
              <w:pStyle w:val="MdTableCell"/>
            </w:pPr>
            <w:r>
              <w:t xml:space="preserve">بناء الثقة</w:t>
            </w:r>
          </w:p>
        </w:tc>
        <w:tc>
          <w:tcPr>
            <w:tcBorders>
              <w:bottom w:val="single" w:color="E1E4E8" w:sz="4"/>
            </w:tcBorders>
            <w:tcMar>
              <w:top w:type="dxa" w:w="80"/>
              <w:left w:type="dxa" w:w="120"/>
              <w:bottom w:type="dxa" w:w="80"/>
              <w:right w:type="dxa" w:w="120"/>
            </w:tcMar>
            <w:vAlign w:val="center"/>
          </w:tcPr>
          <w:p>
            <w:pPr>
              <w:pStyle w:val="MdTableCell"/>
            </w:pPr>
            <w:r>
              <w:t xml:space="preserve">جولة فعلية وملف وحدة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نسبة التحويل إلى عرض وحجز</w:t>
            </w:r>
          </w:p>
        </w:tc>
      </w:tr>
    </w:tbl>
    <w:p>
      <w:pPr>
        <w:pStyle w:val="MdParagraph"/>
      </w:pPr>
      <w:r>
        <w:rPr>
          <w:rStyle w:val="MdStrong"/>
          <w:b/>
          <w:bCs/>
        </w:rPr>
        <w:t xml:space="preserve">لا تُترك ميزانية محددة في هذا الملف؛ نطاق الإنفاق يقرره مجلس الإدارة.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خطة المحتوى لمدة 4 أسابيع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الأسبوع</w:t>
            </w:r>
          </w:p>
        </w:tc>
        <w:tc>
          <w:tcPr>
            <w:tcMar>
              <w:top w:type="dxa" w:w="100"/>
              <w:left w:type="dxa" w:w="120"/>
              <w:bottom w:type="dxa" w:w="100"/>
              <w:right w:type="dxa" w:w="120"/>
            </w:tcMar>
            <w:vAlign w:val="center"/>
          </w:tcPr>
          <w:p>
            <w:pPr>
              <w:pStyle w:val="MdTableHeader"/>
            </w:pPr>
            <w:r>
              <w:t xml:space="preserve">المحور</w:t>
            </w:r>
          </w:p>
        </w:tc>
        <w:tc>
          <w:tcPr>
            <w:tcBorders>
              <w:right w:val="none"/>
            </w:tcBorders>
            <w:tcMar>
              <w:top w:type="dxa" w:w="100"/>
              <w:left w:type="dxa" w:w="120"/>
              <w:bottom w:type="dxa" w:w="100"/>
              <w:right w:type="dxa" w:w="120"/>
            </w:tcMar>
            <w:vAlign w:val="center"/>
          </w:tcPr>
          <w:p>
            <w:pPr>
              <w:pStyle w:val="MdTableHeader"/>
            </w:pPr>
            <w:r>
              <w:t xml:space="preserve">أمثلة المحتوى</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الأول</w:t>
            </w:r>
          </w:p>
        </w:tc>
        <w:tc>
          <w:tcPr>
            <w:tcMar>
              <w:top w:type="dxa" w:w="80"/>
              <w:left w:type="dxa" w:w="120"/>
              <w:bottom w:type="dxa" w:w="80"/>
              <w:right w:type="dxa" w:w="120"/>
            </w:tcMar>
            <w:vAlign w:val="center"/>
          </w:tcPr>
          <w:p>
            <w:pPr>
              <w:pStyle w:val="MdTableCell"/>
            </w:pPr>
            <w:r>
              <w:t xml:space="preserve">التعريف والثقة</w:t>
            </w:r>
          </w:p>
        </w:tc>
        <w:tc>
          <w:tcPr>
            <w:tcBorders>
              <w:right w:val="none"/>
            </w:tcBorders>
            <w:tcMar>
              <w:top w:type="dxa" w:w="80"/>
              <w:left w:type="dxa" w:w="120"/>
              <w:bottom w:type="dxa" w:w="80"/>
              <w:right w:type="dxa" w:w="120"/>
            </w:tcMar>
            <w:vAlign w:val="center"/>
          </w:tcPr>
          <w:p>
            <w:pPr>
              <w:pStyle w:val="MdTableCell"/>
            </w:pPr>
            <w:r>
              <w:t xml:space="preserve">المبنى، الموقع، خريطة الوصول، طلب تأكيد الوحدات، فيديو واقعي.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الثاني</w:t>
            </w:r>
          </w:p>
        </w:tc>
        <w:tc>
          <w:tcPr>
            <w:tcMar>
              <w:top w:type="dxa" w:w="80"/>
              <w:left w:type="dxa" w:w="120"/>
              <w:bottom w:type="dxa" w:w="80"/>
              <w:right w:type="dxa" w:w="120"/>
            </w:tcMar>
            <w:vAlign w:val="center"/>
          </w:tcPr>
          <w:p>
            <w:pPr>
              <w:pStyle w:val="MdTableCell"/>
            </w:pPr>
            <w:r>
              <w:t xml:space="preserve">الوحدات الإدارية</w:t>
            </w:r>
          </w:p>
        </w:tc>
        <w:tc>
          <w:tcPr>
            <w:tcBorders>
              <w:right w:val="none"/>
            </w:tcBorders>
            <w:tcMar>
              <w:top w:type="dxa" w:w="80"/>
              <w:left w:type="dxa" w:w="120"/>
              <w:bottom w:type="dxa" w:w="80"/>
              <w:right w:type="dxa" w:w="120"/>
            </w:tcMar>
            <w:vAlign w:val="center"/>
          </w:tcPr>
          <w:p>
            <w:pPr>
              <w:pStyle w:val="MdTableCell"/>
            </w:pPr>
            <w:r>
              <w:t xml:space="preserve">وحدات برج 1 و3 و7، المساحات، الأدوار، التشطيب، الاستخدامات الممكنة.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الثالث</w:t>
            </w:r>
          </w:p>
        </w:tc>
        <w:tc>
          <w:tcPr>
            <w:tcMar>
              <w:top w:type="dxa" w:w="80"/>
              <w:left w:type="dxa" w:w="120"/>
              <w:bottom w:type="dxa" w:w="80"/>
              <w:right w:type="dxa" w:w="120"/>
            </w:tcMar>
            <w:vAlign w:val="center"/>
          </w:tcPr>
          <w:p>
            <w:pPr>
              <w:pStyle w:val="MdTableCell"/>
            </w:pPr>
            <w:r>
              <w:t xml:space="preserve">الوحدات التجارية</w:t>
            </w:r>
          </w:p>
        </w:tc>
        <w:tc>
          <w:tcPr>
            <w:tcBorders>
              <w:right w:val="none"/>
            </w:tcBorders>
            <w:tcMar>
              <w:top w:type="dxa" w:w="80"/>
              <w:left w:type="dxa" w:w="120"/>
              <w:bottom w:type="dxa" w:w="80"/>
              <w:right w:type="dxa" w:w="120"/>
            </w:tcMar>
            <w:vAlign w:val="center"/>
          </w:tcPr>
          <w:p>
            <w:pPr>
              <w:pStyle w:val="MdTableCell"/>
            </w:pPr>
            <w:r>
              <w:t xml:space="preserve">الأرضي والأول، الواجهة، النشاط، المساحة، المعاينة، مقارنة المواقع.</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الرابع</w:t>
            </w:r>
          </w:p>
        </w:tc>
        <w:tc>
          <w:tcPr>
            <w:tcBorders>
              <w:bottom w:val="single" w:color="E1E4E8" w:sz="4"/>
            </w:tcBorders>
            <w:tcMar>
              <w:top w:type="dxa" w:w="80"/>
              <w:left w:type="dxa" w:w="120"/>
              <w:bottom w:type="dxa" w:w="80"/>
              <w:right w:type="dxa" w:w="120"/>
            </w:tcMar>
            <w:vAlign w:val="center"/>
          </w:tcPr>
          <w:p>
            <w:pPr>
              <w:pStyle w:val="MdTableCell"/>
            </w:pPr>
            <w:r>
              <w:t xml:space="preserve">التحويل</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عروض معاينة، قصص عملاء بعد التحقق، بروكرز، أسئلة السداد، حجز موعد.</w:t>
            </w:r>
          </w:p>
        </w:tc>
      </w:tr>
    </w:tbl>
    <w:p>
      <w:pPr>
        <w:pStyle w:val="Heading3"/>
        <w:pStyle w:val="MdHeading3"/>
      </w:pPr>
      <w:r>
        <w:t xml:space="preserve">معدل النشر المقترح</w:t>
      </w:r>
    </w:p>
    <w:p>
      <w:pPr>
        <w:pStyle w:val="MdParagraph"/>
      </w:pPr>
      <w:r>
        <w:t xml:space="preserve">يحدد العدد النهائي وفق الميزانية والفريق، لكن يوصى بتوزيع متوازن بين فيديو قصير، منشور معلوماتي، قصة يومية، محتوى بروكرز، ومحتوى معاينات. لا ينشر أي محتوى لوحدة غير مؤكدة.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مسار العميل والمتابعة</w:t>
      </w:r>
    </w:p>
    <w:p>
      <w:pPr>
        <w:pStyle w:val="MdParagraph"/>
      </w:pPr>
      <w:r>
        <w:t xml:space="preserve">يتم تسجيل كل عميل بمصدره، ونوع النشاط، والمساحة المطلوبة، والميزانية التقريبية، والموعد المتوقع، والوحدة المقترحة، والموظف المسؤول، وموعد الإجراء التالي.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المرحلة</w:t>
            </w:r>
          </w:p>
        </w:tc>
        <w:tc>
          <w:tcPr>
            <w:tcMar>
              <w:top w:type="dxa" w:w="100"/>
              <w:left w:type="dxa" w:w="120"/>
              <w:bottom w:type="dxa" w:w="100"/>
              <w:right w:type="dxa" w:w="120"/>
            </w:tcMar>
            <w:vAlign w:val="center"/>
          </w:tcPr>
          <w:p>
            <w:pPr>
              <w:pStyle w:val="MdTableHeader"/>
            </w:pPr>
            <w:r>
              <w:t xml:space="preserve">الإجراء</w:t>
            </w:r>
          </w:p>
        </w:tc>
        <w:tc>
          <w:tcPr>
            <w:tcBorders>
              <w:right w:val="none"/>
            </w:tcBorders>
            <w:tcMar>
              <w:top w:type="dxa" w:w="100"/>
              <w:left w:type="dxa" w:w="120"/>
              <w:bottom w:type="dxa" w:w="100"/>
              <w:right w:type="dxa" w:w="120"/>
            </w:tcMar>
            <w:vAlign w:val="center"/>
          </w:tcPr>
          <w:p>
            <w:pPr>
              <w:pStyle w:val="MdTableHeader"/>
            </w:pPr>
            <w:r>
              <w:t xml:space="preserve">المخرج</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تسجيل</w:t>
            </w:r>
          </w:p>
        </w:tc>
        <w:tc>
          <w:tcPr>
            <w:tcMar>
              <w:top w:type="dxa" w:w="80"/>
              <w:left w:type="dxa" w:w="120"/>
              <w:bottom w:type="dxa" w:w="80"/>
              <w:right w:type="dxa" w:w="120"/>
            </w:tcMar>
            <w:vAlign w:val="center"/>
          </w:tcPr>
          <w:p>
            <w:pPr>
              <w:pStyle w:val="MdTableCell"/>
            </w:pPr>
            <w:r>
              <w:t xml:space="preserve">إدخال البيانات والمصدر</w:t>
            </w:r>
          </w:p>
        </w:tc>
        <w:tc>
          <w:tcPr>
            <w:tcBorders>
              <w:right w:val="none"/>
            </w:tcBorders>
            <w:tcMar>
              <w:top w:type="dxa" w:w="80"/>
              <w:left w:type="dxa" w:w="120"/>
              <w:bottom w:type="dxa" w:w="80"/>
              <w:right w:type="dxa" w:w="120"/>
            </w:tcMar>
            <w:vAlign w:val="center"/>
          </w:tcPr>
          <w:p>
            <w:pPr>
              <w:pStyle w:val="MdTableCell"/>
            </w:pPr>
            <w:r>
              <w:t xml:space="preserve">سجل عميل غير مكرر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تأهيل</w:t>
            </w:r>
          </w:p>
        </w:tc>
        <w:tc>
          <w:tcPr>
            <w:tcMar>
              <w:top w:type="dxa" w:w="80"/>
              <w:left w:type="dxa" w:w="120"/>
              <w:bottom w:type="dxa" w:w="80"/>
              <w:right w:type="dxa" w:w="120"/>
            </w:tcMar>
            <w:vAlign w:val="center"/>
          </w:tcPr>
          <w:p>
            <w:pPr>
              <w:pStyle w:val="MdTableCell"/>
            </w:pPr>
            <w:r>
              <w:t xml:space="preserve">تحديد النشاط والمساحة والقدرة</w:t>
            </w:r>
          </w:p>
        </w:tc>
        <w:tc>
          <w:tcPr>
            <w:tcBorders>
              <w:right w:val="none"/>
            </w:tcBorders>
            <w:tcMar>
              <w:top w:type="dxa" w:w="80"/>
              <w:left w:type="dxa" w:w="120"/>
              <w:bottom w:type="dxa" w:w="80"/>
              <w:right w:type="dxa" w:w="120"/>
            </w:tcMar>
            <w:vAlign w:val="center"/>
          </w:tcPr>
          <w:p>
            <w:pPr>
              <w:pStyle w:val="MdTableCell"/>
            </w:pPr>
            <w:r>
              <w:t xml:space="preserve">عميل مؤهل أو غير مؤهل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معاينة</w:t>
            </w:r>
          </w:p>
        </w:tc>
        <w:tc>
          <w:tcPr>
            <w:tcMar>
              <w:top w:type="dxa" w:w="80"/>
              <w:left w:type="dxa" w:w="120"/>
              <w:bottom w:type="dxa" w:w="80"/>
              <w:right w:type="dxa" w:w="120"/>
            </w:tcMar>
            <w:vAlign w:val="center"/>
          </w:tcPr>
          <w:p>
            <w:pPr>
              <w:pStyle w:val="MdTableCell"/>
            </w:pPr>
            <w:r>
              <w:t xml:space="preserve">تحديد الموعد وتوثيق الحضور</w:t>
            </w:r>
          </w:p>
        </w:tc>
        <w:tc>
          <w:tcPr>
            <w:tcBorders>
              <w:right w:val="none"/>
            </w:tcBorders>
            <w:tcMar>
              <w:top w:type="dxa" w:w="80"/>
              <w:left w:type="dxa" w:w="120"/>
              <w:bottom w:type="dxa" w:w="80"/>
              <w:right w:type="dxa" w:w="120"/>
            </w:tcMar>
            <w:vAlign w:val="center"/>
          </w:tcPr>
          <w:p>
            <w:pPr>
              <w:pStyle w:val="MdTableCell"/>
            </w:pPr>
            <w:r>
              <w:t xml:space="preserve">نتيجة معاينة وإجراء تالٍ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عرض</w:t>
            </w:r>
          </w:p>
        </w:tc>
        <w:tc>
          <w:tcPr>
            <w:tcMar>
              <w:top w:type="dxa" w:w="80"/>
              <w:left w:type="dxa" w:w="120"/>
              <w:bottom w:type="dxa" w:w="80"/>
              <w:right w:type="dxa" w:w="120"/>
            </w:tcMar>
            <w:vAlign w:val="center"/>
          </w:tcPr>
          <w:p>
            <w:pPr>
              <w:pStyle w:val="MdTableCell"/>
            </w:pPr>
            <w:r>
              <w:t xml:space="preserve">إرسال سعر وخطة معتمدة</w:t>
            </w:r>
          </w:p>
        </w:tc>
        <w:tc>
          <w:tcPr>
            <w:tcBorders>
              <w:right w:val="none"/>
            </w:tcBorders>
            <w:tcMar>
              <w:top w:type="dxa" w:w="80"/>
              <w:left w:type="dxa" w:w="120"/>
              <w:bottom w:type="dxa" w:w="80"/>
              <w:right w:type="dxa" w:w="120"/>
            </w:tcMar>
            <w:vAlign w:val="center"/>
          </w:tcPr>
          <w:p>
            <w:pPr>
              <w:pStyle w:val="MdTableCell"/>
            </w:pPr>
            <w:r>
              <w:t xml:space="preserve">عرض موثق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حجز</w:t>
            </w:r>
          </w:p>
        </w:tc>
        <w:tc>
          <w:tcPr>
            <w:tcMar>
              <w:top w:type="dxa" w:w="80"/>
              <w:left w:type="dxa" w:w="120"/>
              <w:bottom w:type="dxa" w:w="80"/>
              <w:right w:type="dxa" w:w="120"/>
            </w:tcMar>
            <w:vAlign w:val="center"/>
          </w:tcPr>
          <w:p>
            <w:pPr>
              <w:pStyle w:val="MdTableCell"/>
            </w:pPr>
            <w:r>
              <w:t xml:space="preserve">طلب حجز ومراجعة الوحدة</w:t>
            </w:r>
          </w:p>
        </w:tc>
        <w:tc>
          <w:tcPr>
            <w:tcBorders>
              <w:right w:val="none"/>
            </w:tcBorders>
            <w:tcMar>
              <w:top w:type="dxa" w:w="80"/>
              <w:left w:type="dxa" w:w="120"/>
              <w:bottom w:type="dxa" w:w="80"/>
              <w:right w:type="dxa" w:w="120"/>
            </w:tcMar>
            <w:vAlign w:val="center"/>
          </w:tcPr>
          <w:p>
            <w:pPr>
              <w:pStyle w:val="MdTableCell"/>
            </w:pPr>
            <w:r>
              <w:t xml:space="preserve">حجز معتمد أو مرفوض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تعاقد</w:t>
            </w:r>
          </w:p>
        </w:tc>
        <w:tc>
          <w:tcPr>
            <w:tcMar>
              <w:top w:type="dxa" w:w="80"/>
              <w:left w:type="dxa" w:w="120"/>
              <w:bottom w:type="dxa" w:w="80"/>
              <w:right w:type="dxa" w:w="120"/>
            </w:tcMar>
            <w:vAlign w:val="center"/>
          </w:tcPr>
          <w:p>
            <w:pPr>
              <w:pStyle w:val="MdTableCell"/>
            </w:pPr>
            <w:r>
              <w:t xml:space="preserve">توقيع المستندات</w:t>
            </w:r>
          </w:p>
        </w:tc>
        <w:tc>
          <w:tcPr>
            <w:tcBorders>
              <w:right w:val="none"/>
            </w:tcBorders>
            <w:tcMar>
              <w:top w:type="dxa" w:w="80"/>
              <w:left w:type="dxa" w:w="120"/>
              <w:bottom w:type="dxa" w:w="80"/>
              <w:right w:type="dxa" w:w="120"/>
            </w:tcMar>
            <w:vAlign w:val="center"/>
          </w:tcPr>
          <w:p>
            <w:pPr>
              <w:pStyle w:val="MdTableCell"/>
            </w:pPr>
            <w:r>
              <w:t xml:space="preserve">تعاقد معتمد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تحصيل</w:t>
            </w:r>
          </w:p>
        </w:tc>
        <w:tc>
          <w:tcPr>
            <w:tcBorders>
              <w:bottom w:val="single" w:color="E1E4E8" w:sz="4"/>
            </w:tcBorders>
            <w:tcMar>
              <w:top w:type="dxa" w:w="80"/>
              <w:left w:type="dxa" w:w="120"/>
              <w:bottom w:type="dxa" w:w="80"/>
              <w:right w:type="dxa" w:w="120"/>
            </w:tcMar>
            <w:vAlign w:val="center"/>
          </w:tcPr>
          <w:p>
            <w:pPr>
              <w:pStyle w:val="MdTableCell"/>
            </w:pPr>
            <w:r>
              <w:t xml:space="preserve">تسجيل المدفوع والمتبقي والتواريخ</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تقرير مالي للمخولين</w:t>
            </w:r>
          </w:p>
        </w:tc>
      </w:tr>
    </w:tbl>
    <w:p>
      <w:pPr>
        <w:pStyle w:val="MdHr"/>
        <w:pBdr>
          <w:bottom w:val="single" w:color="auto" w:sz="6" w:space="1"/>
        </w:pBdr>
      </w:pPr>
    </w:p>
    <w:p>
      <w:pPr>
        <w:pStyle w:val="MdSpace"/>
        <w:spacing w:before="0" w:after="60"/>
      </w:pPr>
    </w:p>
    <w:p>
      <w:pPr>
        <w:pStyle w:val="Heading2"/>
        <w:pStyle w:val="MdHeading2"/>
      </w:pPr>
      <w:r>
        <w:t xml:space="preserve">10. التشغيل والوظائف</w:t>
      </w:r>
    </w:p>
    <w:p>
      <w:pPr>
        <w:pStyle w:val="MdParagraph"/>
      </w:pPr>
      <w:r>
        <w:t xml:space="preserve">يبدأ التنفيذ بفريق محدد: مسؤول تطوير الأعمال والتسويق والمبيعات، موظفة وموظف للمتابعة والبيع والمعاينات، مسؤول مشروع، ومسؤول مالي وإداري من داخل المطور. يضاف مصور أو مصمم أو دعم قانوني وهندسي عند الحاجة.</w:t>
      </w:r>
    </w:p>
    <w:p>
      <w:pPr>
        <w:pStyle w:val="MdSpace"/>
        <w:spacing w:before="0" w:after="60"/>
      </w:pPr>
    </w:p>
    <w:p>
      <w:pPr>
        <w:pStyle w:val="MdParagraph"/>
      </w:pPr>
      <w:r>
        <w:t xml:space="preserve">مسؤول تطوير الأعمال يطلع على ما تم بيعه والحجوزات والتحصيلات والمبالغ المسددة والمتبقي والأعداد والتواريخ لإعداد التارجت والتقارير. لا تعني الصلاحية حق الصرف أو تعديل القيود. مسؤول المشروع يؤكد الجاهزية والتسليم، والمسؤول المالي والإداري يطابق البيع والتحصيل، والموظفان يديران العملاء والمعاينات والمتابعة اليومية.</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مؤشرات القياس</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Borders>
              <w:right w:val="none"/>
            </w:tcBorders>
            <w:tcMar>
              <w:top w:type="dxa" w:w="100"/>
              <w:left w:type="dxa" w:w="120"/>
              <w:bottom w:type="dxa" w:w="100"/>
              <w:right w:type="dxa" w:w="120"/>
            </w:tcMar>
            <w:vAlign w:val="center"/>
          </w:tcPr>
          <w:p>
            <w:pPr>
              <w:pStyle w:val="MdTableHeader"/>
            </w:pPr>
            <w:r>
              <w:t xml:space="preserve">التعريف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H6</w:t>
            </w:r>
          </w:p>
        </w:tc>
        <w:tc>
          <w:tcPr>
            <w:tcBorders>
              <w:right w:val="none"/>
            </w:tcBorders>
            <w:tcMar>
              <w:top w:type="dxa" w:w="80"/>
              <w:left w:type="dxa" w:w="120"/>
              <w:bottom w:type="dxa" w:w="80"/>
              <w:right w:type="dxa" w:w="120"/>
            </w:tcMar>
            <w:vAlign w:val="center"/>
          </w:tcPr>
          <w:p>
            <w:pPr>
              <w:pStyle w:val="MdTableCell"/>
            </w:pPr>
            <w:r>
              <w:t xml:space="preserve">التسجيلات أو الحجوزات المعتمدة خلال آخر 6 أشهر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التارجت</w:t>
            </w:r>
          </w:p>
        </w:tc>
        <w:tc>
          <w:tcPr>
            <w:tcBorders>
              <w:right w:val="none"/>
            </w:tcBorders>
            <w:tcMar>
              <w:top w:type="dxa" w:w="80"/>
              <w:left w:type="dxa" w:w="120"/>
              <w:bottom w:type="dxa" w:w="80"/>
              <w:right w:type="dxa" w:w="120"/>
            </w:tcMar>
            <w:vAlign w:val="center"/>
          </w:tcPr>
          <w:p>
            <w:pPr>
              <w:pStyle w:val="MdTableCell"/>
            </w:pPr>
            <w:r>
              <w:t xml:space="preserve">2 × H6 خلال الستة أشهر التالية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سرعة الرد</w:t>
            </w:r>
          </w:p>
        </w:tc>
        <w:tc>
          <w:tcPr>
            <w:tcBorders>
              <w:right w:val="none"/>
            </w:tcBorders>
            <w:tcMar>
              <w:top w:type="dxa" w:w="80"/>
              <w:left w:type="dxa" w:w="120"/>
              <w:bottom w:type="dxa" w:w="80"/>
              <w:right w:type="dxa" w:w="120"/>
            </w:tcMar>
            <w:vAlign w:val="center"/>
          </w:tcPr>
          <w:p>
            <w:pPr>
              <w:pStyle w:val="MdTableCell"/>
            </w:pPr>
            <w:r>
              <w:t xml:space="preserve">الزمن من دخول العميل إلى أول متابعة موثقة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جودة العميل</w:t>
            </w:r>
          </w:p>
        </w:tc>
        <w:tc>
          <w:tcPr>
            <w:tcBorders>
              <w:right w:val="none"/>
            </w:tcBorders>
            <w:tcMar>
              <w:top w:type="dxa" w:w="80"/>
              <w:left w:type="dxa" w:w="120"/>
              <w:bottom w:type="dxa" w:w="80"/>
              <w:right w:type="dxa" w:w="120"/>
            </w:tcMar>
            <w:vAlign w:val="center"/>
          </w:tcPr>
          <w:p>
            <w:pPr>
              <w:pStyle w:val="MdTableCell"/>
            </w:pPr>
            <w:r>
              <w:t xml:space="preserve">نسبة العملاء المؤهلين من إجمالي التسجيلات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المعاينات</w:t>
            </w:r>
          </w:p>
        </w:tc>
        <w:tc>
          <w:tcPr>
            <w:tcBorders>
              <w:right w:val="none"/>
            </w:tcBorders>
            <w:tcMar>
              <w:top w:type="dxa" w:w="80"/>
              <w:left w:type="dxa" w:w="120"/>
              <w:bottom w:type="dxa" w:w="80"/>
              <w:right w:type="dxa" w:w="120"/>
            </w:tcMar>
            <w:vAlign w:val="center"/>
          </w:tcPr>
          <w:p>
            <w:pPr>
              <w:pStyle w:val="MdTableCell"/>
            </w:pPr>
            <w:r>
              <w:t xml:space="preserve">عدد المعاينات المنفذة ونسبة الحضور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العروض</w:t>
            </w:r>
          </w:p>
        </w:tc>
        <w:tc>
          <w:tcPr>
            <w:tcBorders>
              <w:right w:val="none"/>
            </w:tcBorders>
            <w:tcMar>
              <w:top w:type="dxa" w:w="80"/>
              <w:left w:type="dxa" w:w="120"/>
              <w:bottom w:type="dxa" w:w="80"/>
              <w:right w:type="dxa" w:w="120"/>
            </w:tcMar>
            <w:vAlign w:val="center"/>
          </w:tcPr>
          <w:p>
            <w:pPr>
              <w:pStyle w:val="MdTableCell"/>
            </w:pPr>
            <w:r>
              <w:t xml:space="preserve">عدد العروض المرسلة ونسبة الرد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الحجوزات</w:t>
            </w:r>
          </w:p>
        </w:tc>
        <w:tc>
          <w:tcPr>
            <w:tcBorders>
              <w:right w:val="none"/>
            </w:tcBorders>
            <w:tcMar>
              <w:top w:type="dxa" w:w="80"/>
              <w:left w:type="dxa" w:w="120"/>
              <w:bottom w:type="dxa" w:w="80"/>
              <w:right w:type="dxa" w:w="120"/>
            </w:tcMar>
            <w:vAlign w:val="center"/>
          </w:tcPr>
          <w:p>
            <w:pPr>
              <w:pStyle w:val="MdTableCell"/>
            </w:pPr>
            <w:r>
              <w:t xml:space="preserve">عدد الحجوزات المعتمدة وقيمتها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التحصيل</w:t>
            </w:r>
          </w:p>
        </w:tc>
        <w:tc>
          <w:tcPr>
            <w:tcBorders>
              <w:right w:val="none"/>
            </w:tcBorders>
            <w:tcMar>
              <w:top w:type="dxa" w:w="80"/>
              <w:left w:type="dxa" w:w="120"/>
              <w:bottom w:type="dxa" w:w="80"/>
              <w:right w:type="dxa" w:w="120"/>
            </w:tcMar>
            <w:vAlign w:val="center"/>
          </w:tcPr>
          <w:p>
            <w:pPr>
              <w:pStyle w:val="MdTableCell"/>
            </w:pPr>
            <w:r>
              <w:t xml:space="preserve">المبالغ المسددة والمتبقي وفق صلاحيات الإدارة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كفاءة القناة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حجوزات القناة مقارنة بتكلفتها المعتمدة</w:t>
            </w:r>
          </w:p>
        </w:tc>
      </w:tr>
    </w:tbl>
    <w:p>
      <w:pPr>
        <w:pStyle w:val="MdHr"/>
        <w:pBdr>
          <w:bottom w:val="single" w:color="auto" w:sz="6" w:space="1"/>
        </w:pBdr>
      </w:pPr>
    </w:p>
    <w:p>
      <w:pPr>
        <w:pStyle w:val="MdSpace"/>
        <w:spacing w:before="0" w:after="60"/>
      </w:pPr>
    </w:p>
    <w:p>
      <w:pPr>
        <w:pStyle w:val="Heading2"/>
        <w:pStyle w:val="MdHeading2"/>
      </w:pPr>
      <w:r>
        <w:t xml:space="preserve">12. خطة التقارير</w:t>
      </w:r>
    </w:p>
    <w:p>
      <w:pPr>
        <w:pStyle w:val="MdParagraph"/>
      </w:pPr>
      <w:r>
        <w:t xml:space="preserve">يرفع مدير المبيعات تقريرًا أسبوعيًا يوضح التسجيلات، المؤهلين، المعاينات، العروض، الحجوزات، قيمة التعاقدات، التحصيلات، المتبقي، حالة المخزون، أداء البروكرز، ومشكلات التسليم أو البيانات.</w:t>
      </w:r>
    </w:p>
    <w:p>
      <w:pPr>
        <w:pStyle w:val="MdSpace"/>
        <w:spacing w:before="0" w:after="60"/>
      </w:pPr>
    </w:p>
    <w:p>
      <w:pPr>
        <w:pStyle w:val="MdParagraph"/>
      </w:pPr>
      <w:r>
        <w:t xml:space="preserve">ويصدر تقرير شهري للإدارة العليا يتضمن مقارنة الفعلي بالتارجت، القنوات الأعلى جودة، الوحدات الأكثر طلبًا، أسباب فقد العملاء، والإجراءات المطلوبة. وفي 31 ديسمبر 2026 يصدر تقرير المرحلة الأولى لاتخاذ قرار التوسع أو التعديل.</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التصور الإعلاني المرئي</w:t>
      </w:r>
    </w:p>
    <w:p>
      <w:pPr>
        <w:pStyle w:val="Heading3"/>
        <w:pStyle w:val="MdHeading3"/>
      </w:pPr>
      <w:r>
        <w:t xml:space="preserve">التصميم الثابت</w:t>
      </w:r>
    </w:p>
    <w:p>
      <w:pPr>
        <w:pStyle w:val="MdParagraph"/>
      </w:pPr>
      <w:r>
        <w:t xml:space="preserve">يحتوي التصميم على صورة حقيقية للمبنى أو الوحدة في جانب، وفي الجانب الآخر عنوان قصير، نوع الوحدة، المساحة، وعبارة «اطلب كشف الوحدات المؤكد». يظهر رقم تواصل واحد أو QR واحد فقط لتجنب التشتيت. تستخدم ألوان هادئة ومحترفة، مع إبراز رقم الهاتف والدعوة للمعاينة.</w:t>
      </w:r>
    </w:p>
    <w:p>
      <w:pPr>
        <w:pStyle w:val="MdSpace"/>
        <w:spacing w:before="0" w:after="60"/>
      </w:pPr>
    </w:p>
    <w:p>
      <w:pPr>
        <w:pStyle w:val="Heading3"/>
        <w:pStyle w:val="MdHeading3"/>
      </w:pPr>
      <w:r>
        <w:t xml:space="preserve">تصميم اللافتة</w:t>
      </w:r>
    </w:p>
    <w:p>
      <w:pPr>
        <w:pStyle w:val="MdParagraph"/>
      </w:pPr>
      <w:r>
        <w:t xml:space="preserve">تكون الرسالة من 5 عناصر فقط: اسم المشروع، نوع الوحدات، ميزة الموقع بصياغة موثقة، رقم الهاتف، وQR أو كود موقع. كل موقع لافتة يحصل على رقم أو كود مختلف لتحديد مصدر العملاء. لا تستخدم اليافطة سعرًا إلا إذا كان السعر معتمدًا ومدة العرض واضحة.</w:t>
      </w:r>
    </w:p>
    <w:p>
      <w:pPr>
        <w:pStyle w:val="MdSpace"/>
        <w:spacing w:before="0" w:after="60"/>
      </w:pPr>
    </w:p>
    <w:p>
      <w:pPr>
        <w:pStyle w:val="Heading3"/>
        <w:pStyle w:val="MdHeading3"/>
      </w:pPr>
      <w:r>
        <w:t xml:space="preserve">تصميم LinkedIn</w:t>
      </w:r>
    </w:p>
    <w:p>
      <w:pPr>
        <w:pStyle w:val="MdParagraph"/>
      </w:pPr>
      <w:r>
        <w:t xml:space="preserve">يستخدم صورة واجهة أو خريطة وصول مع عنوان مهني: «فرصة توسع لبراندك أو مقر لنشاطك». الرسالة موجهة لمدير التوسع أو صاحب القرار، وليست إعلانًا جماهيريًا عامًا.</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الجدول التنفيذي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الفترة</w:t>
            </w:r>
          </w:p>
        </w:tc>
        <w:tc>
          <w:tcPr>
            <w:tcBorders>
              <w:right w:val="none"/>
            </w:tcBorders>
            <w:tcMar>
              <w:top w:type="dxa" w:w="100"/>
              <w:left w:type="dxa" w:w="120"/>
              <w:bottom w:type="dxa" w:w="100"/>
              <w:right w:type="dxa" w:w="120"/>
            </w:tcMar>
            <w:vAlign w:val="center"/>
          </w:tcPr>
          <w:p>
            <w:pPr>
              <w:pStyle w:val="MdTableHeader"/>
            </w:pPr>
            <w:r>
              <w:t xml:space="preserve">التنفيذ</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22–31 أغسطس 2026</w:t>
            </w:r>
          </w:p>
        </w:tc>
        <w:tc>
          <w:tcPr>
            <w:tcBorders>
              <w:right w:val="none"/>
            </w:tcBorders>
            <w:tcMar>
              <w:top w:type="dxa" w:w="80"/>
              <w:left w:type="dxa" w:w="120"/>
              <w:bottom w:type="dxa" w:w="80"/>
              <w:right w:type="dxa" w:w="120"/>
            </w:tcMar>
            <w:vAlign w:val="center"/>
          </w:tcPr>
          <w:p>
            <w:pPr>
              <w:pStyle w:val="MdTableCell"/>
            </w:pPr>
            <w:r>
              <w:t xml:space="preserve">تأكيد البيانات، مراجعة الوحدات، تصوير الموقع، إعداد CRM، وتحديد الفريق.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سبتمبر 2026</w:t>
            </w:r>
          </w:p>
        </w:tc>
        <w:tc>
          <w:tcPr>
            <w:tcBorders>
              <w:right w:val="none"/>
            </w:tcBorders>
            <w:tcMar>
              <w:top w:type="dxa" w:w="80"/>
              <w:left w:type="dxa" w:w="120"/>
              <w:bottom w:type="dxa" w:w="80"/>
              <w:right w:type="dxa" w:w="120"/>
            </w:tcMar>
            <w:vAlign w:val="center"/>
          </w:tcPr>
          <w:p>
            <w:pPr>
              <w:pStyle w:val="MdTableCell"/>
            </w:pPr>
            <w:r>
              <w:t xml:space="preserve">إطلاق المحتوى الأساسي، تفعيل البروكرز، بدء البحث الرقمي، وتجربة الرسائل.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أكتوبر 2026</w:t>
            </w:r>
          </w:p>
        </w:tc>
        <w:tc>
          <w:tcPr>
            <w:tcBorders>
              <w:right w:val="none"/>
            </w:tcBorders>
            <w:tcMar>
              <w:top w:type="dxa" w:w="80"/>
              <w:left w:type="dxa" w:w="120"/>
              <w:bottom w:type="dxa" w:w="80"/>
              <w:right w:type="dxa" w:w="120"/>
            </w:tcMar>
            <w:vAlign w:val="center"/>
          </w:tcPr>
          <w:p>
            <w:pPr>
              <w:pStyle w:val="MdTableCell"/>
            </w:pPr>
            <w:r>
              <w:t xml:space="preserve">تحسين القنوات بناءً على العملاء المؤهلين والمعاينات والحجوزات.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نوفمبر 2026</w:t>
            </w:r>
          </w:p>
        </w:tc>
        <w:tc>
          <w:tcPr>
            <w:tcBorders>
              <w:right w:val="none"/>
            </w:tcBorders>
            <w:tcMar>
              <w:top w:type="dxa" w:w="80"/>
              <w:left w:type="dxa" w:w="120"/>
              <w:bottom w:type="dxa" w:w="80"/>
              <w:right w:type="dxa" w:w="120"/>
            </w:tcMar>
            <w:vAlign w:val="center"/>
          </w:tcPr>
          <w:p>
            <w:pPr>
              <w:pStyle w:val="MdTableCell"/>
            </w:pPr>
            <w:r>
              <w:t xml:space="preserve">توسيع القطاعات الناجحة، زيادة المعاينات، وإعادة استهداف العملاء السابقين وفق الموافقة.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ديسمبر 2026</w:t>
            </w:r>
          </w:p>
        </w:tc>
        <w:tc>
          <w:tcPr>
            <w:tcBorders>
              <w:right w:val="none"/>
            </w:tcBorders>
            <w:tcMar>
              <w:top w:type="dxa" w:w="80"/>
              <w:left w:type="dxa" w:w="120"/>
              <w:bottom w:type="dxa" w:w="80"/>
              <w:right w:type="dxa" w:w="120"/>
            </w:tcMar>
            <w:vAlign w:val="center"/>
          </w:tcPr>
          <w:p>
            <w:pPr>
              <w:pStyle w:val="MdTableCell"/>
            </w:pPr>
            <w:r>
              <w:t xml:space="preserve">تقرير المرحلة الأولى، مقارنة H6، وتوصية الإدارة بالتعديل أو التوسع.</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يناير–يونيو 2027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تنفيذ خطة الستة أشهر والتارجت 2×H6، مع قرارات مستقبلية منفصلة.</w:t>
            </w:r>
          </w:p>
        </w:tc>
      </w:tr>
    </w:tbl>
    <w:p>
      <w:pPr>
        <w:pStyle w:val="MdHr"/>
        <w:pBdr>
          <w:bottom w:val="single" w:color="auto" w:sz="6" w:space="1"/>
        </w:pBdr>
      </w:pPr>
    </w:p>
    <w:p>
      <w:pPr>
        <w:pStyle w:val="MdSpace"/>
        <w:spacing w:before="0" w:after="60"/>
      </w:pPr>
    </w:p>
    <w:p>
      <w:pPr>
        <w:pStyle w:val="Heading2"/>
        <w:pStyle w:val="MdHeading2"/>
      </w:pPr>
      <w:r>
        <w:t xml:space="preserve">15. المطلوب من الإدارة</w:t>
      </w:r>
    </w:p>
    <w:p>
      <w:pPr>
        <w:pStyle w:val="MdParagraph"/>
      </w:pPr>
      <w:r>
        <w:t xml:space="preserve">تأكيد كشف الوحدات والأسعار والمساحات والحالات، تحديد نطاق ميزانية الحملة، اعتماد الوظائف، اعتماد نظام CRM والصلاحيات، اعتماد سياسة البروكرز، تحديد H6، اعتماد المواد الإعلانية، وتحديد مسؤول الموافقة على أي وعد متعلق بالتسليم أو السعر أو التشطيب.</w:t>
      </w:r>
    </w:p>
    <w:p>
      <w:pPr>
        <w:pStyle w:val="MdSpace"/>
        <w:spacing w:before="0" w:after="60"/>
      </w:pPr>
    </w:p>
    <w:p>
      <w:pPr>
        <w:pStyle w:val="MdParagraph"/>
      </w:pPr>
      <w:r>
        <w:t xml:space="preserve">لا تدخل ضمن اعتماد الحملة الفوري قرارات استكمال التشطيبات أو عدم بيع الأرض أو نقل مكتب التسويق أو التوسع الكبير. تعرض هذه المقترحات مستقبلًا بعد ظهور نتائج الحجوزات والتحصيلات ودراسة الجدوى.</w:t>
      </w:r>
    </w:p>
    <w:p>
      <w:pPr>
        <w:pStyle w:val="MdSpace"/>
        <w:spacing w:before="0" w:after="60"/>
      </w:pPr>
    </w:p>
    <w:p>
      <w:pPr>
        <w:pStyle w:val="Heading2"/>
        <w:pStyle w:val="MdHeading2"/>
      </w:pPr>
      <w:r>
        <w:t xml:space="preserve">المراجع والبيانات</w:t>
      </w:r>
    </w:p>
    <w:p>
      <w:pPr>
        <w:pStyle w:val="MdListItem"/>
        <w:numPr>
          <w:ilvl w:val="0"/>
          <w:numId w:val="2"/>
        </w:numPr>
      </w:pPr>
      <w:r>
        <w:t xml:space="preserve">ملفات الوحدات الإدارية والمحلات التجارية المقدمة من الإدارة، أبريل 2026.</w:t>
      </w:r>
    </w:p>
    <w:p>
      <w:pPr>
        <w:pStyle w:val="MdListItem"/>
        <w:numPr>
          <w:ilvl w:val="0"/>
          <w:numId w:val="2"/>
        </w:numPr>
      </w:pPr>
      <w:r>
        <w:t xml:space="preserve">بيانات الأرض والمخطط والمساحات المقدمة من المستخدم.</w:t>
      </w:r>
    </w:p>
    <w:p>
      <w:pPr>
        <w:pStyle w:val="MdListItem"/>
        <w:numPr>
          <w:ilvl w:val="0"/>
          <w:numId w:val="2"/>
        </w:numPr>
      </w:pPr>
      <w:r>
        <w:t xml:space="preserve">أسعار الطلب المقارنة المنشورة في عقارماب للمطرية، وتستخدم كمؤشرات سوقية لا كتقييمات نهائية.</w:t>
      </w:r>
    </w:p>
    <w:p>
      <w:pPr>
        <w:pStyle w:val="MdSpace"/>
        <w:spacing w:before="0" w:after="60"/>
      </w:pPr>
    </w:p>
    <w:p>
      <w:pPr>
        <w:pStyle w:val="Heading1"/>
        <w:pStyle w:val="MdHeading1"/>
      </w:pPr>
      <w:r>
        <w:t xml:space="preserve">مصدر مدمج: cairo_plaza_campaign_budget_brokers_board_script.md</w:t>
      </w:r>
    </w:p>
    <w:p>
      <w:pPr>
        <w:pStyle w:val="Heading1"/>
        <w:pStyle w:val="MdHeading1"/>
      </w:pPr>
      <w:r>
        <w:t xml:space="preserve">الملف التنفيذي للحملة التسويقية والتشغيلية</w:t>
      </w:r>
    </w:p>
    <w:p>
      <w:pPr>
        <w:pStyle w:val="Heading2"/>
        <w:pStyle w:val="MdHeading2"/>
      </w:pPr>
      <w:r>
        <w:t xml:space="preserve">الميزانية الشهرية، تحفيز البروكرز، وسيناريو العرض أمام مجلس الإدارة</w:t>
      </w:r>
    </w:p>
    <w:p>
      <w:pPr>
        <w:pStyle w:val="MdParagraph"/>
      </w:pPr>
      <w:r>
        <w:rPr>
          <w:rStyle w:val="MdStrong"/>
          <w:b/>
          <w:bCs/>
        </w:rPr>
        <w:t xml:space="preserve">المشروع:</w:t>
      </w:r>
      <w:r>
        <w:t xml:space="preserve"> كايرو بلازا — المطرية</w:t>
      </w:r>
      <w:r>
        <w:rPr>
          <w:rStyle w:val="MdBr"/>
        </w:rPr>
        <w:br/>
        <w:t xml:space="preserve"/>
      </w:r>
      <w:r>
        <w:rPr>
          <w:rStyle w:val="MdStrong"/>
          <w:b/>
          <w:bCs/>
        </w:rPr>
        <w:t xml:space="preserve">الفترة:</w:t>
      </w:r>
      <w:r>
        <w:t xml:space="preserve"> أول 6 أشهر من التنفيذ بعد اعتماد الخطة</w:t>
      </w:r>
      <w:r>
        <w:rPr>
          <w:rStyle w:val="MdBr"/>
        </w:rPr>
        <w:br/>
        <w:t xml:space="preserve"/>
      </w:r>
      <w:r>
        <w:rPr>
          <w:rStyle w:val="MdStrong"/>
          <w:b/>
          <w:bCs/>
        </w:rPr>
        <w:t xml:space="preserve">المرحلة الأولى:</w:t>
      </w:r>
      <w:r>
        <w:t xml:space="preserve"> 22 أغسطس 2026 إلى 31 ديسمبر 2026</w:t>
      </w:r>
      <w:r>
        <w:rPr>
          <w:rStyle w:val="MdBr"/>
        </w:rPr>
        <w:br/>
        <w:t xml:space="preserve"/>
      </w:r>
      <w:r>
        <w:rPr>
          <w:rStyle w:val="MdStrong"/>
          <w:b/>
          <w:bCs/>
        </w:rPr>
        <w:t xml:space="preserve">الحالة:</w:t>
      </w:r>
      <w:r>
        <w:t xml:space="preserve"> مقترح للاعتماد الإداري</w:t>
      </w:r>
    </w:p>
    <w:p>
      <w:pPr>
        <w:pStyle w:val="MdSpace"/>
        <w:spacing w:before="0" w:after="60"/>
      </w:pPr>
    </w:p>
    <w:p>
      <w:pPr>
        <w:pStyle w:val="MdBlockquote"/>
      </w:pPr>
      <w:r>
        <w:rPr>
          <w:rStyle w:val="MdStrong"/>
          <w:b/>
          <w:bCs/>
        </w:rPr>
        <w:t xml:space="preserve">تنبيه:</w:t>
      </w:r>
      <w:r>
        <w:t xml:space="preserve"> هذا نموذج تخطيطي وليس التزامًا ماليًا. تُترك قيم الميزانية النقدية فارغة ويحددها مجلس الإدارة بعد مراجعة السيولة والأولويات والعروض الفعلية. لا يتم تشغيل أي حملة أو صرف أي عمولة قبل اعتماد مكتوب.</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أولًا: ملخص القرار المطلوب</w:t>
      </w:r>
    </w:p>
    <w:p>
      <w:pPr>
        <w:pStyle w:val="MdParagraph"/>
      </w:pPr>
      <w:r>
        <w:t xml:space="preserve">المطلوب اعتماد إطار ميزانية مرن لمدة ستة أشهر، موزع على ثلاث مجموعات رئيسية: </w:t>
      </w:r>
      <w:r>
        <w:rPr>
          <w:rStyle w:val="MdStrong"/>
          <w:b/>
          <w:bCs/>
        </w:rPr>
        <w:t xml:space="preserve">Meta</w:t>
      </w:r>
      <w:r>
        <w:t xml:space="preserve">، و</w:t>
      </w:r>
      <w:r>
        <w:rPr>
          <w:rStyle w:val="MdStrong"/>
          <w:b/>
          <w:bCs/>
        </w:rPr>
        <w:t xml:space="preserve">Google Ads</w:t>
      </w:r>
      <w:r>
        <w:t xml:space="preserve">، و</w:t>
      </w:r>
      <w:r>
        <w:rPr>
          <w:rStyle w:val="MdStrong"/>
          <w:b/>
          <w:bCs/>
        </w:rPr>
        <w:t xml:space="preserve">Outdoor</w:t>
      </w:r>
      <w:r>
        <w:t xml:space="preserve">. ويعتمد الصرف على مراحل؛ يبدأ باختبار محدود، ثم يعاد توزيع الإنفاق على القنوات التي تحقق عملاء مؤهلين ومعاينات وحجوزات معتمدة، وليس على عدد المشاهدات أو الرسائل فقط.</w:t>
      </w:r>
    </w:p>
    <w:p>
      <w:pPr>
        <w:pStyle w:val="MdSpace"/>
        <w:spacing w:before="0" w:after="60"/>
      </w:pPr>
    </w:p>
    <w:p>
      <w:pPr>
        <w:pStyle w:val="MdParagraph"/>
      </w:pPr>
      <w:r>
        <w:t xml:space="preserve">كما يقترح اعتماد برنامج بروكرز واضح يرتبط بالتسجيل الصحيح، والحجز المعتمد، والتحصيل الفعلي. تكون عمولة البروكر </w:t>
      </w:r>
      <w:r>
        <w:rPr>
          <w:rStyle w:val="MdStrong"/>
          <w:b/>
          <w:bCs/>
        </w:rPr>
        <w:t xml:space="preserve">6% من إجمالي قيمة التعاقد عند سداد العميل أكثر من 75% من قيمة الوحدة</w:t>
      </w:r>
      <w:r>
        <w:t xml:space="preserve">. وإذا كان السداد </w:t>
      </w:r>
      <w:r>
        <w:rPr>
          <w:rStyle w:val="MdStrong"/>
          <w:b/>
          <w:bCs/>
        </w:rPr>
        <w:t xml:space="preserve">75% أو أقل</w:t>
      </w:r>
      <w:r>
        <w:t xml:space="preserve">، تحسب العمولة من </w:t>
      </w:r>
      <w:r>
        <w:rPr>
          <w:rStyle w:val="MdStrong"/>
          <w:b/>
          <w:bCs/>
        </w:rPr>
        <w:t xml:space="preserve">المبالغ المسددة فعليًا</w:t>
      </w:r>
      <w:r>
        <w:t xml:space="preserve">، وبالنسبة المقترحة </w:t>
      </w:r>
      <w:r>
        <w:rPr>
          <w:rStyle w:val="MdStrong"/>
          <w:b/>
          <w:bCs/>
        </w:rPr>
        <w:t xml:space="preserve">4% من المسدد</w:t>
      </w:r>
      <w:r>
        <w:t xml:space="preserve">، ما لم تعتمد الإدارة كتابةً خلاف ذلك.</w:t>
      </w:r>
    </w:p>
    <w:p>
      <w:pPr>
        <w:pStyle w:val="MdSpace"/>
        <w:spacing w:before="0" w:after="60"/>
      </w:pPr>
    </w:p>
    <w:p>
      <w:pPr>
        <w:pStyle w:val="MdParagraph"/>
      </w:pPr>
      <w:r>
        <w:t xml:space="preserve">الهدف التجاري للستة أشهر هو مضاعفة خط الأساس H6: أي تحقيق </w:t>
      </w:r>
      <w:r>
        <w:rPr>
          <w:rStyle w:val="MdStrong"/>
          <w:b/>
          <w:bCs/>
        </w:rPr>
        <w:t xml:space="preserve">2 × عدد التسجيلات أو الحجوزات المعتمدة خلال آخر 6 أشهر</w:t>
      </w:r>
      <w:r>
        <w:t xml:space="preserve">. ويظل بيع الوحدات بالكامل خلال النصف الأول من 2027 هدفًا إداريًا مشروطًا بالنتائج، وليس ضمانًا.</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ثانيًا: هيكل الميزانية المقترح</w:t>
      </w:r>
    </w:p>
    <w:p>
      <w:pPr>
        <w:pStyle w:val="Heading2"/>
        <w:pStyle w:val="MdHeading2"/>
      </w:pPr>
      <w:r>
        <w:t xml:space="preserve">1. قاعدة التوزيع الرئيسية</w:t>
      </w:r>
    </w:p>
    <w:p>
      <w:pPr>
        <w:pStyle w:val="MdParagraph"/>
      </w:pPr>
      <w:r>
        <w:t xml:space="preserve">بدل تثبيت أرقام قد لا تناسب قرار الإدارة، يقترح توزيع الميزانية كنسب قابلة للتطبيق على أي إجمالي تعتمدُه الإدارة: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القناة</w:t>
            </w:r>
          </w:p>
        </w:tc>
        <w:tc>
          <w:tcPr>
            <w:tcMar>
              <w:top w:type="dxa" w:w="100"/>
              <w:left w:type="dxa" w:w="120"/>
              <w:bottom w:type="dxa" w:w="100"/>
              <w:right w:type="dxa" w:w="120"/>
            </w:tcMar>
            <w:vAlign w:val="center"/>
          </w:tcPr>
          <w:p>
            <w:pPr>
              <w:pStyle w:val="MdTableHeader"/>
              <w:jc w:val="right"/>
            </w:pPr>
            <w:r>
              <w:t xml:space="preserve">النسبة الإرشادية من ميزانية الإعلام</w:t>
            </w:r>
          </w:p>
        </w:tc>
        <w:tc>
          <w:tcPr>
            <w:tcBorders>
              <w:right w:val="none"/>
            </w:tcBorders>
            <w:tcMar>
              <w:top w:type="dxa" w:w="100"/>
              <w:left w:type="dxa" w:w="120"/>
              <w:bottom w:type="dxa" w:w="100"/>
              <w:right w:type="dxa" w:w="120"/>
            </w:tcMar>
            <w:vAlign w:val="center"/>
          </w:tcPr>
          <w:p>
            <w:pPr>
              <w:pStyle w:val="MdTableHeader"/>
            </w:pPr>
            <w:r>
              <w:t xml:space="preserve">الوظيفة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 Facebook / Instagram / WhatsApp</w:t>
            </w:r>
          </w:p>
        </w:tc>
        <w:tc>
          <w:tcPr>
            <w:tcMar>
              <w:top w:type="dxa" w:w="80"/>
              <w:left w:type="dxa" w:w="120"/>
              <w:bottom w:type="dxa" w:w="80"/>
              <w:right w:type="dxa" w:w="120"/>
            </w:tcMar>
            <w:vAlign w:val="center"/>
          </w:tcPr>
          <w:p>
            <w:pPr>
              <w:pStyle w:val="MdTableCell"/>
              <w:jc w:val="right"/>
            </w:pPr>
            <w:r>
              <w:t xml:space="preserve">40%</w:t>
            </w:r>
          </w:p>
        </w:tc>
        <w:tc>
          <w:tcPr>
            <w:tcBorders>
              <w:right w:val="none"/>
            </w:tcBorders>
            <w:tcMar>
              <w:top w:type="dxa" w:w="80"/>
              <w:left w:type="dxa" w:w="120"/>
              <w:bottom w:type="dxa" w:w="80"/>
              <w:right w:type="dxa" w:w="120"/>
            </w:tcMar>
            <w:vAlign w:val="center"/>
          </w:tcPr>
          <w:p>
            <w:pPr>
              <w:pStyle w:val="MdTableCell"/>
            </w:pPr>
            <w:r>
              <w:t xml:space="preserve">الوصول، الفيديو، إعادة الاستهداف، وتحويل الاستفسار إلى محادثة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Ads</w:t>
            </w:r>
          </w:p>
        </w:tc>
        <w:tc>
          <w:tcPr>
            <w:tcMar>
              <w:top w:type="dxa" w:w="80"/>
              <w:left w:type="dxa" w:w="120"/>
              <w:bottom w:type="dxa" w:w="80"/>
              <w:right w:type="dxa" w:w="120"/>
            </w:tcMar>
            <w:vAlign w:val="center"/>
          </w:tcPr>
          <w:p>
            <w:pPr>
              <w:pStyle w:val="MdTableCell"/>
              <w:jc w:val="right"/>
            </w:pPr>
            <w:r>
              <w:t xml:space="preserve">30%</w:t>
            </w:r>
          </w:p>
        </w:tc>
        <w:tc>
          <w:tcPr>
            <w:tcBorders>
              <w:right w:val="none"/>
            </w:tcBorders>
            <w:tcMar>
              <w:top w:type="dxa" w:w="80"/>
              <w:left w:type="dxa" w:w="120"/>
              <w:bottom w:type="dxa" w:w="80"/>
              <w:right w:type="dxa" w:w="120"/>
            </w:tcMar>
            <w:vAlign w:val="center"/>
          </w:tcPr>
          <w:p>
            <w:pPr>
              <w:pStyle w:val="MdTableCell"/>
            </w:pPr>
            <w:r>
              <w:t xml:space="preserve">التقاط الطلب المباشر من الباحثين عن محلات ومكاتب وعيادات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Outdoor</w:t>
            </w:r>
          </w:p>
        </w:tc>
        <w:tc>
          <w:tcPr>
            <w:tcMar>
              <w:top w:type="dxa" w:w="80"/>
              <w:left w:type="dxa" w:w="120"/>
              <w:bottom w:type="dxa" w:w="80"/>
              <w:right w:type="dxa" w:w="120"/>
            </w:tcMar>
            <w:vAlign w:val="center"/>
          </w:tcPr>
          <w:p>
            <w:pPr>
              <w:pStyle w:val="MdTableCell"/>
              <w:jc w:val="right"/>
            </w:pPr>
            <w:r>
              <w:t xml:space="preserve">30%</w:t>
            </w:r>
          </w:p>
        </w:tc>
        <w:tc>
          <w:tcPr>
            <w:tcBorders>
              <w:right w:val="none"/>
            </w:tcBorders>
            <w:tcMar>
              <w:top w:type="dxa" w:w="80"/>
              <w:left w:type="dxa" w:w="120"/>
              <w:bottom w:type="dxa" w:w="80"/>
              <w:right w:type="dxa" w:w="120"/>
            </w:tcMar>
            <w:vAlign w:val="center"/>
          </w:tcPr>
          <w:p>
            <w:pPr>
              <w:pStyle w:val="MdTableCell"/>
            </w:pPr>
            <w:r>
              <w:t xml:space="preserve">بناء حضور محلي والتقاط العملاء أمام الموقع والمحطة والشوارع الرئيسية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Paragraph"/>
      </w:pPr>
      <w:r>
        <w:t xml:space="preserve">لا تشمل هذه النسب عمولات البروكرز أو تكلفة التصوير والإنتاج أو رسوم النظام أو المطبوعات إلا إذا اعتمدت الإدارة إدراجها ضمن بند مستقل.</w:t>
      </w:r>
    </w:p>
    <w:p>
      <w:pPr>
        <w:pStyle w:val="MdSpace"/>
        <w:spacing w:before="0" w:after="60"/>
      </w:pPr>
    </w:p>
    <w:p>
      <w:pPr>
        <w:pStyle w:val="Heading2"/>
        <w:pStyle w:val="MdHeading2"/>
      </w:pPr>
      <w:r>
        <w:t xml:space="preserve">2. جدول الميزانية الشهري — قيم الصرف يحددها مجلس الإدارة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الشهر</w:t>
            </w:r>
          </w:p>
        </w:tc>
        <w:tc>
          <w:tcPr>
            <w:tcMar>
              <w:top w:type="dxa" w:w="100"/>
              <w:left w:type="dxa" w:w="120"/>
              <w:bottom w:type="dxa" w:w="100"/>
              <w:right w:type="dxa" w:w="120"/>
            </w:tcMar>
            <w:vAlign w:val="center"/>
          </w:tcPr>
          <w:p>
            <w:pPr>
              <w:pStyle w:val="MdTableHeader"/>
            </w:pPr>
            <w:r>
              <w:t xml:space="preserve">الهدف</w:t>
            </w:r>
          </w:p>
        </w:tc>
        <w:tc>
          <w:tcPr>
            <w:tcMar>
              <w:top w:type="dxa" w:w="100"/>
              <w:left w:type="dxa" w:w="120"/>
              <w:bottom w:type="dxa" w:w="100"/>
              <w:right w:type="dxa" w:w="120"/>
            </w:tcMar>
            <w:vAlign w:val="center"/>
          </w:tcPr>
          <w:p>
            <w:pPr>
              <w:pStyle w:val="MdTableHeader"/>
              <w:jc w:val="right"/>
            </w:pPr>
            <w:r>
              <w:t xml:space="preserve">إجمالي ميزانية الشهر</w:t>
            </w:r>
          </w:p>
        </w:tc>
        <w:tc>
          <w:tcPr>
            <w:tcMar>
              <w:top w:type="dxa" w:w="100"/>
              <w:left w:type="dxa" w:w="120"/>
              <w:bottom w:type="dxa" w:w="100"/>
              <w:right w:type="dxa" w:w="120"/>
            </w:tcMar>
            <w:vAlign w:val="center"/>
          </w:tcPr>
          <w:p>
            <w:pPr>
              <w:pStyle w:val="MdTableHeader"/>
              <w:jc w:val="right"/>
            </w:pPr>
            <w:r>
              <w:t xml:space="preserve">Meta 40%</w:t>
            </w:r>
          </w:p>
        </w:tc>
        <w:tc>
          <w:tcPr>
            <w:tcMar>
              <w:top w:type="dxa" w:w="100"/>
              <w:left w:type="dxa" w:w="120"/>
              <w:bottom w:type="dxa" w:w="100"/>
              <w:right w:type="dxa" w:w="120"/>
            </w:tcMar>
            <w:vAlign w:val="center"/>
          </w:tcPr>
          <w:p>
            <w:pPr>
              <w:pStyle w:val="MdTableHeader"/>
              <w:jc w:val="right"/>
            </w:pPr>
            <w:r>
              <w:t xml:space="preserve">Google 30%</w:t>
            </w:r>
          </w:p>
        </w:tc>
        <w:tc>
          <w:tcPr>
            <w:tcMar>
              <w:top w:type="dxa" w:w="100"/>
              <w:left w:type="dxa" w:w="120"/>
              <w:bottom w:type="dxa" w:w="100"/>
              <w:right w:type="dxa" w:w="120"/>
            </w:tcMar>
            <w:vAlign w:val="center"/>
          </w:tcPr>
          <w:p>
            <w:pPr>
              <w:pStyle w:val="MdTableHeader"/>
              <w:jc w:val="right"/>
            </w:pPr>
            <w:r>
              <w:t xml:space="preserve">Outdoor 30%</w:t>
            </w:r>
          </w:p>
        </w:tc>
        <w:tc>
          <w:tcPr>
            <w:tcBorders>
              <w:right w:val="none"/>
            </w:tcBorders>
            <w:tcMar>
              <w:top w:type="dxa" w:w="100"/>
              <w:left w:type="dxa" w:w="120"/>
              <w:bottom w:type="dxa" w:w="100"/>
              <w:right w:type="dxa" w:w="120"/>
            </w:tcMar>
            <w:vAlign w:val="center"/>
          </w:tcPr>
          <w:p>
            <w:pPr>
              <w:pStyle w:val="MdTableHeader"/>
            </w:pPr>
            <w:r>
              <w:t xml:space="preserve">قرار الانتقال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1</w:t>
            </w:r>
          </w:p>
        </w:tc>
        <w:tc>
          <w:tcPr>
            <w:tcMar>
              <w:top w:type="dxa" w:w="80"/>
              <w:left w:type="dxa" w:w="120"/>
              <w:bottom w:type="dxa" w:w="80"/>
              <w:right w:type="dxa" w:w="120"/>
            </w:tcMar>
            <w:vAlign w:val="center"/>
          </w:tcPr>
          <w:p>
            <w:pPr>
              <w:pStyle w:val="MdTableCell"/>
            </w:pPr>
            <w:r>
              <w:t xml:space="preserve">اختبار الرسائل، تأكيد البيانات، وتجهيز التتبع</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الاستمرار إذا ظهرت تسجيلات مؤهلة ومعاينات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2</w:t>
            </w:r>
          </w:p>
        </w:tc>
        <w:tc>
          <w:tcPr>
            <w:tcMar>
              <w:top w:type="dxa" w:w="80"/>
              <w:left w:type="dxa" w:w="120"/>
              <w:bottom w:type="dxa" w:w="80"/>
              <w:right w:type="dxa" w:w="120"/>
            </w:tcMar>
            <w:vAlign w:val="center"/>
          </w:tcPr>
          <w:p>
            <w:pPr>
              <w:pStyle w:val="MdTableCell"/>
            </w:pPr>
            <w:r>
              <w:t xml:space="preserve">تحسين الإعلانات وتوسيع أفضل الشرائح</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إعادة توزيع حسب تكلفة العميل المؤهل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3</w:t>
            </w:r>
          </w:p>
        </w:tc>
        <w:tc>
          <w:tcPr>
            <w:tcMar>
              <w:top w:type="dxa" w:w="80"/>
              <w:left w:type="dxa" w:w="120"/>
              <w:bottom w:type="dxa" w:w="80"/>
              <w:right w:type="dxa" w:w="120"/>
            </w:tcMar>
            <w:vAlign w:val="center"/>
          </w:tcPr>
          <w:p>
            <w:pPr>
              <w:pStyle w:val="MdTableCell"/>
            </w:pPr>
            <w:r>
              <w:t xml:space="preserve">زيادة المعاينات والبروكرز وإعادة الاستهداف</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مراجعة الحجز والتحصيل لا الرسائل فقط</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4</w:t>
            </w:r>
          </w:p>
        </w:tc>
        <w:tc>
          <w:tcPr>
            <w:tcMar>
              <w:top w:type="dxa" w:w="80"/>
              <w:left w:type="dxa" w:w="120"/>
              <w:bottom w:type="dxa" w:w="80"/>
              <w:right w:type="dxa" w:w="120"/>
            </w:tcMar>
            <w:vAlign w:val="center"/>
          </w:tcPr>
          <w:p>
            <w:pPr>
              <w:pStyle w:val="MdTableCell"/>
            </w:pPr>
            <w:r>
              <w:t xml:space="preserve">توسيع القنوات الرابحة والقطاعات الأعلى تحويلًا</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موافقة الإدارة على أي زيادة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5</w:t>
            </w:r>
          </w:p>
        </w:tc>
        <w:tc>
          <w:tcPr>
            <w:tcMar>
              <w:top w:type="dxa" w:w="80"/>
              <w:left w:type="dxa" w:w="120"/>
              <w:bottom w:type="dxa" w:w="80"/>
              <w:right w:type="dxa" w:w="120"/>
            </w:tcMar>
            <w:vAlign w:val="center"/>
          </w:tcPr>
          <w:p>
            <w:pPr>
              <w:pStyle w:val="MdTableCell"/>
            </w:pPr>
            <w:r>
              <w:t xml:space="preserve">دفع الوحدات ذات الأولوية وتحويل الفرص القديمة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قياس قيمة الحجز والتحصيل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الشهر 6</w:t>
            </w:r>
          </w:p>
        </w:tc>
        <w:tc>
          <w:tcPr>
            <w:tcMar>
              <w:top w:type="dxa" w:w="80"/>
              <w:left w:type="dxa" w:w="120"/>
              <w:bottom w:type="dxa" w:w="80"/>
              <w:right w:type="dxa" w:w="120"/>
            </w:tcMar>
            <w:vAlign w:val="center"/>
          </w:tcPr>
          <w:p>
            <w:pPr>
              <w:pStyle w:val="MdTableCell"/>
            </w:pPr>
            <w:r>
              <w:t xml:space="preserve">إغلاق الفرص وتقارير التارجت والقرار التالي</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تقرير 2×H6 وقرار التوسع أو التعديل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الإجمالي</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2"/>
        <w:pStyle w:val="MdHeading2"/>
      </w:pPr>
      <w:r>
        <w:t xml:space="preserve">3. بوابات الصرف</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البوابة</w:t>
            </w:r>
          </w:p>
        </w:tc>
        <w:tc>
          <w:tcPr>
            <w:tcMar>
              <w:top w:type="dxa" w:w="100"/>
              <w:left w:type="dxa" w:w="120"/>
              <w:bottom w:type="dxa" w:w="100"/>
              <w:right w:type="dxa" w:w="120"/>
            </w:tcMar>
            <w:vAlign w:val="center"/>
          </w:tcPr>
          <w:p>
            <w:pPr>
              <w:pStyle w:val="MdTableHeader"/>
            </w:pPr>
            <w:r>
              <w:t xml:space="preserve">شرط الصرف</w:t>
            </w:r>
          </w:p>
        </w:tc>
        <w:tc>
          <w:tcPr>
            <w:tcBorders>
              <w:right w:val="none"/>
            </w:tcBorders>
            <w:tcMar>
              <w:top w:type="dxa" w:w="100"/>
              <w:left w:type="dxa" w:w="120"/>
              <w:bottom w:type="dxa" w:w="100"/>
              <w:right w:type="dxa" w:w="120"/>
            </w:tcMar>
            <w:vAlign w:val="center"/>
          </w:tcPr>
          <w:p>
            <w:pPr>
              <w:pStyle w:val="MdTableHeader"/>
            </w:pPr>
            <w:r>
              <w:t xml:space="preserve">القرار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قبل الإطلاق</w:t>
            </w:r>
          </w:p>
        </w:tc>
        <w:tc>
          <w:tcPr>
            <w:tcMar>
              <w:top w:type="dxa" w:w="80"/>
              <w:left w:type="dxa" w:w="120"/>
              <w:bottom w:type="dxa" w:w="80"/>
              <w:right w:type="dxa" w:w="120"/>
            </w:tcMar>
            <w:vAlign w:val="center"/>
          </w:tcPr>
          <w:p>
            <w:pPr>
              <w:pStyle w:val="MdTableCell"/>
            </w:pPr>
            <w:r>
              <w:t xml:space="preserve">اعتماد الوحدات والأسعار والمواد وأرقام التتبع</w:t>
            </w:r>
          </w:p>
        </w:tc>
        <w:tc>
          <w:tcPr>
            <w:tcBorders>
              <w:right w:val="none"/>
            </w:tcBorders>
            <w:tcMar>
              <w:top w:type="dxa" w:w="80"/>
              <w:left w:type="dxa" w:w="120"/>
              <w:bottom w:type="dxa" w:w="80"/>
              <w:right w:type="dxa" w:w="120"/>
            </w:tcMar>
            <w:vAlign w:val="center"/>
          </w:tcPr>
          <w:p>
            <w:pPr>
              <w:pStyle w:val="MdTableCell"/>
            </w:pPr>
            <w:r>
              <w:t xml:space="preserve">لا إطلاق قبل التوقيع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بعد أول أسبوعين</w:t>
            </w:r>
          </w:p>
        </w:tc>
        <w:tc>
          <w:tcPr>
            <w:tcMar>
              <w:top w:type="dxa" w:w="80"/>
              <w:left w:type="dxa" w:w="120"/>
              <w:bottom w:type="dxa" w:w="80"/>
              <w:right w:type="dxa" w:w="120"/>
            </w:tcMar>
            <w:vAlign w:val="center"/>
          </w:tcPr>
          <w:p>
            <w:pPr>
              <w:pStyle w:val="MdTableCell"/>
            </w:pPr>
            <w:r>
              <w:t xml:space="preserve">مراجعة التسجيلات المؤهلة وسرعة الرد ومصادر العملاء</w:t>
            </w:r>
          </w:p>
        </w:tc>
        <w:tc>
          <w:tcPr>
            <w:tcBorders>
              <w:right w:val="none"/>
            </w:tcBorders>
            <w:tcMar>
              <w:top w:type="dxa" w:w="80"/>
              <w:left w:type="dxa" w:w="120"/>
              <w:bottom w:type="dxa" w:w="80"/>
              <w:right w:type="dxa" w:w="120"/>
            </w:tcMar>
            <w:vAlign w:val="center"/>
          </w:tcPr>
          <w:p>
            <w:pPr>
              <w:pStyle w:val="MdTableCell"/>
            </w:pPr>
            <w:r>
              <w:t xml:space="preserve">استمرار أو تعديل الرسالة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نهاية الشهر الأول</w:t>
            </w:r>
          </w:p>
        </w:tc>
        <w:tc>
          <w:tcPr>
            <w:tcMar>
              <w:top w:type="dxa" w:w="80"/>
              <w:left w:type="dxa" w:w="120"/>
              <w:bottom w:type="dxa" w:w="80"/>
              <w:right w:type="dxa" w:w="120"/>
            </w:tcMar>
            <w:vAlign w:val="center"/>
          </w:tcPr>
          <w:p>
            <w:pPr>
              <w:pStyle w:val="MdTableCell"/>
            </w:pPr>
            <w:r>
              <w:t xml:space="preserve">مقارنة القنوات بالمعاينات وليس بالتفاعل فقط</w:t>
            </w:r>
          </w:p>
        </w:tc>
        <w:tc>
          <w:tcPr>
            <w:tcBorders>
              <w:right w:val="none"/>
            </w:tcBorders>
            <w:tcMar>
              <w:top w:type="dxa" w:w="80"/>
              <w:left w:type="dxa" w:w="120"/>
              <w:bottom w:type="dxa" w:w="80"/>
              <w:right w:type="dxa" w:w="120"/>
            </w:tcMar>
            <w:vAlign w:val="center"/>
          </w:tcPr>
          <w:p>
            <w:pPr>
              <w:pStyle w:val="MdTableCell"/>
            </w:pPr>
            <w:r>
              <w:t xml:space="preserve">إعادة توزيع النسب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نهاية الشهر الثالث</w:t>
            </w:r>
          </w:p>
        </w:tc>
        <w:tc>
          <w:tcPr>
            <w:tcMar>
              <w:top w:type="dxa" w:w="80"/>
              <w:left w:type="dxa" w:w="120"/>
              <w:bottom w:type="dxa" w:w="80"/>
              <w:right w:type="dxa" w:w="120"/>
            </w:tcMar>
            <w:vAlign w:val="center"/>
          </w:tcPr>
          <w:p>
            <w:pPr>
              <w:pStyle w:val="MdTableCell"/>
            </w:pPr>
            <w:r>
              <w:t xml:space="preserve">مراجعة الحجوزات المعتمدة والتحصيل</w:t>
            </w:r>
          </w:p>
        </w:tc>
        <w:tc>
          <w:tcPr>
            <w:tcBorders>
              <w:right w:val="none"/>
            </w:tcBorders>
            <w:tcMar>
              <w:top w:type="dxa" w:w="80"/>
              <w:left w:type="dxa" w:w="120"/>
              <w:bottom w:type="dxa" w:w="80"/>
              <w:right w:type="dxa" w:w="120"/>
            </w:tcMar>
            <w:vAlign w:val="center"/>
          </w:tcPr>
          <w:p>
            <w:pPr>
              <w:pStyle w:val="MdTableCell"/>
            </w:pPr>
            <w:r>
              <w:t xml:space="preserve">زيادة أو خفض الإنفاق</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نهاية الشهر السادس</w:t>
            </w:r>
          </w:p>
        </w:tc>
        <w:tc>
          <w:tcPr>
            <w:tcBorders>
              <w:bottom w:val="single" w:color="E1E4E8" w:sz="4"/>
            </w:tcBorders>
            <w:tcMar>
              <w:top w:type="dxa" w:w="80"/>
              <w:left w:type="dxa" w:w="120"/>
              <w:bottom w:type="dxa" w:w="80"/>
              <w:right w:type="dxa" w:w="120"/>
            </w:tcMar>
            <w:vAlign w:val="center"/>
          </w:tcPr>
          <w:p>
            <w:pPr>
              <w:pStyle w:val="MdTableCell"/>
            </w:pPr>
            <w:r>
              <w:t xml:space="preserve">مقارنة الفعلي بـ2×H6</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قرار المرحلة التالية</w:t>
            </w:r>
          </w:p>
        </w:tc>
      </w:tr>
    </w:tbl>
    <w:p>
      <w:pPr>
        <w:pStyle w:val="Heading2"/>
        <w:pStyle w:val="MdHeading2"/>
      </w:pPr>
      <w:r>
        <w:t xml:space="preserve">4. تفصيل كل قناة</w:t>
      </w:r>
    </w:p>
    <w:p>
      <w:pPr>
        <w:pStyle w:val="Heading3"/>
        <w:pStyle w:val="MdHeading3"/>
      </w:pPr>
      <w:r>
        <w:t xml:space="preserve">Meta وWhatsApp</w:t>
      </w:r>
    </w:p>
    <w:p>
      <w:pPr>
        <w:pStyle w:val="MdParagraph"/>
      </w:pPr>
      <w:r>
        <w:t xml:space="preserve">يتم تقسيم محتوى Meta إلى حملات منفصلة حسب الفئة: تجاري، إداري، طبي، وبراندات وتوسع. يستخدم WhatsApp لتحويل الاستفسار إلى حوار منظم، مع رسالة ترحيب، أسئلة تأهيل، وموعد متابعة. كل إعلان يحصل على كود مصدر مختلف.</w:t>
      </w:r>
    </w:p>
    <w:p>
      <w:pPr>
        <w:pStyle w:val="MdSpace"/>
        <w:spacing w:before="0" w:after="60"/>
      </w:pPr>
    </w:p>
    <w:p>
      <w:pPr>
        <w:pStyle w:val="MdParagraph"/>
      </w:pPr>
      <w:r>
        <w:rPr>
          <w:rStyle w:val="MdStrong"/>
          <w:b/>
          <w:bCs/>
        </w:rPr>
        <w:t xml:space="preserve">مؤشرات القياس:</w:t>
      </w:r>
      <w:r>
        <w:t xml:space="preserve"> تكلفة التسجيل، نسبة التأهيل، سرعة الرد، عدد المعاينات، نسبة الحضور، والحجوزات الناتجة.</w:t>
      </w:r>
    </w:p>
    <w:p>
      <w:pPr>
        <w:pStyle w:val="MdSpace"/>
        <w:spacing w:before="0" w:after="60"/>
      </w:pPr>
    </w:p>
    <w:p>
      <w:pPr>
        <w:pStyle w:val="Heading3"/>
        <w:pStyle w:val="MdHeading3"/>
      </w:pPr>
      <w:r>
        <w:t xml:space="preserve">Google Ads</w:t>
      </w:r>
    </w:p>
    <w:p>
      <w:pPr>
        <w:pStyle w:val="MdParagraph"/>
      </w:pPr>
      <w:r>
        <w:t xml:space="preserve">تستخدم حملات بحث لعبارات ذات نية واضحة مثل محلات للبيع في المطرية، مكتب إداري، عيادة، محل بجوار المترو، أو مقر تجاري. تفصل المجموعات الإعلانية حسب النشاط، وتربط كل مكالمة أو نموذج أو WhatsApp بالكلمة والحملة.</w:t>
      </w:r>
    </w:p>
    <w:p>
      <w:pPr>
        <w:pStyle w:val="MdSpace"/>
        <w:spacing w:before="0" w:after="60"/>
      </w:pPr>
    </w:p>
    <w:p>
      <w:pPr>
        <w:pStyle w:val="MdParagraph"/>
      </w:pPr>
      <w:r>
        <w:rPr>
          <w:rStyle w:val="MdStrong"/>
          <w:b/>
          <w:bCs/>
        </w:rPr>
        <w:t xml:space="preserve">مؤشرات القياس:</w:t>
      </w:r>
      <w:r>
        <w:t xml:space="preserve"> تكلفة العميل المؤهل، نسبة المكالمات الجادة، المعاينات، العروض، والحجوزات.</w:t>
      </w:r>
    </w:p>
    <w:p>
      <w:pPr>
        <w:pStyle w:val="MdSpace"/>
        <w:spacing w:before="0" w:after="60"/>
      </w:pPr>
    </w:p>
    <w:p>
      <w:pPr>
        <w:pStyle w:val="Heading3"/>
        <w:pStyle w:val="MdHeading3"/>
      </w:pPr>
      <w:r>
        <w:t xml:space="preserve">Outdoor</w:t>
      </w:r>
    </w:p>
    <w:p>
      <w:pPr>
        <w:pStyle w:val="MdParagraph"/>
      </w:pPr>
      <w:r>
        <w:t xml:space="preserve">تقترح ثلاثة مواقع اختبارية: أمام المشروع أو الأرض، شارع البلسم، ومحيط محطة المترو بعد الحصول على الموافقات. توضع أرقام أو أكواد مختلفة لكل موقع لتحديد مصدر الاتصال. لا يكتب على اللافتة سعر أو موعد تسليم إلا إذا كان معتمدًا ومحدثًا.</w:t>
      </w:r>
    </w:p>
    <w:p>
      <w:pPr>
        <w:pStyle w:val="MdSpace"/>
        <w:spacing w:before="0" w:after="60"/>
      </w:pPr>
    </w:p>
    <w:p>
      <w:pPr>
        <w:pStyle w:val="MdParagraph"/>
      </w:pPr>
      <w:r>
        <w:rPr>
          <w:rStyle w:val="MdStrong"/>
          <w:b/>
          <w:bCs/>
        </w:rPr>
        <w:t xml:space="preserve">مؤشرات القياس:</w:t>
      </w:r>
      <w:r>
        <w:t xml:space="preserve"> المكالمات والرسائل حسب كود الموقع، عدد المعاينات القادمة من اللافتة، والحجوزات المنسوبة لها.</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ثالثًا: برنامج تحفيز شبكة البروكرز لمدة 6 أشهر</w:t>
      </w:r>
    </w:p>
    <w:p>
      <w:pPr>
        <w:pStyle w:val="Heading2"/>
        <w:pStyle w:val="MdHeading2"/>
      </w:pPr>
      <w:r>
        <w:t xml:space="preserve">1. أهداف البرنامج</w:t>
      </w:r>
    </w:p>
    <w:p>
      <w:pPr>
        <w:pStyle w:val="MdParagraph"/>
      </w:pPr>
      <w:r>
        <w:t xml:space="preserve">يهدف البرنامج إلى زيادة عدد البروكرز النشطين، وضمان تسجيل العملاء بطريقة صحيحة، ورفع عدد المعاينات والحجوزات، وتحسين جودة التحصيل. لا يعتمد التحفيز على عدد العملاء المسجلين فقط، بل على انتقال العميل إلى حجز معتمد وسداد حقيقي.</w:t>
      </w:r>
    </w:p>
    <w:p>
      <w:pPr>
        <w:pStyle w:val="MdSpace"/>
        <w:spacing w:before="0" w:after="60"/>
      </w:pPr>
    </w:p>
    <w:p>
      <w:pPr>
        <w:pStyle w:val="Heading2"/>
        <w:pStyle w:val="MdHeading2"/>
      </w:pPr>
      <w:r>
        <w:t xml:space="preserve">2. مراحل البرنامج</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المرحلة</w:t>
            </w:r>
          </w:p>
        </w:tc>
        <w:tc>
          <w:tcPr>
            <w:tcMar>
              <w:top w:type="dxa" w:w="100"/>
              <w:left w:type="dxa" w:w="120"/>
              <w:bottom w:type="dxa" w:w="100"/>
              <w:right w:type="dxa" w:w="120"/>
            </w:tcMar>
            <w:vAlign w:val="center"/>
          </w:tcPr>
          <w:p>
            <w:pPr>
              <w:pStyle w:val="MdTableHeader"/>
            </w:pPr>
            <w:r>
              <w:t xml:space="preserve">المدة</w:t>
            </w:r>
          </w:p>
        </w:tc>
        <w:tc>
          <w:tcPr>
            <w:tcMar>
              <w:top w:type="dxa" w:w="100"/>
              <w:left w:type="dxa" w:w="120"/>
              <w:bottom w:type="dxa" w:w="100"/>
              <w:right w:type="dxa" w:w="120"/>
            </w:tcMar>
            <w:vAlign w:val="center"/>
          </w:tcPr>
          <w:p>
            <w:pPr>
              <w:pStyle w:val="MdTableHeader"/>
            </w:pPr>
            <w:r>
              <w:t xml:space="preserve">الهدف</w:t>
            </w:r>
          </w:p>
        </w:tc>
        <w:tc>
          <w:tcPr>
            <w:tcBorders>
              <w:right w:val="none"/>
            </w:tcBorders>
            <w:tcMar>
              <w:top w:type="dxa" w:w="100"/>
              <w:left w:type="dxa" w:w="120"/>
              <w:bottom w:type="dxa" w:w="100"/>
              <w:right w:type="dxa" w:w="120"/>
            </w:tcMar>
            <w:vAlign w:val="center"/>
          </w:tcPr>
          <w:p>
            <w:pPr>
              <w:pStyle w:val="MdTableHeader"/>
            </w:pPr>
            <w:r>
              <w:t xml:space="preserve">الحافز التشغيلي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التسجيل والتأهيل</w:t>
            </w:r>
          </w:p>
        </w:tc>
        <w:tc>
          <w:tcPr>
            <w:tcMar>
              <w:top w:type="dxa" w:w="80"/>
              <w:left w:type="dxa" w:w="120"/>
              <w:bottom w:type="dxa" w:w="80"/>
              <w:right w:type="dxa" w:w="120"/>
            </w:tcMar>
            <w:vAlign w:val="center"/>
          </w:tcPr>
          <w:p>
            <w:pPr>
              <w:pStyle w:val="MdTableCell"/>
            </w:pPr>
            <w:r>
              <w:t xml:space="preserve">الشهر 1</w:t>
            </w:r>
          </w:p>
        </w:tc>
        <w:tc>
          <w:tcPr>
            <w:tcMar>
              <w:top w:type="dxa" w:w="80"/>
              <w:left w:type="dxa" w:w="120"/>
              <w:bottom w:type="dxa" w:w="80"/>
              <w:right w:type="dxa" w:w="120"/>
            </w:tcMar>
            <w:vAlign w:val="center"/>
          </w:tcPr>
          <w:p>
            <w:pPr>
              <w:pStyle w:val="MdTableCell"/>
            </w:pPr>
            <w:r>
              <w:t xml:space="preserve">بناء شبكة بروكرز موثقة</w:t>
            </w:r>
          </w:p>
        </w:tc>
        <w:tc>
          <w:tcPr>
            <w:tcBorders>
              <w:right w:val="none"/>
            </w:tcBorders>
            <w:tcMar>
              <w:top w:type="dxa" w:w="80"/>
              <w:left w:type="dxa" w:w="120"/>
              <w:bottom w:type="dxa" w:w="80"/>
              <w:right w:type="dxa" w:w="120"/>
            </w:tcMar>
            <w:vAlign w:val="center"/>
          </w:tcPr>
          <w:p>
            <w:pPr>
              <w:pStyle w:val="MdTableCell"/>
            </w:pPr>
            <w:r>
              <w:t xml:space="preserve">ملف وحدات معتمد، مسؤول متابعة، واجتماع تعريف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التنشيط</w:t>
            </w:r>
          </w:p>
        </w:tc>
        <w:tc>
          <w:tcPr>
            <w:tcMar>
              <w:top w:type="dxa" w:w="80"/>
              <w:left w:type="dxa" w:w="120"/>
              <w:bottom w:type="dxa" w:w="80"/>
              <w:right w:type="dxa" w:w="120"/>
            </w:tcMar>
            <w:vAlign w:val="center"/>
          </w:tcPr>
          <w:p>
            <w:pPr>
              <w:pStyle w:val="MdTableCell"/>
            </w:pPr>
            <w:r>
              <w:t xml:space="preserve">الشهر 2</w:t>
            </w:r>
          </w:p>
        </w:tc>
        <w:tc>
          <w:tcPr>
            <w:tcMar>
              <w:top w:type="dxa" w:w="80"/>
              <w:left w:type="dxa" w:w="120"/>
              <w:bottom w:type="dxa" w:w="80"/>
              <w:right w:type="dxa" w:w="120"/>
            </w:tcMar>
            <w:vAlign w:val="center"/>
          </w:tcPr>
          <w:p>
            <w:pPr>
              <w:pStyle w:val="MdTableCell"/>
            </w:pPr>
            <w:r>
              <w:t xml:space="preserve">رفع العملاء المؤهلين والمعاينات</w:t>
            </w:r>
          </w:p>
        </w:tc>
        <w:tc>
          <w:tcPr>
            <w:tcBorders>
              <w:right w:val="none"/>
            </w:tcBorders>
            <w:tcMar>
              <w:top w:type="dxa" w:w="80"/>
              <w:left w:type="dxa" w:w="120"/>
              <w:bottom w:type="dxa" w:w="80"/>
              <w:right w:type="dxa" w:w="120"/>
            </w:tcMar>
            <w:vAlign w:val="center"/>
          </w:tcPr>
          <w:p>
            <w:pPr>
              <w:pStyle w:val="MdTableCell"/>
            </w:pPr>
            <w:r>
              <w:t xml:space="preserve">أولوية في تحديثات المخزون ودعم تجهيز العروض</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التحويل</w:t>
            </w:r>
          </w:p>
        </w:tc>
        <w:tc>
          <w:tcPr>
            <w:tcMar>
              <w:top w:type="dxa" w:w="80"/>
              <w:left w:type="dxa" w:w="120"/>
              <w:bottom w:type="dxa" w:w="80"/>
              <w:right w:type="dxa" w:w="120"/>
            </w:tcMar>
            <w:vAlign w:val="center"/>
          </w:tcPr>
          <w:p>
            <w:pPr>
              <w:pStyle w:val="MdTableCell"/>
            </w:pPr>
            <w:r>
              <w:t xml:space="preserve">الشهر 3–4</w:t>
            </w:r>
          </w:p>
        </w:tc>
        <w:tc>
          <w:tcPr>
            <w:tcMar>
              <w:top w:type="dxa" w:w="80"/>
              <w:left w:type="dxa" w:w="120"/>
              <w:bottom w:type="dxa" w:w="80"/>
              <w:right w:type="dxa" w:w="120"/>
            </w:tcMar>
            <w:vAlign w:val="center"/>
          </w:tcPr>
          <w:p>
            <w:pPr>
              <w:pStyle w:val="MdTableCell"/>
            </w:pPr>
            <w:r>
              <w:t xml:space="preserve">زيادة الحجوزات المعتمدة</w:t>
            </w:r>
          </w:p>
        </w:tc>
        <w:tc>
          <w:tcPr>
            <w:tcBorders>
              <w:right w:val="none"/>
            </w:tcBorders>
            <w:tcMar>
              <w:top w:type="dxa" w:w="80"/>
              <w:left w:type="dxa" w:w="120"/>
              <w:bottom w:type="dxa" w:w="80"/>
              <w:right w:type="dxa" w:w="120"/>
            </w:tcMar>
            <w:vAlign w:val="center"/>
          </w:tcPr>
          <w:p>
            <w:pPr>
              <w:pStyle w:val="MdTableCell"/>
            </w:pPr>
            <w:r>
              <w:t xml:space="preserve">ترتيب شهري معلن داخليًا، وأولوية متابعة للفرص الجادة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الإغلاق والتحصيل</w:t>
            </w:r>
          </w:p>
        </w:tc>
        <w:tc>
          <w:tcPr>
            <w:tcBorders>
              <w:bottom w:val="single" w:color="E1E4E8" w:sz="4"/>
            </w:tcBorders>
            <w:tcMar>
              <w:top w:type="dxa" w:w="80"/>
              <w:left w:type="dxa" w:w="120"/>
              <w:bottom w:type="dxa" w:w="80"/>
              <w:right w:type="dxa" w:w="120"/>
            </w:tcMar>
            <w:vAlign w:val="center"/>
          </w:tcPr>
          <w:p>
            <w:pPr>
              <w:pStyle w:val="MdTableCell"/>
            </w:pPr>
            <w:r>
              <w:t xml:space="preserve">الشهر 5–6</w:t>
            </w:r>
          </w:p>
        </w:tc>
        <w:tc>
          <w:tcPr>
            <w:tcBorders>
              <w:bottom w:val="single" w:color="E1E4E8" w:sz="4"/>
            </w:tcBorders>
            <w:tcMar>
              <w:top w:type="dxa" w:w="80"/>
              <w:left w:type="dxa" w:w="120"/>
              <w:bottom w:type="dxa" w:w="80"/>
              <w:right w:type="dxa" w:w="120"/>
            </w:tcMar>
            <w:vAlign w:val="center"/>
          </w:tcPr>
          <w:p>
            <w:pPr>
              <w:pStyle w:val="MdTableCell"/>
            </w:pPr>
            <w:r>
              <w:t xml:space="preserve">رفع جودة السداد</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تكريم أفضل أداء، وتسوية العمولة وفق السياسة المعتمدة</w:t>
            </w:r>
          </w:p>
        </w:tc>
      </w:tr>
    </w:tbl>
    <w:p>
      <w:pPr>
        <w:pStyle w:val="Heading2"/>
        <w:pStyle w:val="MdHeading2"/>
      </w:pPr>
      <w:r>
        <w:t xml:space="preserve">3. نظام النقاط المقترح</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النشاط</w:t>
            </w:r>
          </w:p>
        </w:tc>
        <w:tc>
          <w:tcPr>
            <w:tcMar>
              <w:top w:type="dxa" w:w="100"/>
              <w:left w:type="dxa" w:w="120"/>
              <w:bottom w:type="dxa" w:w="100"/>
              <w:right w:type="dxa" w:w="120"/>
            </w:tcMar>
            <w:vAlign w:val="center"/>
          </w:tcPr>
          <w:p>
            <w:pPr>
              <w:pStyle w:val="MdTableHeader"/>
              <w:jc w:val="right"/>
            </w:pPr>
            <w:r>
              <w:t xml:space="preserve">النقاط المقترحة</w:t>
            </w:r>
          </w:p>
        </w:tc>
        <w:tc>
          <w:tcPr>
            <w:tcBorders>
              <w:right w:val="none"/>
            </w:tcBorders>
            <w:tcMar>
              <w:top w:type="dxa" w:w="100"/>
              <w:left w:type="dxa" w:w="120"/>
              <w:bottom w:type="dxa" w:w="100"/>
              <w:right w:type="dxa" w:w="120"/>
            </w:tcMar>
            <w:vAlign w:val="center"/>
          </w:tcPr>
          <w:p>
            <w:pPr>
              <w:pStyle w:val="MdTableHeader"/>
            </w:pPr>
            <w:r>
              <w:t xml:space="preserve">شرط التسجيل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تسجيل عميل مكتمل وغير مكرر</w:t>
            </w:r>
          </w:p>
        </w:tc>
        <w:tc>
          <w:tcPr>
            <w:tcMar>
              <w:top w:type="dxa" w:w="80"/>
              <w:left w:type="dxa" w:w="120"/>
              <w:bottom w:type="dxa" w:w="80"/>
              <w:right w:type="dxa" w:w="120"/>
            </w:tcMar>
            <w:vAlign w:val="center"/>
          </w:tcPr>
          <w:p>
            <w:pPr>
              <w:pStyle w:val="MdTableCell"/>
              <w:jc w:val="right"/>
            </w:pPr>
            <w:r>
              <w:t xml:space="preserve">1</w:t>
            </w:r>
          </w:p>
        </w:tc>
        <w:tc>
          <w:tcPr>
            <w:tcBorders>
              <w:right w:val="none"/>
            </w:tcBorders>
            <w:tcMar>
              <w:top w:type="dxa" w:w="80"/>
              <w:left w:type="dxa" w:w="120"/>
              <w:bottom w:type="dxa" w:w="80"/>
              <w:right w:type="dxa" w:w="120"/>
            </w:tcMar>
            <w:vAlign w:val="center"/>
          </w:tcPr>
          <w:p>
            <w:pPr>
              <w:pStyle w:val="MdTableCell"/>
            </w:pPr>
            <w:r>
              <w:t xml:space="preserve">بيانات صحيحة ومصدر واضح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عميل مؤهل</w:t>
            </w:r>
          </w:p>
        </w:tc>
        <w:tc>
          <w:tcPr>
            <w:tcMar>
              <w:top w:type="dxa" w:w="80"/>
              <w:left w:type="dxa" w:w="120"/>
              <w:bottom w:type="dxa" w:w="80"/>
              <w:right w:type="dxa" w:w="120"/>
            </w:tcMar>
            <w:vAlign w:val="center"/>
          </w:tcPr>
          <w:p>
            <w:pPr>
              <w:pStyle w:val="MdTableCell"/>
              <w:jc w:val="right"/>
            </w:pPr>
            <w:r>
              <w:t xml:space="preserve">2</w:t>
            </w:r>
          </w:p>
        </w:tc>
        <w:tc>
          <w:tcPr>
            <w:tcBorders>
              <w:right w:val="none"/>
            </w:tcBorders>
            <w:tcMar>
              <w:top w:type="dxa" w:w="80"/>
              <w:left w:type="dxa" w:w="120"/>
              <w:bottom w:type="dxa" w:w="80"/>
              <w:right w:type="dxa" w:w="120"/>
            </w:tcMar>
            <w:vAlign w:val="center"/>
          </w:tcPr>
          <w:p>
            <w:pPr>
              <w:pStyle w:val="MdTableCell"/>
            </w:pPr>
            <w:r>
              <w:t xml:space="preserve">نشاط ومساحة واحتياج وموعد قرار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معاينة منفذة</w:t>
            </w:r>
          </w:p>
        </w:tc>
        <w:tc>
          <w:tcPr>
            <w:tcMar>
              <w:top w:type="dxa" w:w="80"/>
              <w:left w:type="dxa" w:w="120"/>
              <w:bottom w:type="dxa" w:w="80"/>
              <w:right w:type="dxa" w:w="120"/>
            </w:tcMar>
            <w:vAlign w:val="center"/>
          </w:tcPr>
          <w:p>
            <w:pPr>
              <w:pStyle w:val="MdTableCell"/>
              <w:jc w:val="right"/>
            </w:pPr>
            <w:r>
              <w:t xml:space="preserve">3</w:t>
            </w:r>
          </w:p>
        </w:tc>
        <w:tc>
          <w:tcPr>
            <w:tcBorders>
              <w:right w:val="none"/>
            </w:tcBorders>
            <w:tcMar>
              <w:top w:type="dxa" w:w="80"/>
              <w:left w:type="dxa" w:w="120"/>
              <w:bottom w:type="dxa" w:w="80"/>
              <w:right w:type="dxa" w:w="120"/>
            </w:tcMar>
            <w:vAlign w:val="center"/>
          </w:tcPr>
          <w:p>
            <w:pPr>
              <w:pStyle w:val="MdTableCell"/>
            </w:pPr>
            <w:r>
              <w:t xml:space="preserve">حضور موثق ونتيجة معاينة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عرض سعر معتمد ومُرسل</w:t>
            </w:r>
          </w:p>
        </w:tc>
        <w:tc>
          <w:tcPr>
            <w:tcMar>
              <w:top w:type="dxa" w:w="80"/>
              <w:left w:type="dxa" w:w="120"/>
              <w:bottom w:type="dxa" w:w="80"/>
              <w:right w:type="dxa" w:w="120"/>
            </w:tcMar>
            <w:vAlign w:val="center"/>
          </w:tcPr>
          <w:p>
            <w:pPr>
              <w:pStyle w:val="MdTableCell"/>
              <w:jc w:val="right"/>
            </w:pPr>
            <w:r>
              <w:t xml:space="preserve">4</w:t>
            </w:r>
          </w:p>
        </w:tc>
        <w:tc>
          <w:tcPr>
            <w:tcBorders>
              <w:right w:val="none"/>
            </w:tcBorders>
            <w:tcMar>
              <w:top w:type="dxa" w:w="80"/>
              <w:left w:type="dxa" w:w="120"/>
              <w:bottom w:type="dxa" w:w="80"/>
              <w:right w:type="dxa" w:w="120"/>
            </w:tcMar>
            <w:vAlign w:val="center"/>
          </w:tcPr>
          <w:p>
            <w:pPr>
              <w:pStyle w:val="MdTableCell"/>
            </w:pPr>
            <w:r>
              <w:t xml:space="preserve">مطابق للوحدة والسعر المعتمد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حجز معتمد</w:t>
            </w:r>
          </w:p>
        </w:tc>
        <w:tc>
          <w:tcPr>
            <w:tcMar>
              <w:top w:type="dxa" w:w="80"/>
              <w:left w:type="dxa" w:w="120"/>
              <w:bottom w:type="dxa" w:w="80"/>
              <w:right w:type="dxa" w:w="120"/>
            </w:tcMar>
            <w:vAlign w:val="center"/>
          </w:tcPr>
          <w:p>
            <w:pPr>
              <w:pStyle w:val="MdTableCell"/>
              <w:jc w:val="right"/>
            </w:pPr>
            <w:r>
              <w:t xml:space="preserve">10</w:t>
            </w:r>
          </w:p>
        </w:tc>
        <w:tc>
          <w:tcPr>
            <w:tcBorders>
              <w:right w:val="none"/>
            </w:tcBorders>
            <w:tcMar>
              <w:top w:type="dxa" w:w="80"/>
              <w:left w:type="dxa" w:w="120"/>
              <w:bottom w:type="dxa" w:w="80"/>
              <w:right w:type="dxa" w:w="120"/>
            </w:tcMar>
            <w:vAlign w:val="center"/>
          </w:tcPr>
          <w:p>
            <w:pPr>
              <w:pStyle w:val="MdTableCell"/>
            </w:pPr>
            <w:r>
              <w:t xml:space="preserve">مستندات واعتماد رسمي</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وصول السداد إلى أكثر من 75%</w:t>
            </w:r>
          </w:p>
        </w:tc>
        <w:tc>
          <w:tcPr>
            <w:tcBorders>
              <w:bottom w:val="single" w:color="E1E4E8" w:sz="4"/>
            </w:tcBorders>
            <w:tcMar>
              <w:top w:type="dxa" w:w="80"/>
              <w:left w:type="dxa" w:w="120"/>
              <w:bottom w:type="dxa" w:w="80"/>
              <w:right w:type="dxa" w:w="120"/>
            </w:tcMar>
            <w:vAlign w:val="center"/>
          </w:tcPr>
          <w:p>
            <w:pPr>
              <w:pStyle w:val="MdTableCell"/>
              <w:jc w:val="right"/>
            </w:pPr>
            <w:r>
              <w:t xml:space="preserve">20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مطابقة مالية من المطور</w:t>
            </w:r>
          </w:p>
        </w:tc>
      </w:tr>
    </w:tbl>
    <w:p>
      <w:pPr>
        <w:pStyle w:val="MdParagraph"/>
      </w:pPr>
      <w:r>
        <w:t xml:space="preserve">النقاط للمتابعة والتحفيز وليست بديلًا عن العمولة أو وعدًا ماليًا مستقلًا، وتراجعها الإدارة قبل التطبيق.</w:t>
      </w:r>
    </w:p>
    <w:p>
      <w:pPr>
        <w:pStyle w:val="MdSpace"/>
        <w:spacing w:before="0" w:after="60"/>
      </w:pPr>
    </w:p>
    <w:p>
      <w:pPr>
        <w:pStyle w:val="Heading2"/>
        <w:pStyle w:val="MdHeading2"/>
      </w:pPr>
      <w:r>
        <w:t xml:space="preserve">4. سياسة العمولة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حالة السداد</w:t>
            </w:r>
          </w:p>
        </w:tc>
        <w:tc>
          <w:tcPr>
            <w:tcMar>
              <w:top w:type="dxa" w:w="100"/>
              <w:left w:type="dxa" w:w="120"/>
              <w:bottom w:type="dxa" w:w="100"/>
              <w:right w:type="dxa" w:w="120"/>
            </w:tcMar>
            <w:vAlign w:val="center"/>
          </w:tcPr>
          <w:p>
            <w:pPr>
              <w:pStyle w:val="MdTableHeader"/>
            </w:pPr>
            <w:r>
              <w:t xml:space="preserve">أساس العمولة</w:t>
            </w:r>
          </w:p>
        </w:tc>
        <w:tc>
          <w:tcPr>
            <w:tcBorders>
              <w:right w:val="none"/>
            </w:tcBorders>
            <w:tcMar>
              <w:top w:type="dxa" w:w="100"/>
              <w:left w:type="dxa" w:w="120"/>
              <w:bottom w:type="dxa" w:w="100"/>
              <w:right w:type="dxa" w:w="120"/>
            </w:tcMar>
            <w:vAlign w:val="center"/>
          </w:tcPr>
          <w:p>
            <w:pPr>
              <w:pStyle w:val="MdTableHeader"/>
              <w:jc w:val="right"/>
            </w:pPr>
            <w:r>
              <w:t xml:space="preserve">السياسة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أكثر من 75% من قيمة الوحدة</w:t>
            </w:r>
          </w:p>
        </w:tc>
        <w:tc>
          <w:tcPr>
            <w:tcMar>
              <w:top w:type="dxa" w:w="80"/>
              <w:left w:type="dxa" w:w="120"/>
              <w:bottom w:type="dxa" w:w="80"/>
              <w:right w:type="dxa" w:w="120"/>
            </w:tcMar>
            <w:vAlign w:val="center"/>
          </w:tcPr>
          <w:p>
            <w:pPr>
              <w:pStyle w:val="MdTableCell"/>
            </w:pPr>
            <w:r>
              <w:t xml:space="preserve">إجمالي قيمة التعاقد</w:t>
            </w:r>
          </w:p>
        </w:tc>
        <w:tc>
          <w:tcPr>
            <w:tcBorders>
              <w:right w:val="none"/>
            </w:tcBorders>
            <w:tcMar>
              <w:top w:type="dxa" w:w="80"/>
              <w:left w:type="dxa" w:w="120"/>
              <w:bottom w:type="dxa" w:w="80"/>
              <w:right w:type="dxa" w:w="120"/>
            </w:tcMar>
            <w:vAlign w:val="center"/>
          </w:tcPr>
          <w:p>
            <w:pPr>
              <w:pStyle w:val="MdTableCell"/>
              <w:jc w:val="right"/>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75% أو أقل</w:t>
            </w:r>
          </w:p>
        </w:tc>
        <w:tc>
          <w:tcPr>
            <w:tcMar>
              <w:top w:type="dxa" w:w="80"/>
              <w:left w:type="dxa" w:w="120"/>
              <w:bottom w:type="dxa" w:w="80"/>
              <w:right w:type="dxa" w:w="120"/>
            </w:tcMar>
            <w:vAlign w:val="center"/>
          </w:tcPr>
          <w:p>
            <w:pPr>
              <w:pStyle w:val="MdTableCell"/>
            </w:pPr>
            <w:r>
              <w:t xml:space="preserve">المبالغ المسددة فعليًا</w:t>
            </w:r>
          </w:p>
        </w:tc>
        <w:tc>
          <w:tcPr>
            <w:tcBorders>
              <w:right w:val="none"/>
            </w:tcBorders>
            <w:tcMar>
              <w:top w:type="dxa" w:w="80"/>
              <w:left w:type="dxa" w:w="120"/>
              <w:bottom w:type="dxa" w:w="80"/>
              <w:right w:type="dxa" w:w="120"/>
            </w:tcMar>
            <w:vAlign w:val="center"/>
          </w:tcPr>
          <w:p>
            <w:pPr>
              <w:pStyle w:val="MdTableCell"/>
              <w:jc w:val="right"/>
            </w:pPr>
            <w:r>
              <w:t xml:space="preserve">4% من المسدد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حالة استثنائية</w:t>
            </w:r>
          </w:p>
        </w:tc>
        <w:tc>
          <w:tcPr>
            <w:tcBorders>
              <w:bottom w:val="single" w:color="E1E4E8" w:sz="4"/>
            </w:tcBorders>
            <w:tcMar>
              <w:top w:type="dxa" w:w="80"/>
              <w:left w:type="dxa" w:w="120"/>
              <w:bottom w:type="dxa" w:w="80"/>
              <w:right w:type="dxa" w:w="120"/>
            </w:tcMar>
            <w:vAlign w:val="center"/>
          </w:tcPr>
          <w:p>
            <w:pPr>
              <w:pStyle w:val="MdTableCell"/>
            </w:pPr>
            <w:r>
              <w:t xml:space="preserve">يحددها قرار مكتوب</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وفق اعتماد الإدارة</w:t>
            </w:r>
          </w:p>
        </w:tc>
      </w:tr>
    </w:tbl>
    <w:p>
      <w:pPr>
        <w:pStyle w:val="MdParagraph"/>
      </w:pPr>
      <w:r>
        <w:t xml:space="preserve">لا تصرف عمولة على عميل غير مسجل، أو صفقة غير معتمدة، أو مبلغ غير محصل، أو شيك غير محصل. وتحدد الاتفاقية مدة المراجعة والصرف، ومعالجة الإلغاء والردود والمقاصة، بعد مراجعة قانونية.</w:t>
      </w:r>
    </w:p>
    <w:p>
      <w:pPr>
        <w:pStyle w:val="MdSpace"/>
        <w:spacing w:before="0" w:after="60"/>
      </w:pPr>
    </w:p>
    <w:p>
      <w:pPr>
        <w:pStyle w:val="Heading2"/>
        <w:pStyle w:val="MdHeading2"/>
      </w:pPr>
      <w:r>
        <w:t xml:space="preserve">5. الحوافز غير النقدية</w:t>
      </w:r>
    </w:p>
    <w:p>
      <w:pPr>
        <w:pStyle w:val="MdParagraph"/>
      </w:pPr>
      <w:r>
        <w:t xml:space="preserve">لخفض التكلفة الثابتة والحفاظ على الدافعية، يقترح استخدام حوافز لا تنشئ التزامًا ماليًا غير معتمد، مثل: أولوية تحديث المخزون، دعوات لمعاينات خاصة، شهادة بروكر معتمد، إبراز أفضل بروكر في تقرير الإدارة، سرعة مراجعة العملاء، واجتماع شهري مع مسؤول التطوير.</w:t>
      </w:r>
    </w:p>
    <w:p>
      <w:pPr>
        <w:pStyle w:val="MdSpace"/>
        <w:spacing w:before="0" w:after="60"/>
      </w:pPr>
    </w:p>
    <w:p>
      <w:pPr>
        <w:pStyle w:val="Heading2"/>
        <w:pStyle w:val="MdHeading2"/>
      </w:pPr>
      <w:r>
        <w:t xml:space="preserve">6. تصنيف البروكرز</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المستوى</w:t>
            </w:r>
          </w:p>
        </w:tc>
        <w:tc>
          <w:tcPr>
            <w:tcMar>
              <w:top w:type="dxa" w:w="100"/>
              <w:left w:type="dxa" w:w="120"/>
              <w:bottom w:type="dxa" w:w="100"/>
              <w:right w:type="dxa" w:w="120"/>
            </w:tcMar>
            <w:vAlign w:val="center"/>
          </w:tcPr>
          <w:p>
            <w:pPr>
              <w:pStyle w:val="MdTableHeader"/>
            </w:pPr>
            <w:r>
              <w:t xml:space="preserve">التعريف</w:t>
            </w:r>
          </w:p>
        </w:tc>
        <w:tc>
          <w:tcPr>
            <w:tcBorders>
              <w:right w:val="none"/>
            </w:tcBorders>
            <w:tcMar>
              <w:top w:type="dxa" w:w="100"/>
              <w:left w:type="dxa" w:w="120"/>
              <w:bottom w:type="dxa" w:w="100"/>
              <w:right w:type="dxa" w:w="120"/>
            </w:tcMar>
            <w:vAlign w:val="center"/>
          </w:tcPr>
          <w:p>
            <w:pPr>
              <w:pStyle w:val="MdTableHeader"/>
            </w:pPr>
            <w:r>
              <w:t xml:space="preserve">الإجراء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 — شريك نشط</w:t>
            </w:r>
          </w:p>
        </w:tc>
        <w:tc>
          <w:tcPr>
            <w:tcMar>
              <w:top w:type="dxa" w:w="80"/>
              <w:left w:type="dxa" w:w="120"/>
              <w:bottom w:type="dxa" w:w="80"/>
              <w:right w:type="dxa" w:w="120"/>
            </w:tcMar>
            <w:vAlign w:val="center"/>
          </w:tcPr>
          <w:p>
            <w:pPr>
              <w:pStyle w:val="MdTableCell"/>
            </w:pPr>
            <w:r>
              <w:t xml:space="preserve">حجوزات معتمدة وسداد منتظم</w:t>
            </w:r>
          </w:p>
        </w:tc>
        <w:tc>
          <w:tcPr>
            <w:tcBorders>
              <w:right w:val="none"/>
            </w:tcBorders>
            <w:tcMar>
              <w:top w:type="dxa" w:w="80"/>
              <w:left w:type="dxa" w:w="120"/>
              <w:bottom w:type="dxa" w:w="80"/>
              <w:right w:type="dxa" w:w="120"/>
            </w:tcMar>
            <w:vAlign w:val="center"/>
          </w:tcPr>
          <w:p>
            <w:pPr>
              <w:pStyle w:val="MdTableCell"/>
            </w:pPr>
            <w:r>
              <w:t xml:space="preserve">أولوية في الوحدات والرد والمتابعة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 — نشط</w:t>
            </w:r>
          </w:p>
        </w:tc>
        <w:tc>
          <w:tcPr>
            <w:tcMar>
              <w:top w:type="dxa" w:w="80"/>
              <w:left w:type="dxa" w:w="120"/>
              <w:bottom w:type="dxa" w:w="80"/>
              <w:right w:type="dxa" w:w="120"/>
            </w:tcMar>
            <w:vAlign w:val="center"/>
          </w:tcPr>
          <w:p>
            <w:pPr>
              <w:pStyle w:val="MdTableCell"/>
            </w:pPr>
            <w:r>
              <w:t xml:space="preserve">تسجيلات ومعاينات منتظمة</w:t>
            </w:r>
          </w:p>
        </w:tc>
        <w:tc>
          <w:tcPr>
            <w:tcBorders>
              <w:right w:val="none"/>
            </w:tcBorders>
            <w:tcMar>
              <w:top w:type="dxa" w:w="80"/>
              <w:left w:type="dxa" w:w="120"/>
              <w:bottom w:type="dxa" w:w="80"/>
              <w:right w:type="dxa" w:w="120"/>
            </w:tcMar>
            <w:vAlign w:val="center"/>
          </w:tcPr>
          <w:p>
            <w:pPr>
              <w:pStyle w:val="MdTableCell"/>
            </w:pPr>
            <w:r>
              <w:t xml:space="preserve">دعم محتوى ومتابعة أسبوعية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 — مسجل</w:t>
            </w:r>
          </w:p>
        </w:tc>
        <w:tc>
          <w:tcPr>
            <w:tcMar>
              <w:top w:type="dxa" w:w="80"/>
              <w:left w:type="dxa" w:w="120"/>
              <w:bottom w:type="dxa" w:w="80"/>
              <w:right w:type="dxa" w:w="120"/>
            </w:tcMar>
            <w:vAlign w:val="center"/>
          </w:tcPr>
          <w:p>
            <w:pPr>
              <w:pStyle w:val="MdTableCell"/>
            </w:pPr>
            <w:r>
              <w:t xml:space="preserve">بيانات أو إحالات محدودة</w:t>
            </w:r>
          </w:p>
        </w:tc>
        <w:tc>
          <w:tcPr>
            <w:tcBorders>
              <w:right w:val="none"/>
            </w:tcBorders>
            <w:tcMar>
              <w:top w:type="dxa" w:w="80"/>
              <w:left w:type="dxa" w:w="120"/>
              <w:bottom w:type="dxa" w:w="80"/>
              <w:right w:type="dxa" w:w="120"/>
            </w:tcMar>
            <w:vAlign w:val="center"/>
          </w:tcPr>
          <w:p>
            <w:pPr>
              <w:pStyle w:val="MdTableCell"/>
            </w:pPr>
            <w:r>
              <w:t xml:space="preserve">تحديثات عامة وإعادة تنشيط</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موقوف</w:t>
            </w:r>
          </w:p>
        </w:tc>
        <w:tc>
          <w:tcPr>
            <w:tcBorders>
              <w:bottom w:val="single" w:color="E1E4E8" w:sz="4"/>
            </w:tcBorders>
            <w:tcMar>
              <w:top w:type="dxa" w:w="80"/>
              <w:left w:type="dxa" w:w="120"/>
              <w:bottom w:type="dxa" w:w="80"/>
              <w:right w:type="dxa" w:w="120"/>
            </w:tcMar>
            <w:vAlign w:val="center"/>
          </w:tcPr>
          <w:p>
            <w:pPr>
              <w:pStyle w:val="MdTableCell"/>
            </w:pPr>
            <w:r>
              <w:t xml:space="preserve">تكرار أو تضليل أو وعود غير معتمدة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وقف التعامل حتى المراجعة</w:t>
            </w:r>
          </w:p>
        </w:tc>
      </w:tr>
    </w:tbl>
    <w:p>
      <w:pPr>
        <w:pStyle w:val="MdHr"/>
        <w:pBdr>
          <w:bottom w:val="single" w:color="auto" w:sz="6" w:space="1"/>
        </w:pBdr>
      </w:pPr>
    </w:p>
    <w:p>
      <w:pPr>
        <w:pStyle w:val="MdSpace"/>
        <w:spacing w:before="0" w:after="60"/>
      </w:pPr>
    </w:p>
    <w:p>
      <w:pPr>
        <w:pStyle w:val="Heading1"/>
        <w:pStyle w:val="MdHeading1"/>
      </w:pPr>
      <w:r>
        <w:t xml:space="preserve">رابعًا: نظام المتابعة للبروكرز</w:t>
      </w:r>
    </w:p>
    <w:p>
      <w:pPr>
        <w:pStyle w:val="MdParagraph"/>
      </w:pPr>
      <w:r>
        <w:t xml:space="preserve">يجب أن يحتوي سجل كل بروكر على الاسم، الشركة، الهاتف، المناطق التي يغطيها، نوع العملاء، عدد التسجيلات، المؤهلين، المعاينات، العروض، الحجوزات، قيمة التعاقدات، المسدد، المتبقي، وتواريخ كل مرحلة.</w:t>
      </w:r>
    </w:p>
    <w:p>
      <w:pPr>
        <w:pStyle w:val="MdSpace"/>
        <w:spacing w:before="0" w:after="60"/>
      </w:pPr>
    </w:p>
    <w:p>
      <w:pPr>
        <w:pStyle w:val="MdParagraph"/>
      </w:pPr>
      <w:r>
        <w:t xml:space="preserve">يرفع مسؤول تطوير الأعمال تقريرًا أسبوعيًا يوضح أفضل البروكرز، الفرص المتوقفة، العملاء المكررين، أسباب فقد الحجز، والتحصيلات المرتبطة بالصفقات. يراجع المسؤول المالي والإداري صحة السداد، بينما تظل صلاحية مسؤول التطوير صلاحية اطلاع ومتابعة لا صرف أو تعديل قيد مالي.</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خامسًا: سيناريو الإلقاء أمام مجلس الإدارة</w:t>
      </w:r>
    </w:p>
    <w:p>
      <w:pPr>
        <w:pStyle w:val="Heading2"/>
        <w:pStyle w:val="MdHeading2"/>
      </w:pPr>
      <w:r>
        <w:t xml:space="preserve">افتتاح العرض — دقيقة واحدة</w:t>
      </w:r>
    </w:p>
    <w:p>
      <w:pPr>
        <w:pStyle w:val="MdParagraph"/>
      </w:pPr>
      <w:r>
        <w:t xml:space="preserve">"السيد المهندس/ محمد البدري، السيد رئيس مجلس الإدارة، والسادة الحضور، أقدم لحضراتكم اليوم مقترحًا تشغيليًا وتسويقيًا هدفه تحويل النشاط من إعلانات متفرقة إلى نظام واضح يقيس العميل من أول تسجيل حتى المعاينة والحجز والتحصيل.</w:t>
      </w:r>
    </w:p>
    <w:p>
      <w:pPr>
        <w:pStyle w:val="MdSpace"/>
        <w:spacing w:before="0" w:after="60"/>
      </w:pPr>
    </w:p>
    <w:p>
      <w:pPr>
        <w:pStyle w:val="MdParagraph"/>
      </w:pPr>
      <w:r>
        <w:t xml:space="preserve">نحن لا نطلب ميزانية مفتوحة، ولا نعد ببيع مضمون. نطلب اعتماد إطار قابل للقياس، وتحديد نطاق الصرف من الإدارة، وربط كل جنيه يتم إنفاقه بمؤشر واضح وقرار مراجعة."</w:t>
      </w:r>
    </w:p>
    <w:p>
      <w:pPr>
        <w:pStyle w:val="MdSpace"/>
        <w:spacing w:before="0" w:after="60"/>
      </w:pPr>
    </w:p>
    <w:p>
      <w:pPr>
        <w:pStyle w:val="Heading2"/>
        <w:pStyle w:val="MdHeading2"/>
      </w:pPr>
      <w:r>
        <w:t xml:space="preserve">شرح الميزانية — دقيقتان</w:t>
      </w:r>
    </w:p>
    <w:p>
      <w:pPr>
        <w:pStyle w:val="MdParagraph"/>
      </w:pPr>
      <w:r>
        <w:t xml:space="preserve">"اقترحنا توزيع ميزانية الإعلام كنسب، وليس كأرقام مفروضة: 40% لـMeta وWhatsApp، و30% لـGoogle، و30% لـOutdoor. تركنا القيم النقدية فارغة لتحددها الإدارة حسب السيولة والأولوية.</w:t>
      </w:r>
    </w:p>
    <w:p>
      <w:pPr>
        <w:pStyle w:val="MdSpace"/>
        <w:spacing w:before="0" w:after="60"/>
      </w:pPr>
    </w:p>
    <w:p>
      <w:pPr>
        <w:pStyle w:val="MdParagraph"/>
      </w:pPr>
      <w:r>
        <w:t xml:space="preserve">تبدأ الخطة باختبار، ثم يعاد توزيع الإنفاق وفق العملاء المؤهلين والمعاينات والحجوزات. القناة التي تحقق تفاعلًا بلا معاينة أو حجز لا تحصل تلقائيًا على زيادة."</w:t>
      </w:r>
    </w:p>
    <w:p>
      <w:pPr>
        <w:pStyle w:val="MdSpace"/>
        <w:spacing w:before="0" w:after="60"/>
      </w:pPr>
    </w:p>
    <w:p>
      <w:pPr>
        <w:pStyle w:val="Heading2"/>
        <w:pStyle w:val="MdHeading2"/>
      </w:pPr>
      <w:r>
        <w:t xml:space="preserve">شرح Meta وGoogle وOutdoor — ثلاث دقائق</w:t>
      </w:r>
    </w:p>
    <w:p>
      <w:pPr>
        <w:pStyle w:val="MdParagraph"/>
      </w:pPr>
      <w:r>
        <w:t xml:space="preserve">"Meta يصل إلى الشرائح ويعيد استهداف من شاهد أو تواصل. Google يلتقط من يبحث بالفعل عن محل أو مكتب أو عيادة. Outdoor يبني حضورًا محليًا أمام المشروع والمحطة وشارع البلسم، لكن كل موقع سيحمل كودًا مختلفًا حتى نعرف أثره.</w:t>
      </w:r>
    </w:p>
    <w:p>
      <w:pPr>
        <w:pStyle w:val="MdSpace"/>
        <w:spacing w:before="0" w:after="60"/>
      </w:pPr>
    </w:p>
    <w:p>
      <w:pPr>
        <w:pStyle w:val="MdParagraph"/>
      </w:pPr>
      <w:r>
        <w:t xml:space="preserve">الاختبار ليس غايته جمع أرقام كبيرة، بل معرفة أي قناة تجلب عميلًا مؤهلًا يمكن مقابلته ومعاينته ثم تحويله إلى حجز."</w:t>
      </w:r>
    </w:p>
    <w:p>
      <w:pPr>
        <w:pStyle w:val="MdSpace"/>
        <w:spacing w:before="0" w:after="60"/>
      </w:pPr>
    </w:p>
    <w:p>
      <w:pPr>
        <w:pStyle w:val="Heading2"/>
        <w:pStyle w:val="MdHeading2"/>
      </w:pPr>
      <w:r>
        <w:t xml:space="preserve">شرح فريق التنفيذ — دقيقتان</w:t>
      </w:r>
    </w:p>
    <w:p>
      <w:pPr>
        <w:pStyle w:val="MdParagraph"/>
      </w:pPr>
      <w:r>
        <w:t xml:space="preserve">"الفريق المبدئي محدود: موظفة وموظف للمتابعة والبيع والمعاينات، مسؤول مشروع، ومسؤول مالي وإداري من داخل المطور، مع قيادة مسؤول تطوير الأعمال والتسويق والمبيعات.</w:t>
      </w:r>
    </w:p>
    <w:p>
      <w:pPr>
        <w:pStyle w:val="MdSpace"/>
        <w:spacing w:before="0" w:after="60"/>
      </w:pPr>
    </w:p>
    <w:p>
      <w:pPr>
        <w:pStyle w:val="MdParagraph"/>
      </w:pPr>
      <w:r>
        <w:t xml:space="preserve">مسؤول التطوير يتابع ما تم بيعه، والحجوزات، والتحصيلات، والمبالغ المسددة والمتبقي، والأعداد والتواريخ. هذه صلاحية ضرورية للتقرير والتارجت، لكنها لا تمنحه صرفًا أو تعديلًا ماليًا منفردًا."</w:t>
      </w:r>
    </w:p>
    <w:p>
      <w:pPr>
        <w:pStyle w:val="MdSpace"/>
        <w:spacing w:before="0" w:after="60"/>
      </w:pPr>
    </w:p>
    <w:p>
      <w:pPr>
        <w:pStyle w:val="Heading2"/>
        <w:pStyle w:val="MdHeading2"/>
      </w:pPr>
      <w:r>
        <w:t xml:space="preserve">شرح البروكرز — ثلاث دقائق</w:t>
      </w:r>
    </w:p>
    <w:p>
      <w:pPr>
        <w:pStyle w:val="MdParagraph"/>
      </w:pPr>
      <w:r>
        <w:t xml:space="preserve">"شبكة البروكرز قناة أساسية، لذلك نحتاج سياسة واضحة لا تعتمد على الوعود. عند تجاوز سداد العميل 75%، تكون العمولة 6% من إجمالي التعاقد. وعند سداد 75% أو أقل، تكون 4% من المسدد فعليًا، ما لم تعتمد الإدارة استثناءً مكتوبًا.</w:t>
      </w:r>
    </w:p>
    <w:p>
      <w:pPr>
        <w:pStyle w:val="MdSpace"/>
        <w:spacing w:before="0" w:after="60"/>
      </w:pPr>
    </w:p>
    <w:p>
      <w:pPr>
        <w:pStyle w:val="MdParagraph"/>
      </w:pPr>
      <w:r>
        <w:t xml:space="preserve">نقيس البروكر من التسجيل الصحيح إلى الحجز والتحصيل، ونستخدم ترتيبًا ونقاطًا وحوافز تشغيلية، دون دفع عمولة على حجز غير معتمد أو مبلغ غير محصل."</w:t>
      </w:r>
    </w:p>
    <w:p>
      <w:pPr>
        <w:pStyle w:val="MdSpace"/>
        <w:spacing w:before="0" w:after="60"/>
      </w:pPr>
    </w:p>
    <w:p>
      <w:pPr>
        <w:pStyle w:val="Heading2"/>
        <w:pStyle w:val="MdHeading2"/>
      </w:pPr>
      <w:r>
        <w:t xml:space="preserve">شرح التارجت — دقيقتان</w:t>
      </w:r>
    </w:p>
    <w:p>
      <w:pPr>
        <w:pStyle w:val="MdParagraph"/>
      </w:pPr>
      <w:r>
        <w:t xml:space="preserve">"نعتمد H6، وهو رقم التسجيلات أو الحجوزات المعتمدة خلال آخر ستة أشهر. التارجت للستة أشهر القادمة هو 2×H6. إذا كان H6 يساوي 20 حجزًا، فالهدف الحسابي 40 حجزًا؛ وهذا مثال توضيحي حتى تثبت الإدارة الرقم من الملفات.</w:t>
      </w:r>
    </w:p>
    <w:p>
      <w:pPr>
        <w:pStyle w:val="MdSpace"/>
        <w:spacing w:before="0" w:after="60"/>
      </w:pPr>
    </w:p>
    <w:p>
      <w:pPr>
        <w:pStyle w:val="MdParagraph"/>
      </w:pPr>
      <w:r>
        <w:t xml:space="preserve">هدف بيع الوحدات بالكامل خلال النصف الأول من 2027 هو هدف مشروط، ونراجع تقدمه بعد أول 60 و90 يومًا."</w:t>
      </w:r>
    </w:p>
    <w:p>
      <w:pPr>
        <w:pStyle w:val="MdSpace"/>
        <w:spacing w:before="0" w:after="60"/>
      </w:pPr>
    </w:p>
    <w:p>
      <w:pPr>
        <w:pStyle w:val="Heading2"/>
        <w:pStyle w:val="MdHeading2"/>
      </w:pPr>
      <w:r>
        <w:t xml:space="preserve">المخاطر والضوابط — دقيقتان</w:t>
      </w:r>
    </w:p>
    <w:p>
      <w:pPr>
        <w:pStyle w:val="MdParagraph"/>
      </w:pPr>
      <w:r>
        <w:t xml:space="preserve">"هناك مخاطر يجب إدارتها: التأخير في التسليم، اختلاف حالة التشطيب، تضارب المخزون، أو عدم ملاءمة السعر. لذلك لا تستخدم الحملة وعدًا غير موثق، ولا يتم الإعلان عن وحدة قبل تأكيدها، ولا تستمر ميزانية قناة لا تقدم جودة حقيقية.</w:t>
      </w:r>
    </w:p>
    <w:p>
      <w:pPr>
        <w:pStyle w:val="MdSpace"/>
        <w:spacing w:before="0" w:after="60"/>
      </w:pPr>
    </w:p>
    <w:p>
      <w:pPr>
        <w:pStyle w:val="MdParagraph"/>
      </w:pPr>
      <w:r>
        <w:t xml:space="preserve">النظام والتقرير الأسبوعي يحولان المشكلة من انطباع إلى رقم: عدد العملاء، المعاينات، الحجوزات، المسدد، والمتبقي وتاريخ كل عملية."</w:t>
      </w:r>
    </w:p>
    <w:p>
      <w:pPr>
        <w:pStyle w:val="MdSpace"/>
        <w:spacing w:before="0" w:after="60"/>
      </w:pPr>
    </w:p>
    <w:p>
      <w:pPr>
        <w:pStyle w:val="Heading2"/>
        <w:pStyle w:val="MdHeading2"/>
      </w:pPr>
      <w:r>
        <w:t xml:space="preserve">الطلب من المجلس — دقيقة ونصف</w:t>
      </w:r>
    </w:p>
    <w:p>
      <w:pPr>
        <w:pStyle w:val="MdParagraph"/>
      </w:pPr>
      <w:r>
        <w:t xml:space="preserve">"نطلب اعتماد: توزيع الميزانية كنسب مع تحديد القيمة النقدية من الإدارة، فريق البداية، نظام المتابعة، سياسة البروكرز، تعريف H6، وتارجت 2×H6. أما أي زيادة كبيرة أو توسع في اللافتات أو قرارات الأرض والتشطيبات ونقل المكتب، فتكون في قرار لاحق بعد ظهور النتائج."</w:t>
      </w:r>
    </w:p>
    <w:p>
      <w:pPr>
        <w:pStyle w:val="MdSpace"/>
        <w:spacing w:before="0" w:after="60"/>
      </w:pPr>
    </w:p>
    <w:p>
      <w:pPr>
        <w:pStyle w:val="Heading2"/>
        <w:pStyle w:val="MdHeading2"/>
      </w:pPr>
      <w:r>
        <w:t xml:space="preserve">الخاتمة — دقيقة</w:t>
      </w:r>
    </w:p>
    <w:p>
      <w:pPr>
        <w:pStyle w:val="MdParagraph"/>
      </w:pPr>
      <w:r>
        <w:t xml:space="preserve">"الخطة لا تطلب إنفاقًا بلا رقابة؛ تطلب اختبارًا، متابعة، وتصحيحًا. إذا زادت الحجوزات وتحسن التحصيل، نوسع. وإذا لم تتحسن، نعرف أين الخلل ونغير القناة أو الرسالة أو السعر أو التشغيل. بهذا الأسلوب نعمل على بيع المشروع بالكامل في النصف الأول من 2027 دون مبالغة في الوعود أو تحميل الشركة التزامًا غير محسوب."</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سادسًا: الاعتراضات المالية والردود الجاهزة</w:t>
      </w:r>
    </w:p>
    <w:p>
      <w:pPr>
        <w:pStyle w:val="Heading2"/>
        <w:pStyle w:val="MdHeading2"/>
      </w:pPr>
      <w:r>
        <w:t xml:space="preserve">هل الميزانية المقترحة كبيرة؟</w:t>
      </w:r>
    </w:p>
    <w:p>
      <w:pPr>
        <w:pStyle w:val="MdParagraph"/>
      </w:pPr>
      <w:r>
        <w:t xml:space="preserve">"القيم لم تعتمد بعد، ولذلك تركناها فارغة. المقترح هو نسب وبوابات صرف، ويمكن البدء بحد اختبار تحدده الإدارة ثم زيادة القناة فقط إذا أثبتت نتائجها."</w:t>
      </w:r>
    </w:p>
    <w:p>
      <w:pPr>
        <w:pStyle w:val="MdSpace"/>
        <w:spacing w:before="0" w:after="60"/>
      </w:pPr>
    </w:p>
    <w:p>
      <w:pPr>
        <w:pStyle w:val="Heading2"/>
        <w:pStyle w:val="MdHeading2"/>
      </w:pPr>
      <w:r>
        <w:t xml:space="preserve">ما العائد المتوقع من كل جنيه؟</w:t>
      </w:r>
    </w:p>
    <w:p>
      <w:pPr>
        <w:pStyle w:val="MdParagraph"/>
      </w:pPr>
      <w:r>
        <w:t xml:space="preserve">"لا نضع عائدًا مضمونًا قبل معرفة H6 والأسعار والتسليم. نقيس تكلفة العميل المؤهل والمعاينة والحجز والتحصيل، ثم نقرر. الإعلان الذي لا يؤدي إلى مراحل متقدمة لا يعتبر ناجحًا حتى لو حقق تفاعلًا."</w:t>
      </w:r>
    </w:p>
    <w:p>
      <w:pPr>
        <w:pStyle w:val="MdSpace"/>
        <w:spacing w:before="0" w:after="60"/>
      </w:pPr>
    </w:p>
    <w:p>
      <w:pPr>
        <w:pStyle w:val="Heading2"/>
        <w:pStyle w:val="MdHeading2"/>
      </w:pPr>
      <w:r>
        <w:t xml:space="preserve">لماذا ندفع 6%؟</w:t>
      </w:r>
    </w:p>
    <w:p>
      <w:pPr>
        <w:pStyle w:val="MdParagraph"/>
      </w:pPr>
      <w:r>
        <w:t xml:space="preserve">"الـ6% مرتبطة بسداد أكثر من 75%، وليست مستحقة بمجرد التسجيل. إذا كان السداد 75% أو أقل، تحسب 4% من المسدد فعليًا، مع إثبات مصدر العميل واعتماد الصفقة."</w:t>
      </w:r>
    </w:p>
    <w:p>
      <w:pPr>
        <w:pStyle w:val="MdSpace"/>
        <w:spacing w:before="0" w:after="60"/>
      </w:pPr>
    </w:p>
    <w:p>
      <w:pPr>
        <w:pStyle w:val="Heading2"/>
        <w:pStyle w:val="MdHeading2"/>
      </w:pPr>
      <w:r>
        <w:t xml:space="preserve">هل يمكن أن نتعرض لخسارة بسبب العمولة؟</w:t>
      </w:r>
    </w:p>
    <w:p>
      <w:pPr>
        <w:pStyle w:val="MdParagraph"/>
      </w:pPr>
      <w:r>
        <w:t xml:space="preserve">"الضوابط تمنع ذلك قدر الإمكان: لا صرف قبل اعتماد الصفقة، ولا على مبلغ غير محصل، ولا عمولة كاملة في حالة السداد الأقل من 75%. كما أن توقيت الصرف ومعالجة الإلغاء يحددان تعاقديًا بعد المراجعة القانونية."</w:t>
      </w:r>
    </w:p>
    <w:p>
      <w:pPr>
        <w:pStyle w:val="MdSpace"/>
        <w:spacing w:before="0" w:after="60"/>
      </w:pPr>
    </w:p>
    <w:p>
      <w:pPr>
        <w:pStyle w:val="Heading2"/>
        <w:pStyle w:val="MdHeading2"/>
      </w:pPr>
      <w:r>
        <w:t xml:space="preserve">لماذا لا نركز على قناة واحدة؟</w:t>
      </w:r>
    </w:p>
    <w:p>
      <w:pPr>
        <w:pStyle w:val="MdParagraph"/>
      </w:pPr>
      <w:r>
        <w:t xml:space="preserve">"لأن القنوات تؤدي أدوارًا مختلفة. Google يلتقط نية البحث، Meta يبني الوصول وإعادة الاستهداف، وOutdoor يلتقط الطلب المحلي. نقارنها بمؤشر الحجز والتحصيل، ثم نركز على الأفضل."</w:t>
      </w:r>
    </w:p>
    <w:p>
      <w:pPr>
        <w:pStyle w:val="MdSpace"/>
        <w:spacing w:before="0" w:after="60"/>
      </w:pPr>
    </w:p>
    <w:p>
      <w:pPr>
        <w:pStyle w:val="Heading2"/>
        <w:pStyle w:val="MdHeading2"/>
      </w:pPr>
      <w:r>
        <w:t xml:space="preserve">ما الذي يضمن تحقيق ضعف H6؟</w:t>
      </w:r>
    </w:p>
    <w:p>
      <w:pPr>
        <w:pStyle w:val="MdParagraph"/>
      </w:pPr>
      <w:r>
        <w:t xml:space="preserve">"لا يوجد ضمان. يوجد هدف قابل للقياس، وفريق، ونظام، وقنوات، وتقارير أسبوعية. إذا انحرف الأداء نعدل مبكرًا بدل الانتظار حتى نهاية الستة أشهر."</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سابعًا: قرار الاعتماد المقترح</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البند</w:t>
            </w:r>
          </w:p>
        </w:tc>
        <w:tc>
          <w:tcPr>
            <w:tcMar>
              <w:top w:type="dxa" w:w="100"/>
              <w:left w:type="dxa" w:w="120"/>
              <w:bottom w:type="dxa" w:w="100"/>
              <w:right w:type="dxa" w:w="120"/>
            </w:tcMar>
            <w:vAlign w:val="center"/>
          </w:tcPr>
          <w:p>
            <w:pPr>
              <w:pStyle w:val="MdTableHeader"/>
            </w:pPr>
            <w:r>
              <w:t xml:space="preserve">موافق</w:t>
            </w:r>
          </w:p>
        </w:tc>
        <w:tc>
          <w:tcPr>
            <w:tcMar>
              <w:top w:type="dxa" w:w="100"/>
              <w:left w:type="dxa" w:w="120"/>
              <w:bottom w:type="dxa" w:w="100"/>
              <w:right w:type="dxa" w:w="120"/>
            </w:tcMar>
            <w:vAlign w:val="center"/>
          </w:tcPr>
          <w:p>
            <w:pPr>
              <w:pStyle w:val="MdTableHeader"/>
            </w:pPr>
            <w:r>
              <w:t xml:space="preserve">يحتاج تعديل</w:t>
            </w:r>
          </w:p>
        </w:tc>
        <w:tc>
          <w:tcPr>
            <w:tcMar>
              <w:top w:type="dxa" w:w="100"/>
              <w:left w:type="dxa" w:w="120"/>
              <w:bottom w:type="dxa" w:w="100"/>
              <w:right w:type="dxa" w:w="120"/>
            </w:tcMar>
            <w:vAlign w:val="center"/>
          </w:tcPr>
          <w:p>
            <w:pPr>
              <w:pStyle w:val="MdTableHeader"/>
            </w:pPr>
            <w:r>
              <w:t xml:space="preserve">مؤجل</w:t>
            </w:r>
          </w:p>
        </w:tc>
        <w:tc>
          <w:tcPr>
            <w:tcBorders>
              <w:right w:val="none"/>
            </w:tcBorders>
            <w:tcMar>
              <w:top w:type="dxa" w:w="100"/>
              <w:left w:type="dxa" w:w="120"/>
              <w:bottom w:type="dxa" w:w="100"/>
              <w:right w:type="dxa" w:w="120"/>
            </w:tcMar>
            <w:vAlign w:val="center"/>
          </w:tcPr>
          <w:p>
            <w:pPr>
              <w:pStyle w:val="MdTableHeader"/>
            </w:pPr>
            <w:r>
              <w:t xml:space="preserve">الملاحظات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نسب Meta / Google / Outdoor</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تحديد القيمة النقدية للميزانية</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فريق البداية</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برنامج البروكرز</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6% عند سداد أكثر من 75%</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4% من المسدد عند 75% أو أقل</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نظام المتابعة والتقارير</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H6 وتارجت 2×H6</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اعتماد بوابات الصرف والمراجعة</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p>
        </w:tc>
      </w:tr>
    </w:tbl>
    <w:p>
      <w:pPr>
        <w:pStyle w:val="MdParagraph"/>
      </w:pPr>
      <w:r>
        <w:rPr>
          <w:rStyle w:val="MdStrong"/>
          <w:b/>
          <w:bCs/>
        </w:rPr>
        <w:t xml:space="preserve">نهاية الملف — يراجع ماليًا وقانونيًا قبل التنفيذ.</w:t>
      </w:r>
    </w:p>
    <w:p>
      <w:pPr>
        <w:pStyle w:val="MdSpace"/>
        <w:spacing w:before="0" w:after="60"/>
      </w:pPr>
    </w:p>
    <w:p>
      <w:pPr>
        <w:pStyle w:val="Heading1"/>
        <w:pStyle w:val="MdHeading1"/>
      </w:pPr>
      <w:r>
        <w:t xml:space="preserve">مصدر مدمج: cairo_plaza_google_meta_campaign_plan.md</w:t>
      </w:r>
    </w:p>
    <w:p>
      <w:pPr>
        <w:pStyle w:val="Heading1"/>
        <w:pStyle w:val="MdHeading1"/>
      </w:pPr>
      <w:r>
        <w:t xml:space="preserve">Cairo Plaza — Google Search, Performance Max &amp; Meta Retargeting Plan</w:t>
      </w:r>
    </w:p>
    <w:p>
      <w:pPr>
        <w:pStyle w:val="MdParagraph"/>
      </w:pPr>
      <w:r>
        <w:rPr>
          <w:rStyle w:val="MdStrong"/>
          <w:b/>
          <w:bCs/>
        </w:rPr>
        <w:t xml:space="preserve">Status:</w:t>
      </w:r>
      <w:r>
        <w:t xml:space="preserve"> Draft for management approval; no campaign is live and no spend is authorized.</w:t>
      </w:r>
    </w:p>
    <w:p>
      <w:pPr>
        <w:pStyle w:val="MdSpace"/>
        <w:spacing w:before="0" w:after="60"/>
      </w:pPr>
    </w:p>
    <w:p>
      <w:pPr>
        <w:pStyle w:val="Heading2"/>
        <w:pStyle w:val="MdHeading2"/>
      </w:pPr>
      <w:r>
        <w:t xml:space="preserve">1. Commercial objective</w:t>
      </w:r>
    </w:p>
    <w:p>
      <w:pPr>
        <w:pStyle w:val="MdParagraph"/>
      </w:pPr>
      <w:r>
        <w:t xml:space="preserve">Generate qualified enquiries, viewings, approved bookings and collected payments for offices, clinics and shops in Al-Matariya. Use H6, the number of approved registrations or bookings during the previous six months, as the baseline. The six-month target is 2 × H6, subject to management confirmation of the historical files.</w:t>
      </w:r>
    </w:p>
    <w:p>
      <w:pPr>
        <w:pStyle w:val="MdSpace"/>
        <w:spacing w:before="0" w:after="60"/>
      </w:pPr>
    </w:p>
    <w:p>
      <w:pPr>
        <w:pStyle w:val="Heading2"/>
        <w:pStyle w:val="MdHeading2"/>
      </w:pPr>
      <w:r>
        <w:t xml:space="preserve">2. Google Search 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Campaign</w:t>
            </w:r>
          </w:p>
        </w:tc>
        <w:tc>
          <w:tcPr>
            <w:tcMar>
              <w:top w:type="dxa" w:w="100"/>
              <w:left w:type="dxa" w:w="120"/>
              <w:bottom w:type="dxa" w:w="100"/>
              <w:right w:type="dxa" w:w="120"/>
            </w:tcMar>
            <w:vAlign w:val="center"/>
          </w:tcPr>
          <w:p>
            <w:pPr>
              <w:pStyle w:val="MdTableHeader"/>
            </w:pPr>
            <w:r>
              <w:t xml:space="preserve">Ad groups</w:t>
            </w:r>
          </w:p>
        </w:tc>
        <w:tc>
          <w:tcPr>
            <w:tcMar>
              <w:top w:type="dxa" w:w="100"/>
              <w:left w:type="dxa" w:w="120"/>
              <w:bottom w:type="dxa" w:w="100"/>
              <w:right w:type="dxa" w:w="120"/>
            </w:tcMar>
            <w:vAlign w:val="center"/>
          </w:tcPr>
          <w:p>
            <w:pPr>
              <w:pStyle w:val="MdTableHeader"/>
            </w:pPr>
            <w:r>
              <w:t xml:space="preserve">Search intent</w:t>
            </w:r>
          </w:p>
        </w:tc>
        <w:tc>
          <w:tcPr>
            <w:tcMar>
              <w:top w:type="dxa" w:w="100"/>
              <w:left w:type="dxa" w:w="120"/>
              <w:bottom w:type="dxa" w:w="100"/>
              <w:right w:type="dxa" w:w="120"/>
            </w:tcMar>
            <w:vAlign w:val="center"/>
          </w:tcPr>
          <w:p>
            <w:pPr>
              <w:pStyle w:val="MdTableHeader"/>
            </w:pPr>
            <w:r>
              <w:t xml:space="preserve">Landing experience</w:t>
            </w:r>
          </w:p>
        </w:tc>
        <w:tc>
          <w:tcPr>
            <w:tcBorders>
              <w:right w:val="none"/>
            </w:tcBorders>
            <w:tcMar>
              <w:top w:type="dxa" w:w="100"/>
              <w:left w:type="dxa" w:w="120"/>
              <w:bottom w:type="dxa" w:w="100"/>
              <w:right w:type="dxa" w:w="120"/>
            </w:tcMar>
            <w:vAlign w:val="center"/>
          </w:tcPr>
          <w:p>
            <w:pPr>
              <w:pStyle w:val="MdTableHeader"/>
            </w:pPr>
            <w:r>
              <w:t xml:space="preserve">Primary conversion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CP-Search-Commercial</w:t>
            </w:r>
          </w:p>
        </w:tc>
        <w:tc>
          <w:tcPr>
            <w:tcMar>
              <w:top w:type="dxa" w:w="80"/>
              <w:left w:type="dxa" w:w="120"/>
              <w:bottom w:type="dxa" w:w="80"/>
              <w:right w:type="dxa" w:w="120"/>
            </w:tcMar>
            <w:vAlign w:val="center"/>
          </w:tcPr>
          <w:p>
            <w:pPr>
              <w:pStyle w:val="MdTableCell"/>
            </w:pPr>
            <w:r>
              <w:t xml:space="preserve">shop for sale, shop near metro, retail unit, shop in Al-Matariya</w:t>
            </w:r>
          </w:p>
        </w:tc>
        <w:tc>
          <w:tcPr>
            <w:tcMar>
              <w:top w:type="dxa" w:w="80"/>
              <w:left w:type="dxa" w:w="120"/>
              <w:bottom w:type="dxa" w:w="80"/>
              <w:right w:type="dxa" w:w="120"/>
            </w:tcMar>
            <w:vAlign w:val="center"/>
          </w:tcPr>
          <w:p>
            <w:pPr>
              <w:pStyle w:val="MdTableCell"/>
            </w:pPr>
            <w:r>
              <w:t xml:space="preserve">High intent to buy or inspect a shop</w:t>
            </w:r>
          </w:p>
        </w:tc>
        <w:tc>
          <w:tcPr>
            <w:tcMar>
              <w:top w:type="dxa" w:w="80"/>
              <w:left w:type="dxa" w:w="120"/>
              <w:bottom w:type="dxa" w:w="80"/>
              <w:right w:type="dxa" w:w="120"/>
            </w:tcMar>
            <w:vAlign w:val="center"/>
          </w:tcPr>
          <w:p>
            <w:pPr>
              <w:pStyle w:val="MdTableCell"/>
            </w:pPr>
            <w:r>
              <w:t xml:space="preserve">Commercial unit page</w:t>
            </w:r>
          </w:p>
        </w:tc>
        <w:tc>
          <w:tcPr>
            <w:tcBorders>
              <w:right w:val="none"/>
            </w:tcBorders>
            <w:tcMar>
              <w:top w:type="dxa" w:w="80"/>
              <w:left w:type="dxa" w:w="120"/>
              <w:bottom w:type="dxa" w:w="80"/>
              <w:right w:type="dxa" w:w="120"/>
            </w:tcMar>
            <w:vAlign w:val="center"/>
          </w:tcPr>
          <w:p>
            <w:pPr>
              <w:pStyle w:val="MdTableCell"/>
            </w:pPr>
            <w:r>
              <w:t xml:space="preserve">Viewing request / qualified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CP-Search-Administrative</w:t>
            </w:r>
          </w:p>
        </w:tc>
        <w:tc>
          <w:tcPr>
            <w:tcMar>
              <w:top w:type="dxa" w:w="80"/>
              <w:left w:type="dxa" w:w="120"/>
              <w:bottom w:type="dxa" w:w="80"/>
              <w:right w:type="dxa" w:w="120"/>
            </w:tcMar>
            <w:vAlign w:val="center"/>
          </w:tcPr>
          <w:p>
            <w:pPr>
              <w:pStyle w:val="MdTableCell"/>
            </w:pPr>
            <w:r>
              <w:t xml:space="preserve">office for sale, administrative unit, office in Al-Matariya</w:t>
            </w:r>
          </w:p>
        </w:tc>
        <w:tc>
          <w:tcPr>
            <w:tcMar>
              <w:top w:type="dxa" w:w="80"/>
              <w:left w:type="dxa" w:w="120"/>
              <w:bottom w:type="dxa" w:w="80"/>
              <w:right w:type="dxa" w:w="120"/>
            </w:tcMar>
            <w:vAlign w:val="center"/>
          </w:tcPr>
          <w:p>
            <w:pPr>
              <w:pStyle w:val="MdTableCell"/>
            </w:pPr>
            <w:r>
              <w:t xml:space="preserve">High intent for office space</w:t>
            </w:r>
          </w:p>
        </w:tc>
        <w:tc>
          <w:tcPr>
            <w:tcMar>
              <w:top w:type="dxa" w:w="80"/>
              <w:left w:type="dxa" w:w="120"/>
              <w:bottom w:type="dxa" w:w="80"/>
              <w:right w:type="dxa" w:w="120"/>
            </w:tcMar>
            <w:vAlign w:val="center"/>
          </w:tcPr>
          <w:p>
            <w:pPr>
              <w:pStyle w:val="MdTableCell"/>
            </w:pPr>
            <w:r>
              <w:t xml:space="preserve">Administrative unit page</w:t>
            </w:r>
          </w:p>
        </w:tc>
        <w:tc>
          <w:tcPr>
            <w:tcBorders>
              <w:right w:val="none"/>
            </w:tcBorders>
            <w:tcMar>
              <w:top w:type="dxa" w:w="80"/>
              <w:left w:type="dxa" w:w="120"/>
              <w:bottom w:type="dxa" w:w="80"/>
              <w:right w:type="dxa" w:w="120"/>
            </w:tcMar>
            <w:vAlign w:val="center"/>
          </w:tcPr>
          <w:p>
            <w:pPr>
              <w:pStyle w:val="MdTableCell"/>
            </w:pPr>
            <w:r>
              <w:t xml:space="preserve">Lead / call / viewing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CP-Search-Medical</w:t>
            </w:r>
          </w:p>
        </w:tc>
        <w:tc>
          <w:tcPr>
            <w:tcMar>
              <w:top w:type="dxa" w:w="80"/>
              <w:left w:type="dxa" w:w="120"/>
              <w:bottom w:type="dxa" w:w="80"/>
              <w:right w:type="dxa" w:w="120"/>
            </w:tcMar>
            <w:vAlign w:val="center"/>
          </w:tcPr>
          <w:p>
            <w:pPr>
              <w:pStyle w:val="MdTableCell"/>
            </w:pPr>
            <w:r>
              <w:t xml:space="preserve">clinic space, medical office, administrative clinic</w:t>
            </w:r>
          </w:p>
        </w:tc>
        <w:tc>
          <w:tcPr>
            <w:tcMar>
              <w:top w:type="dxa" w:w="80"/>
              <w:left w:type="dxa" w:w="120"/>
              <w:bottom w:type="dxa" w:w="80"/>
              <w:right w:type="dxa" w:w="120"/>
            </w:tcMar>
            <w:vAlign w:val="center"/>
          </w:tcPr>
          <w:p>
            <w:pPr>
              <w:pStyle w:val="MdTableCell"/>
            </w:pPr>
            <w:r>
              <w:t xml:space="preserve">Medical-business intent; confirm licensing before promise</w:t>
            </w:r>
          </w:p>
        </w:tc>
        <w:tc>
          <w:tcPr>
            <w:tcMar>
              <w:top w:type="dxa" w:w="80"/>
              <w:left w:type="dxa" w:w="120"/>
              <w:bottom w:type="dxa" w:w="80"/>
              <w:right w:type="dxa" w:w="120"/>
            </w:tcMar>
            <w:vAlign w:val="center"/>
          </w:tcPr>
          <w:p>
            <w:pPr>
              <w:pStyle w:val="MdTableCell"/>
            </w:pPr>
            <w:r>
              <w:t xml:space="preserve">Medical-use information page</w:t>
            </w:r>
          </w:p>
        </w:tc>
        <w:tc>
          <w:tcPr>
            <w:tcBorders>
              <w:right w:val="none"/>
            </w:tcBorders>
            <w:tcMar>
              <w:top w:type="dxa" w:w="80"/>
              <w:left w:type="dxa" w:w="120"/>
              <w:bottom w:type="dxa" w:w="80"/>
              <w:right w:type="dxa" w:w="120"/>
            </w:tcMar>
            <w:vAlign w:val="center"/>
          </w:tcPr>
          <w:p>
            <w:pPr>
              <w:pStyle w:val="MdTableCell"/>
            </w:pPr>
            <w:r>
              <w:t xml:space="preserve">Qualified enquiry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CP-Search-Brand-Expansion</w:t>
            </w:r>
          </w:p>
        </w:tc>
        <w:tc>
          <w:tcPr>
            <w:tcMar>
              <w:top w:type="dxa" w:w="80"/>
              <w:left w:type="dxa" w:w="120"/>
              <w:bottom w:type="dxa" w:w="80"/>
              <w:right w:type="dxa" w:w="120"/>
            </w:tcMar>
            <w:vAlign w:val="center"/>
          </w:tcPr>
          <w:p>
            <w:pPr>
              <w:pStyle w:val="MdTableCell"/>
            </w:pPr>
            <w:r>
              <w:t xml:space="preserve">branch, retail expansion, new location</w:t>
            </w:r>
          </w:p>
        </w:tc>
        <w:tc>
          <w:tcPr>
            <w:tcMar>
              <w:top w:type="dxa" w:w="80"/>
              <w:left w:type="dxa" w:w="120"/>
              <w:bottom w:type="dxa" w:w="80"/>
              <w:right w:type="dxa" w:w="120"/>
            </w:tcMar>
            <w:vAlign w:val="center"/>
          </w:tcPr>
          <w:p>
            <w:pPr>
              <w:pStyle w:val="MdTableCell"/>
            </w:pPr>
            <w:r>
              <w:t xml:space="preserve">Decision-makers and expansion teams</w:t>
            </w:r>
          </w:p>
        </w:tc>
        <w:tc>
          <w:tcPr>
            <w:tcMar>
              <w:top w:type="dxa" w:w="80"/>
              <w:left w:type="dxa" w:w="120"/>
              <w:bottom w:type="dxa" w:w="80"/>
              <w:right w:type="dxa" w:w="120"/>
            </w:tcMar>
            <w:vAlign w:val="center"/>
          </w:tcPr>
          <w:p>
            <w:pPr>
              <w:pStyle w:val="MdTableCell"/>
            </w:pPr>
            <w:r>
              <w:t xml:space="preserve">Business enquiry page</w:t>
            </w:r>
          </w:p>
        </w:tc>
        <w:tc>
          <w:tcPr>
            <w:tcBorders>
              <w:right w:val="none"/>
            </w:tcBorders>
            <w:tcMar>
              <w:top w:type="dxa" w:w="80"/>
              <w:left w:type="dxa" w:w="120"/>
              <w:bottom w:type="dxa" w:w="80"/>
              <w:right w:type="dxa" w:w="120"/>
            </w:tcMar>
            <w:vAlign w:val="center"/>
          </w:tcPr>
          <w:p>
            <w:pPr>
              <w:pStyle w:val="MdTableCell"/>
            </w:pPr>
            <w:r>
              <w:t xml:space="preserve">Meeting request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CP-Search-Brand</w:t>
            </w:r>
          </w:p>
        </w:tc>
        <w:tc>
          <w:tcPr>
            <w:tcBorders>
              <w:bottom w:val="single" w:color="E1E4E8" w:sz="4"/>
            </w:tcBorders>
            <w:tcMar>
              <w:top w:type="dxa" w:w="80"/>
              <w:left w:type="dxa" w:w="120"/>
              <w:bottom w:type="dxa" w:w="80"/>
              <w:right w:type="dxa" w:w="120"/>
            </w:tcMar>
            <w:vAlign w:val="center"/>
          </w:tcPr>
          <w:p>
            <w:pPr>
              <w:pStyle w:val="MdTableCell"/>
            </w:pPr>
            <w:r>
              <w:t xml:space="preserve">Cairo Plaza, project and location searches</w:t>
            </w:r>
          </w:p>
        </w:tc>
        <w:tc>
          <w:tcPr>
            <w:tcBorders>
              <w:bottom w:val="single" w:color="E1E4E8" w:sz="4"/>
            </w:tcBorders>
            <w:tcMar>
              <w:top w:type="dxa" w:w="80"/>
              <w:left w:type="dxa" w:w="120"/>
              <w:bottom w:type="dxa" w:w="80"/>
              <w:right w:type="dxa" w:w="120"/>
            </w:tcMar>
            <w:vAlign w:val="center"/>
          </w:tcPr>
          <w:p>
            <w:pPr>
              <w:pStyle w:val="MdTableCell"/>
            </w:pPr>
            <w:r>
              <w:t xml:space="preserve">Existing demand</w:t>
            </w:r>
          </w:p>
        </w:tc>
        <w:tc>
          <w:tcPr>
            <w:tcBorders>
              <w:bottom w:val="single" w:color="E1E4E8" w:sz="4"/>
            </w:tcBorders>
            <w:tcMar>
              <w:top w:type="dxa" w:w="80"/>
              <w:left w:type="dxa" w:w="120"/>
              <w:bottom w:type="dxa" w:w="80"/>
              <w:right w:type="dxa" w:w="120"/>
            </w:tcMar>
            <w:vAlign w:val="center"/>
          </w:tcPr>
          <w:p>
            <w:pPr>
              <w:pStyle w:val="MdTableCell"/>
            </w:pPr>
            <w:r>
              <w:t xml:space="preserve">Project page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Call / WhatsApp</w:t>
            </w:r>
          </w:p>
        </w:tc>
      </w:tr>
    </w:tbl>
    <w:p>
      <w:pPr>
        <w:pStyle w:val="Heading3"/>
        <w:pStyle w:val="MdHeading3"/>
      </w:pPr>
      <w:r>
        <w:t xml:space="preserve">Keyword framework</w:t>
      </w:r>
    </w:p>
    <w:p>
      <w:pPr>
        <w:pStyle w:val="MdParagraph"/>
      </w:pPr>
      <w:r>
        <w:t xml:space="preserve">Use Arabic and English variants after reviewing the actual search-term report. Examples include: «محل للبيع المطرية»، «محل بجوار مترو المطرية»، «مكتب إداري للبيع المطرية»، «عيادة للبيع المطرية»، «مقر شركة المطرية»، “shop for sale Matariya”, “office for sale Matariya”. Do not assume volume or cost before the account’s Keyword Planner and search-term data are reviewed.</w:t>
      </w:r>
    </w:p>
    <w:p>
      <w:pPr>
        <w:pStyle w:val="MdSpace"/>
        <w:spacing w:before="0" w:after="60"/>
      </w:pPr>
    </w:p>
    <w:p>
      <w:pPr>
        <w:pStyle w:val="Heading3"/>
        <w:pStyle w:val="MdHeading3"/>
      </w:pPr>
      <w:r>
        <w:t xml:space="preserve">Negative keyword framework</w:t>
      </w:r>
    </w:p>
    <w:p>
      <w:pPr>
        <w:pStyle w:val="MdParagraph"/>
      </w:pPr>
      <w:r>
        <w:t xml:space="preserve">Start with terms that indicate low commercial fit, such as rent-only queries if the campaign is for sale, jobs, courses, furniture, free, images, maps-only, and unrelated districts. Review search terms weekly; never add a negative keyword that blocks a valuable business-intent query.</w:t>
      </w:r>
    </w:p>
    <w:p>
      <w:pPr>
        <w:pStyle w:val="MdSpace"/>
        <w:spacing w:before="0" w:after="60"/>
      </w:pPr>
    </w:p>
    <w:p>
      <w:pPr>
        <w:pStyle w:val="Heading3"/>
        <w:pStyle w:val="MdHeading3"/>
      </w:pPr>
      <w:r>
        <w:t xml:space="preserve">Ad copy principles</w:t>
      </w:r>
    </w:p>
    <w:p>
      <w:pPr>
        <w:pStyle w:val="MdParagraph"/>
      </w:pPr>
      <w:r>
        <w:t xml:space="preserve">Use two responsive search ads per ad group. Headlines should combine location, unit type, viewing, and confirmation. Example Arabic headlines: «محلات ومكاتب في المطرية»، «اطلب كشف الوحدات المؤكد»، «احجز معاينة كايرو بلازا». Descriptions should state that availability, price, finishing, licensing and delivery are confirmed before contracting.</w:t>
      </w:r>
    </w:p>
    <w:p>
      <w:pPr>
        <w:pStyle w:val="MdSpace"/>
        <w:spacing w:before="0" w:after="60"/>
      </w:pPr>
    </w:p>
    <w:p>
      <w:pPr>
        <w:pStyle w:val="Heading2"/>
        <w:pStyle w:val="MdHeading2"/>
      </w:pPr>
      <w:r>
        <w:t xml:space="preserve">3. Performance Max structure</w:t>
      </w:r>
    </w:p>
    <w:p>
      <w:pPr>
        <w:pStyle w:val="MdParagraph"/>
      </w:pPr>
      <w:r>
        <w:t xml:space="preserve">Create one controlled lead-generation Performance Max campaign after conversion tracking is verified. Use separate asset groups for Commercial, Administrative, Medical/Clinic, and Brand Expansion. Supply real images, short videos, headlines, descriptions, logo, location signals, audience signals from qualified first-party data, and a focused final URL for each asset group.</w:t>
      </w:r>
    </w:p>
    <w:p>
      <w:pPr>
        <w:pStyle w:val="MdSpace"/>
        <w:spacing w:before="0" w:after="60"/>
      </w:pPr>
    </w:p>
    <w:p>
      <w:pPr>
        <w:pStyle w:val="MdParagraph"/>
      </w:pPr>
      <w:r>
        <w:t xml:space="preserve">Performance Max should not replace Search. Search captures explicit query intent; Performance Max expands across Google inventory and should be judged on qualified leads, viewings, bookings and collected payments. Keep conversion actions separated so the system does not optimize only for low-value messages.</w:t>
      </w:r>
    </w:p>
    <w:p>
      <w:pPr>
        <w:pStyle w:val="MdSpace"/>
        <w:spacing w:before="0" w:after="60"/>
      </w:pPr>
    </w:p>
    <w:p>
      <w:pPr>
        <w:pStyle w:val="Heading3"/>
        <w:pStyle w:val="MdHeading3"/>
      </w:pPr>
      <w:r>
        <w:t xml:space="preserve">Conversion hierarchy</w:t>
      </w:r>
    </w:p>
    <w:p>
      <w:pPr>
        <w:pStyle w:val="MdListItem"/>
        <w:numPr>
          <w:ilvl w:val="0"/>
          <w:numId w:val="2"/>
        </w:numPr>
      </w:pPr>
      <w:r>
        <w:t xml:space="preserve">Primary: approved booking, signed contract, or qualified viewing when an offline booking import is not yet available.</w:t>
      </w:r>
    </w:p>
    <w:p>
      <w:pPr>
        <w:pStyle w:val="MdListItem"/>
        <w:numPr>
          <w:ilvl w:val="0"/>
          <w:numId w:val="2"/>
        </w:numPr>
      </w:pPr>
      <w:r>
        <w:t xml:space="preserve">Secondary: qualified lead, phone call of agreed duration, WhatsApp conversation with completed qualification.</w:t>
      </w:r>
    </w:p>
    <w:p>
      <w:pPr>
        <w:pStyle w:val="MdListItem"/>
        <w:numPr>
          <w:ilvl w:val="0"/>
          <w:numId w:val="2"/>
        </w:numPr>
      </w:pPr>
      <w:r>
        <w:t xml:space="preserve">Diagnostic: page view, form start, video engagement, map click.</w:t>
      </w:r>
    </w:p>
    <w:p>
      <w:pPr>
        <w:pStyle w:val="MdSpace"/>
        <w:spacing w:before="0" w:after="60"/>
      </w:pPr>
    </w:p>
    <w:p>
      <w:pPr>
        <w:pStyle w:val="MdParagraph"/>
      </w:pPr>
      <w:r>
        <w:t xml:space="preserve">Import offline stages from the CRM where possible. Do not optimize to a raw lead if many leads are duplicated, unreachable, or unqualified.</w:t>
      </w:r>
    </w:p>
    <w:p>
      <w:pPr>
        <w:pStyle w:val="MdSpace"/>
        <w:spacing w:before="0" w:after="60"/>
      </w:pPr>
    </w:p>
    <w:p>
      <w:pPr>
        <w:pStyle w:val="Heading2"/>
        <w:pStyle w:val="MdHeading2"/>
      </w:pPr>
      <w:r>
        <w:t xml:space="preserve">4. Meta Pixel and advanced retargeting</w:t>
      </w:r>
    </w:p>
    <w:p>
      <w:pPr>
        <w:pStyle w:val="MdParagraph"/>
      </w:pPr>
      <w:r>
        <w:t xml:space="preserve">Install the Meta Pixel base code on every page and validate it in Events Manager. Track PageView and ViewContent, then add Lead, Contact, Schedule/Viewing, and a qualified custom conversion or offline booking event. Use consent and privacy controls appropriate to the website and jurisdiction. Meta states that Pixel supports website activity measurement, conversion optimization, custom audiences and lookalike audiences.</w:t>
      </w:r>
      <w:hyperlink w:history="1" r:id="rIdyjoktm2-zt7wbs79d-hll">
        <w:r>
          <w:rPr>
            <w:rStyle w:val="MdLink"/>
          </w:rPr>
          <w:t xml:space="preserve">1</w:t>
        </w:r>
      </w:hyperlink>
    </w:p>
    <w:p>
      <w:pPr>
        <w:pStyle w:val="MdSpace"/>
        <w:spacing w:before="0" w:after="60"/>
      </w:pPr>
    </w:p>
    <w:p>
      <w:pPr>
        <w:pStyle w:val="Heading3"/>
        <w:pStyle w:val="MdHeading3"/>
      </w:pPr>
      <w:r>
        <w:t xml:space="preserve">Retargeting audiences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Audience</w:t>
            </w:r>
          </w:p>
        </w:tc>
        <w:tc>
          <w:tcPr>
            <w:tcMar>
              <w:top w:type="dxa" w:w="100"/>
              <w:left w:type="dxa" w:w="120"/>
              <w:bottom w:type="dxa" w:w="100"/>
              <w:right w:type="dxa" w:w="120"/>
            </w:tcMar>
            <w:vAlign w:val="center"/>
          </w:tcPr>
          <w:p>
            <w:pPr>
              <w:pStyle w:val="MdTableHeader"/>
              <w:jc w:val="right"/>
            </w:pPr>
            <w:r>
              <w:t xml:space="preserve">Window</w:t>
            </w:r>
          </w:p>
        </w:tc>
        <w:tc>
          <w:tcPr>
            <w:tcMar>
              <w:top w:type="dxa" w:w="100"/>
              <w:left w:type="dxa" w:w="120"/>
              <w:bottom w:type="dxa" w:w="100"/>
              <w:right w:type="dxa" w:w="120"/>
            </w:tcMar>
            <w:vAlign w:val="center"/>
          </w:tcPr>
          <w:p>
            <w:pPr>
              <w:pStyle w:val="MdTableHeader"/>
            </w:pPr>
            <w:r>
              <w:t xml:space="preserve">Message</w:t>
            </w:r>
          </w:p>
        </w:tc>
        <w:tc>
          <w:tcPr>
            <w:tcBorders>
              <w:right w:val="none"/>
            </w:tcBorders>
            <w:tcMar>
              <w:top w:type="dxa" w:w="100"/>
              <w:left w:type="dxa" w:w="120"/>
              <w:bottom w:type="dxa" w:w="100"/>
              <w:right w:type="dxa" w:w="120"/>
            </w:tcMar>
            <w:vAlign w:val="center"/>
          </w:tcPr>
          <w:p>
            <w:pPr>
              <w:pStyle w:val="MdTableHeader"/>
            </w:pPr>
            <w:r>
              <w:t xml:space="preserve">Exclusion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visitors</w:t>
            </w:r>
          </w:p>
        </w:tc>
        <w:tc>
          <w:tcPr>
            <w:tcMar>
              <w:top w:type="dxa" w:w="80"/>
              <w:left w:type="dxa" w:w="120"/>
              <w:bottom w:type="dxa" w:w="80"/>
              <w:right w:type="dxa" w:w="120"/>
            </w:tcMar>
            <w:vAlign w:val="center"/>
          </w:tcPr>
          <w:p>
            <w:pPr>
              <w:pStyle w:val="MdTableCell"/>
              <w:jc w:val="right"/>
            </w:pPr>
            <w:r>
              <w:t xml:space="preserve">1–7 days</w:t>
            </w:r>
          </w:p>
        </w:tc>
        <w:tc>
          <w:tcPr>
            <w:tcMar>
              <w:top w:type="dxa" w:w="80"/>
              <w:left w:type="dxa" w:w="120"/>
              <w:bottom w:type="dxa" w:w="80"/>
              <w:right w:type="dxa" w:w="120"/>
            </w:tcMar>
            <w:vAlign w:val="center"/>
          </w:tcPr>
          <w:p>
            <w:pPr>
              <w:pStyle w:val="MdTableCell"/>
            </w:pPr>
            <w:r>
              <w:t xml:space="preserve">“You viewed a unit — request the confirmed list.”</w:t>
            </w:r>
          </w:p>
        </w:tc>
        <w:tc>
          <w:tcPr>
            <w:tcBorders>
              <w:right w:val="none"/>
            </w:tcBorders>
            <w:tcMar>
              <w:top w:type="dxa" w:w="80"/>
              <w:left w:type="dxa" w:w="120"/>
              <w:bottom w:type="dxa" w:w="80"/>
              <w:right w:type="dxa" w:w="120"/>
            </w:tcMar>
            <w:vAlign w:val="center"/>
          </w:tcPr>
          <w:p>
            <w:pPr>
              <w:pStyle w:val="MdTableCell"/>
            </w:pPr>
            <w:r>
              <w:t xml:space="preserve">Qualified lead / booked viewing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Commercial page visitors</w:t>
            </w:r>
          </w:p>
        </w:tc>
        <w:tc>
          <w:tcPr>
            <w:tcMar>
              <w:top w:type="dxa" w:w="80"/>
              <w:left w:type="dxa" w:w="120"/>
              <w:bottom w:type="dxa" w:w="80"/>
              <w:right w:type="dxa" w:w="120"/>
            </w:tcMar>
            <w:vAlign w:val="center"/>
          </w:tcPr>
          <w:p>
            <w:pPr>
              <w:pStyle w:val="MdTableCell"/>
              <w:jc w:val="right"/>
            </w:pPr>
            <w:r>
              <w:t xml:space="preserve">1–14 days</w:t>
            </w:r>
          </w:p>
        </w:tc>
        <w:tc>
          <w:tcPr>
            <w:tcMar>
              <w:top w:type="dxa" w:w="80"/>
              <w:left w:type="dxa" w:w="120"/>
              <w:bottom w:type="dxa" w:w="80"/>
              <w:right w:type="dxa" w:w="120"/>
            </w:tcMar>
            <w:vAlign w:val="center"/>
          </w:tcPr>
          <w:p>
            <w:pPr>
              <w:pStyle w:val="MdTableCell"/>
            </w:pPr>
            <w:r>
              <w:t xml:space="preserve">“Choose a shop category and book a viewing.”</w:t>
            </w:r>
          </w:p>
        </w:tc>
        <w:tc>
          <w:tcPr>
            <w:tcBorders>
              <w:right w:val="none"/>
            </w:tcBorders>
            <w:tcMar>
              <w:top w:type="dxa" w:w="80"/>
              <w:left w:type="dxa" w:w="120"/>
              <w:bottom w:type="dxa" w:w="80"/>
              <w:right w:type="dxa" w:w="120"/>
            </w:tcMar>
            <w:vAlign w:val="center"/>
          </w:tcPr>
          <w:p>
            <w:pPr>
              <w:pStyle w:val="MdTableCell"/>
            </w:pPr>
            <w:r>
              <w:t xml:space="preserve">Commercial booking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Administrative page visitors</w:t>
            </w:r>
          </w:p>
        </w:tc>
        <w:tc>
          <w:tcPr>
            <w:tcMar>
              <w:top w:type="dxa" w:w="80"/>
              <w:left w:type="dxa" w:w="120"/>
              <w:bottom w:type="dxa" w:w="80"/>
              <w:right w:type="dxa" w:w="120"/>
            </w:tcMar>
            <w:vAlign w:val="center"/>
          </w:tcPr>
          <w:p>
            <w:pPr>
              <w:pStyle w:val="MdTableCell"/>
              <w:jc w:val="right"/>
            </w:pPr>
            <w:r>
              <w:t xml:space="preserve">1–14 days</w:t>
            </w:r>
          </w:p>
        </w:tc>
        <w:tc>
          <w:tcPr>
            <w:tcMar>
              <w:top w:type="dxa" w:w="80"/>
              <w:left w:type="dxa" w:w="120"/>
              <w:bottom w:type="dxa" w:w="80"/>
              <w:right w:type="dxa" w:w="120"/>
            </w:tcMar>
            <w:vAlign w:val="center"/>
          </w:tcPr>
          <w:p>
            <w:pPr>
              <w:pStyle w:val="MdTableCell"/>
            </w:pPr>
            <w:r>
              <w:t xml:space="preserve">“Compare office sizes and arrange a viewing.”</w:t>
            </w:r>
          </w:p>
        </w:tc>
        <w:tc>
          <w:tcPr>
            <w:tcBorders>
              <w:right w:val="none"/>
            </w:tcBorders>
            <w:tcMar>
              <w:top w:type="dxa" w:w="80"/>
              <w:left w:type="dxa" w:w="120"/>
              <w:bottom w:type="dxa" w:w="80"/>
              <w:right w:type="dxa" w:w="120"/>
            </w:tcMar>
            <w:vAlign w:val="center"/>
          </w:tcPr>
          <w:p>
            <w:pPr>
              <w:pStyle w:val="MdTableCell"/>
            </w:pPr>
            <w:r>
              <w:t xml:space="preserve">Administrative booking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 open, no submit</w:t>
            </w:r>
          </w:p>
        </w:tc>
        <w:tc>
          <w:tcPr>
            <w:tcMar>
              <w:top w:type="dxa" w:w="80"/>
              <w:left w:type="dxa" w:w="120"/>
              <w:bottom w:type="dxa" w:w="80"/>
              <w:right w:type="dxa" w:w="120"/>
            </w:tcMar>
            <w:vAlign w:val="center"/>
          </w:tcPr>
          <w:p>
            <w:pPr>
              <w:pStyle w:val="MdTableCell"/>
              <w:jc w:val="right"/>
            </w:pPr>
            <w:r>
              <w:t xml:space="preserve">1–7 days</w:t>
            </w:r>
          </w:p>
        </w:tc>
        <w:tc>
          <w:tcPr>
            <w:tcMar>
              <w:top w:type="dxa" w:w="80"/>
              <w:left w:type="dxa" w:w="120"/>
              <w:bottom w:type="dxa" w:w="80"/>
              <w:right w:type="dxa" w:w="120"/>
            </w:tcMar>
            <w:vAlign w:val="center"/>
          </w:tcPr>
          <w:p>
            <w:pPr>
              <w:pStyle w:val="MdTableCell"/>
            </w:pPr>
            <w:r>
              <w:t xml:space="preserve">“Finish your request; a team member will confirm availability.”</w:t>
            </w:r>
          </w:p>
        </w:tc>
        <w:tc>
          <w:tcPr>
            <w:tcBorders>
              <w:right w:val="none"/>
            </w:tcBorders>
            <w:tcMar>
              <w:top w:type="dxa" w:w="80"/>
              <w:left w:type="dxa" w:w="120"/>
              <w:bottom w:type="dxa" w:w="80"/>
              <w:right w:type="dxa" w:w="120"/>
            </w:tcMar>
            <w:vAlign w:val="center"/>
          </w:tcPr>
          <w:p>
            <w:pPr>
              <w:pStyle w:val="MdTableCell"/>
            </w:pPr>
            <w:r>
              <w:t xml:space="preserve">Submitted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started, no viewing</w:t>
            </w:r>
          </w:p>
        </w:tc>
        <w:tc>
          <w:tcPr>
            <w:tcMar>
              <w:top w:type="dxa" w:w="80"/>
              <w:left w:type="dxa" w:w="120"/>
              <w:bottom w:type="dxa" w:w="80"/>
              <w:right w:type="dxa" w:w="120"/>
            </w:tcMar>
            <w:vAlign w:val="center"/>
          </w:tcPr>
          <w:p>
            <w:pPr>
              <w:pStyle w:val="MdTableCell"/>
              <w:jc w:val="right"/>
            </w:pPr>
            <w:r>
              <w:t xml:space="preserve">1–14 days</w:t>
            </w:r>
          </w:p>
        </w:tc>
        <w:tc>
          <w:tcPr>
            <w:tcMar>
              <w:top w:type="dxa" w:w="80"/>
              <w:left w:type="dxa" w:w="120"/>
              <w:bottom w:type="dxa" w:w="80"/>
              <w:right w:type="dxa" w:w="120"/>
            </w:tcMar>
            <w:vAlign w:val="center"/>
          </w:tcPr>
          <w:p>
            <w:pPr>
              <w:pStyle w:val="MdTableCell"/>
            </w:pPr>
            <w:r>
              <w:t xml:space="preserve">“Choose a viewing time.”</w:t>
            </w:r>
          </w:p>
        </w:tc>
        <w:tc>
          <w:tcPr>
            <w:tcBorders>
              <w:right w:val="none"/>
            </w:tcBorders>
            <w:tcMar>
              <w:top w:type="dxa" w:w="80"/>
              <w:left w:type="dxa" w:w="120"/>
              <w:bottom w:type="dxa" w:w="80"/>
              <w:right w:type="dxa" w:w="120"/>
            </w:tcMar>
            <w:vAlign w:val="center"/>
          </w:tcPr>
          <w:p>
            <w:pPr>
              <w:pStyle w:val="MdTableCell"/>
            </w:pPr>
            <w:r>
              <w:t xml:space="preserve">Viewing completed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Video viewers 50%+</w:t>
            </w:r>
          </w:p>
        </w:tc>
        <w:tc>
          <w:tcPr>
            <w:tcMar>
              <w:top w:type="dxa" w:w="80"/>
              <w:left w:type="dxa" w:w="120"/>
              <w:bottom w:type="dxa" w:w="80"/>
              <w:right w:type="dxa" w:w="120"/>
            </w:tcMar>
            <w:vAlign w:val="center"/>
          </w:tcPr>
          <w:p>
            <w:pPr>
              <w:pStyle w:val="MdTableCell"/>
              <w:jc w:val="right"/>
            </w:pPr>
            <w:r>
              <w:t xml:space="preserve">1–30 days</w:t>
            </w:r>
          </w:p>
        </w:tc>
        <w:tc>
          <w:tcPr>
            <w:tcMar>
              <w:top w:type="dxa" w:w="80"/>
              <w:left w:type="dxa" w:w="120"/>
              <w:bottom w:type="dxa" w:w="80"/>
              <w:right w:type="dxa" w:w="120"/>
            </w:tcMar>
            <w:vAlign w:val="center"/>
          </w:tcPr>
          <w:p>
            <w:pPr>
              <w:pStyle w:val="MdTableCell"/>
            </w:pPr>
            <w:r>
              <w:t xml:space="preserve">“See the real location and request details.”</w:t>
            </w:r>
          </w:p>
        </w:tc>
        <w:tc>
          <w:tcPr>
            <w:tcBorders>
              <w:right w:val="none"/>
            </w:tcBorders>
            <w:tcMar>
              <w:top w:type="dxa" w:w="80"/>
              <w:left w:type="dxa" w:w="120"/>
              <w:bottom w:type="dxa" w:w="80"/>
              <w:right w:type="dxa" w:w="120"/>
            </w:tcMar>
            <w:vAlign w:val="center"/>
          </w:tcPr>
          <w:p>
            <w:pPr>
              <w:pStyle w:val="MdTableCell"/>
            </w:pPr>
            <w:r>
              <w:t xml:space="preserve">Lead / booking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Instagram/Facebook engagers</w:t>
            </w:r>
          </w:p>
        </w:tc>
        <w:tc>
          <w:tcPr>
            <w:tcMar>
              <w:top w:type="dxa" w:w="80"/>
              <w:left w:type="dxa" w:w="120"/>
              <w:bottom w:type="dxa" w:w="80"/>
              <w:right w:type="dxa" w:w="120"/>
            </w:tcMar>
            <w:vAlign w:val="center"/>
          </w:tcPr>
          <w:p>
            <w:pPr>
              <w:pStyle w:val="MdTableCell"/>
              <w:jc w:val="right"/>
            </w:pPr>
            <w:r>
              <w:t xml:space="preserve">1–30 days</w:t>
            </w:r>
          </w:p>
        </w:tc>
        <w:tc>
          <w:tcPr>
            <w:tcMar>
              <w:top w:type="dxa" w:w="80"/>
              <w:left w:type="dxa" w:w="120"/>
              <w:bottom w:type="dxa" w:w="80"/>
              <w:right w:type="dxa" w:w="120"/>
            </w:tcMar>
            <w:vAlign w:val="center"/>
          </w:tcPr>
          <w:p>
            <w:pPr>
              <w:pStyle w:val="MdTableCell"/>
            </w:pPr>
            <w:r>
              <w:t xml:space="preserve">Category-specific proof and FAQ</w:t>
            </w:r>
          </w:p>
        </w:tc>
        <w:tc>
          <w:tcPr>
            <w:tcBorders>
              <w:right w:val="none"/>
            </w:tcBorders>
            <w:tcMar>
              <w:top w:type="dxa" w:w="80"/>
              <w:left w:type="dxa" w:w="120"/>
              <w:bottom w:type="dxa" w:w="80"/>
              <w:right w:type="dxa" w:w="120"/>
            </w:tcMar>
            <w:vAlign w:val="center"/>
          </w:tcPr>
          <w:p>
            <w:pPr>
              <w:pStyle w:val="MdTableCell"/>
            </w:pPr>
            <w:r>
              <w:t xml:space="preserve">Lead / booking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Existing leads, no booking</w:t>
            </w:r>
          </w:p>
        </w:tc>
        <w:tc>
          <w:tcPr>
            <w:tcBorders>
              <w:bottom w:val="single" w:color="E1E4E8" w:sz="4"/>
            </w:tcBorders>
            <w:tcMar>
              <w:top w:type="dxa" w:w="80"/>
              <w:left w:type="dxa" w:w="120"/>
              <w:bottom w:type="dxa" w:w="80"/>
              <w:right w:type="dxa" w:w="120"/>
            </w:tcMar>
            <w:vAlign w:val="center"/>
          </w:tcPr>
          <w:p>
            <w:pPr>
              <w:pStyle w:val="MdTableCell"/>
              <w:jc w:val="right"/>
            </w:pPr>
            <w:r>
              <w:t xml:space="preserve">1–60 days</w:t>
            </w:r>
          </w:p>
        </w:tc>
        <w:tc>
          <w:tcPr>
            <w:tcBorders>
              <w:bottom w:val="single" w:color="E1E4E8" w:sz="4"/>
            </w:tcBorders>
            <w:tcMar>
              <w:top w:type="dxa" w:w="80"/>
              <w:left w:type="dxa" w:w="120"/>
              <w:bottom w:type="dxa" w:w="80"/>
              <w:right w:type="dxa" w:w="120"/>
            </w:tcMar>
            <w:vAlign w:val="center"/>
          </w:tcPr>
          <w:p>
            <w:pPr>
              <w:pStyle w:val="MdTableCell"/>
            </w:pPr>
            <w:r>
              <w:t xml:space="preserve">Objection handling, new viewing slot, confirmed stock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Booking / lost by request</w:t>
            </w:r>
          </w:p>
        </w:tc>
      </w:tr>
    </w:tbl>
    <w:p>
      <w:pPr>
        <w:pStyle w:val="Heading3"/>
        <w:pStyle w:val="MdHeading3"/>
      </w:pPr>
      <w:r>
        <w:t xml:space="preserve">Sequence</w:t>
      </w:r>
    </w:p>
    <w:p>
      <w:pPr>
        <w:pStyle w:val="MdParagraph"/>
      </w:pPr>
      <w:r>
        <w:t xml:space="preserve">Day 0–2: reminder of the exact category viewed.</w:t>
      </w:r>
      <w:r>
        <w:rPr>
          <w:rStyle w:val="MdBr"/>
        </w:rPr>
        <w:br/>
        <w:t xml:space="preserve"/>
      </w:r>
      <w:r>
        <w:t xml:space="preserve">Day 3–7: proof content showing real building, access and viewing process.</w:t>
      </w:r>
      <w:r>
        <w:rPr>
          <w:rStyle w:val="MdBr"/>
        </w:rPr>
        <w:br/>
        <w:t xml:space="preserve"/>
      </w:r>
      <w:r>
        <w:t xml:space="preserve">Day 8–14: FAQ addressing price, space, finishing, licensing and delivery without unverified promises.</w:t>
      </w:r>
      <w:r>
        <w:rPr>
          <w:rStyle w:val="MdBr"/>
        </w:rPr>
        <w:br/>
        <w:t xml:space="preserve"/>
      </w:r>
      <w:r>
        <w:t xml:space="preserve">Day 15–30: fresh unit category or viewing invitation.</w:t>
      </w:r>
      <w:r>
        <w:rPr>
          <w:rStyle w:val="MdBr"/>
        </w:rPr>
        <w:br/>
        <w:t xml:space="preserve"/>
      </w:r>
      <w:r>
        <w:t xml:space="preserve">Day 31–60: low-frequency reactivation only for consented, non-converted audiences.</w:t>
      </w:r>
    </w:p>
    <w:p>
      <w:pPr>
        <w:pStyle w:val="MdSpace"/>
        <w:spacing w:before="0" w:after="60"/>
      </w:pPr>
    </w:p>
    <w:p>
      <w:pPr>
        <w:pStyle w:val="MdParagraph"/>
      </w:pPr>
      <w:r>
        <w:t xml:space="preserve">Apply frequency caps and stop showing retargeting ads after a lead becomes qualified or books a viewing. Where available, combine Pixel with Conversions API and CRM/offline events for stronger measurement, but do not send unnecessary personal data.</w:t>
      </w:r>
    </w:p>
    <w:p>
      <w:pPr>
        <w:pStyle w:val="MdSpace"/>
        <w:spacing w:before="0" w:after="60"/>
      </w:pPr>
    </w:p>
    <w:p>
      <w:pPr>
        <w:pStyle w:val="Heading2"/>
        <w:pStyle w:val="MdHeading2"/>
      </w:pPr>
      <w:r>
        <w:t xml:space="preserve">5. Meta campaign summary for management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Campaign</w:t>
            </w:r>
          </w:p>
        </w:tc>
        <w:tc>
          <w:tcPr>
            <w:tcMar>
              <w:top w:type="dxa" w:w="100"/>
              <w:left w:type="dxa" w:w="120"/>
              <w:bottom w:type="dxa" w:w="100"/>
              <w:right w:type="dxa" w:w="120"/>
            </w:tcMar>
            <w:vAlign w:val="center"/>
          </w:tcPr>
          <w:p>
            <w:pPr>
              <w:pStyle w:val="MdTableHeader"/>
            </w:pPr>
            <w:r>
              <w:t xml:space="preserve">Objective</w:t>
            </w:r>
          </w:p>
        </w:tc>
        <w:tc>
          <w:tcPr>
            <w:tcMar>
              <w:top w:type="dxa" w:w="100"/>
              <w:left w:type="dxa" w:w="120"/>
              <w:bottom w:type="dxa" w:w="100"/>
              <w:right w:type="dxa" w:w="120"/>
            </w:tcMar>
            <w:vAlign w:val="center"/>
          </w:tcPr>
          <w:p>
            <w:pPr>
              <w:pStyle w:val="MdTableHeader"/>
            </w:pPr>
            <w:r>
              <w:t xml:space="preserve">Audience</w:t>
            </w:r>
          </w:p>
        </w:tc>
        <w:tc>
          <w:tcPr>
            <w:tcMar>
              <w:top w:type="dxa" w:w="100"/>
              <w:left w:type="dxa" w:w="120"/>
              <w:bottom w:type="dxa" w:w="100"/>
              <w:right w:type="dxa" w:w="120"/>
            </w:tcMar>
            <w:vAlign w:val="center"/>
          </w:tcPr>
          <w:p>
            <w:pPr>
              <w:pStyle w:val="MdTableHeader"/>
            </w:pPr>
            <w:r>
              <w:t xml:space="preserve">Creative</w:t>
            </w:r>
          </w:p>
        </w:tc>
        <w:tc>
          <w:tcPr>
            <w:tcBorders>
              <w:right w:val="none"/>
            </w:tcBorders>
            <w:tcMar>
              <w:top w:type="dxa" w:w="100"/>
              <w:left w:type="dxa" w:w="120"/>
              <w:bottom w:type="dxa" w:w="100"/>
              <w:right w:type="dxa" w:w="120"/>
            </w:tcMar>
            <w:vAlign w:val="center"/>
          </w:tcPr>
          <w:p>
            <w:pPr>
              <w:pStyle w:val="MdTableHeader"/>
            </w:pPr>
            <w:r>
              <w:t xml:space="preserve">KPI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Meta-Commercial</w:t>
            </w:r>
          </w:p>
        </w:tc>
        <w:tc>
          <w:tcPr>
            <w:tcMar>
              <w:top w:type="dxa" w:w="80"/>
              <w:left w:type="dxa" w:w="120"/>
              <w:bottom w:type="dxa" w:w="80"/>
              <w:right w:type="dxa" w:w="120"/>
            </w:tcMar>
            <w:vAlign w:val="center"/>
          </w:tcPr>
          <w:p>
            <w:pPr>
              <w:pStyle w:val="MdTableCell"/>
            </w:pPr>
            <w:r>
              <w:t xml:space="preserve">Leads</w:t>
            </w:r>
          </w:p>
        </w:tc>
        <w:tc>
          <w:tcPr>
            <w:tcMar>
              <w:top w:type="dxa" w:w="80"/>
              <w:left w:type="dxa" w:w="120"/>
              <w:bottom w:type="dxa" w:w="80"/>
              <w:right w:type="dxa" w:w="120"/>
            </w:tcMar>
            <w:vAlign w:val="center"/>
          </w:tcPr>
          <w:p>
            <w:pPr>
              <w:pStyle w:val="MdTableCell"/>
            </w:pPr>
            <w:r>
              <w:t xml:space="preserve">Retailers, pharmacies, restaurants, brands</w:t>
            </w:r>
          </w:p>
        </w:tc>
        <w:tc>
          <w:tcPr>
            <w:tcMar>
              <w:top w:type="dxa" w:w="80"/>
              <w:left w:type="dxa" w:w="120"/>
              <w:bottom w:type="dxa" w:w="80"/>
              <w:right w:type="dxa" w:w="120"/>
            </w:tcMar>
            <w:vAlign w:val="center"/>
          </w:tcPr>
          <w:p>
            <w:pPr>
              <w:pStyle w:val="MdTableCell"/>
            </w:pPr>
            <w:r>
              <w:t xml:space="preserve">Real frontage and unit footage</w:t>
            </w:r>
          </w:p>
        </w:tc>
        <w:tc>
          <w:tcPr>
            <w:tcBorders>
              <w:right w:val="none"/>
            </w:tcBorders>
            <w:tcMar>
              <w:top w:type="dxa" w:w="80"/>
              <w:left w:type="dxa" w:w="120"/>
              <w:bottom w:type="dxa" w:w="80"/>
              <w:right w:type="dxa" w:w="120"/>
            </w:tcMar>
            <w:vAlign w:val="center"/>
          </w:tcPr>
          <w:p>
            <w:pPr>
              <w:pStyle w:val="MdTableCell"/>
            </w:pPr>
            <w:r>
              <w:t xml:space="preserve">Qualified leads and viewings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Meta-Administrative</w:t>
            </w:r>
          </w:p>
        </w:tc>
        <w:tc>
          <w:tcPr>
            <w:tcMar>
              <w:top w:type="dxa" w:w="80"/>
              <w:left w:type="dxa" w:w="120"/>
              <w:bottom w:type="dxa" w:w="80"/>
              <w:right w:type="dxa" w:w="120"/>
            </w:tcMar>
            <w:vAlign w:val="center"/>
          </w:tcPr>
          <w:p>
            <w:pPr>
              <w:pStyle w:val="MdTableCell"/>
            </w:pPr>
            <w:r>
              <w:t xml:space="preserve">Leads</w:t>
            </w:r>
          </w:p>
        </w:tc>
        <w:tc>
          <w:tcPr>
            <w:tcMar>
              <w:top w:type="dxa" w:w="80"/>
              <w:left w:type="dxa" w:w="120"/>
              <w:bottom w:type="dxa" w:w="80"/>
              <w:right w:type="dxa" w:w="120"/>
            </w:tcMar>
            <w:vAlign w:val="center"/>
          </w:tcPr>
          <w:p>
            <w:pPr>
              <w:pStyle w:val="MdTableCell"/>
            </w:pPr>
            <w:r>
              <w:t xml:space="preserve">Companies, offices, doctors, clinics</w:t>
            </w:r>
          </w:p>
        </w:tc>
        <w:tc>
          <w:tcPr>
            <w:tcMar>
              <w:top w:type="dxa" w:w="80"/>
              <w:left w:type="dxa" w:w="120"/>
              <w:bottom w:type="dxa" w:w="80"/>
              <w:right w:type="dxa" w:w="120"/>
            </w:tcMar>
            <w:vAlign w:val="center"/>
          </w:tcPr>
          <w:p>
            <w:pPr>
              <w:pStyle w:val="MdTableCell"/>
            </w:pPr>
            <w:r>
              <w:t xml:space="preserve">Real building/unit images</w:t>
            </w:r>
          </w:p>
        </w:tc>
        <w:tc>
          <w:tcPr>
            <w:tcBorders>
              <w:right w:val="none"/>
            </w:tcBorders>
            <w:tcMar>
              <w:top w:type="dxa" w:w="80"/>
              <w:left w:type="dxa" w:w="120"/>
              <w:bottom w:type="dxa" w:w="80"/>
              <w:right w:type="dxa" w:w="120"/>
            </w:tcMar>
            <w:vAlign w:val="center"/>
          </w:tcPr>
          <w:p>
            <w:pPr>
              <w:pStyle w:val="MdTableCell"/>
            </w:pPr>
            <w:r>
              <w:t xml:space="preserve">Qualified leads and bookings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Meta-Retargeting</w:t>
            </w:r>
          </w:p>
        </w:tc>
        <w:tc>
          <w:tcPr>
            <w:tcMar>
              <w:top w:type="dxa" w:w="80"/>
              <w:left w:type="dxa" w:w="120"/>
              <w:bottom w:type="dxa" w:w="80"/>
              <w:right w:type="dxa" w:w="120"/>
            </w:tcMar>
            <w:vAlign w:val="center"/>
          </w:tcPr>
          <w:p>
            <w:pPr>
              <w:pStyle w:val="MdTableCell"/>
            </w:pPr>
            <w:r>
              <w:t xml:space="preserve">Leads/messages</w:t>
            </w:r>
          </w:p>
        </w:tc>
        <w:tc>
          <w:tcPr>
            <w:tcMar>
              <w:top w:type="dxa" w:w="80"/>
              <w:left w:type="dxa" w:w="120"/>
              <w:bottom w:type="dxa" w:w="80"/>
              <w:right w:type="dxa" w:w="120"/>
            </w:tcMar>
            <w:vAlign w:val="center"/>
          </w:tcPr>
          <w:p>
            <w:pPr>
              <w:pStyle w:val="MdTableCell"/>
            </w:pPr>
            <w:r>
              <w:t xml:space="preserve">Visitors, engagers, form openers</w:t>
            </w:r>
          </w:p>
        </w:tc>
        <w:tc>
          <w:tcPr>
            <w:tcMar>
              <w:top w:type="dxa" w:w="80"/>
              <w:left w:type="dxa" w:w="120"/>
              <w:bottom w:type="dxa" w:w="80"/>
              <w:right w:type="dxa" w:w="120"/>
            </w:tcMar>
            <w:vAlign w:val="center"/>
          </w:tcPr>
          <w:p>
            <w:pPr>
              <w:pStyle w:val="MdTableCell"/>
            </w:pPr>
            <w:r>
              <w:t xml:space="preserve">FAQs, viewing reminder, confirmed list</w:t>
            </w:r>
          </w:p>
        </w:tc>
        <w:tc>
          <w:tcPr>
            <w:tcBorders>
              <w:right w:val="none"/>
            </w:tcBorders>
            <w:tcMar>
              <w:top w:type="dxa" w:w="80"/>
              <w:left w:type="dxa" w:w="120"/>
              <w:bottom w:type="dxa" w:w="80"/>
              <w:right w:type="dxa" w:w="120"/>
            </w:tcMar>
            <w:vAlign w:val="center"/>
          </w:tcPr>
          <w:p>
            <w:pPr>
              <w:pStyle w:val="MdTableCell"/>
            </w:pPr>
            <w:r>
              <w:t xml:space="preserve">Lead-to-viewing rate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Meta-Brokers</w:t>
            </w:r>
          </w:p>
        </w:tc>
        <w:tc>
          <w:tcPr>
            <w:tcBorders>
              <w:bottom w:val="single" w:color="E1E4E8" w:sz="4"/>
            </w:tcBorders>
            <w:tcMar>
              <w:top w:type="dxa" w:w="80"/>
              <w:left w:type="dxa" w:w="120"/>
              <w:bottom w:type="dxa" w:w="80"/>
              <w:right w:type="dxa" w:w="120"/>
            </w:tcMar>
            <w:vAlign w:val="center"/>
          </w:tcPr>
          <w:p>
            <w:pPr>
              <w:pStyle w:val="MdTableCell"/>
            </w:pPr>
            <w:r>
              <w:t xml:space="preserve">Leads/messages</w:t>
            </w:r>
          </w:p>
        </w:tc>
        <w:tc>
          <w:tcPr>
            <w:tcBorders>
              <w:bottom w:val="single" w:color="E1E4E8" w:sz="4"/>
            </w:tcBorders>
            <w:tcMar>
              <w:top w:type="dxa" w:w="80"/>
              <w:left w:type="dxa" w:w="120"/>
              <w:bottom w:type="dxa" w:w="80"/>
              <w:right w:type="dxa" w:w="120"/>
            </w:tcMar>
            <w:vAlign w:val="center"/>
          </w:tcPr>
          <w:p>
            <w:pPr>
              <w:pStyle w:val="MdTableCell"/>
            </w:pPr>
            <w:r>
              <w:t xml:space="preserve">Active brokers and agencies</w:t>
            </w:r>
          </w:p>
        </w:tc>
        <w:tc>
          <w:tcPr>
            <w:tcBorders>
              <w:bottom w:val="single" w:color="E1E4E8" w:sz="4"/>
            </w:tcBorders>
            <w:tcMar>
              <w:top w:type="dxa" w:w="80"/>
              <w:left w:type="dxa" w:w="120"/>
              <w:bottom w:type="dxa" w:w="80"/>
              <w:right w:type="dxa" w:w="120"/>
            </w:tcMar>
            <w:vAlign w:val="center"/>
          </w:tcPr>
          <w:p>
            <w:pPr>
              <w:pStyle w:val="MdTableCell"/>
            </w:pPr>
            <w:r>
              <w:t xml:space="preserve">Inventory and commission policy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Registered brokers and bookings</w:t>
            </w:r>
          </w:p>
        </w:tc>
      </w:tr>
    </w:tbl>
    <w:p>
      <w:pPr>
        <w:pStyle w:val="Heading2"/>
        <w:pStyle w:val="MdHeading2"/>
      </w:pPr>
      <w:r>
        <w:t xml:space="preserve">6. Budget control</w:t>
      </w:r>
    </w:p>
    <w:p>
      <w:pPr>
        <w:pStyle w:val="MdParagraph"/>
      </w:pPr>
      <w:r>
        <w:t xml:space="preserve">Leave monthly cash values blank for senior-management approval. Use a percentage framework only if approved: Meta 40%, Google 30%, Outdoor 30% of the approved media budget. Review after the first reporting period and shift spend based on qualified lead, viewing, approved booking and collected-payment quality.</w:t>
      </w:r>
    </w:p>
    <w:p>
      <w:pPr>
        <w:pStyle w:val="MdSpace"/>
        <w:spacing w:before="0" w:after="60"/>
      </w:pPr>
    </w:p>
    <w:p>
      <w:pPr>
        <w:pStyle w:val="Heading2"/>
        <w:pStyle w:val="MdHeading2"/>
      </w:pPr>
      <w:r>
        <w:t xml:space="preserve">7. CRM and reporting</w:t>
      </w:r>
    </w:p>
    <w:p>
      <w:pPr>
        <w:pStyle w:val="MdParagraph"/>
      </w:pPr>
      <w:r>
        <w:t xml:space="preserve">Every lead needs a source, campaign, ad, phone, activity, area, intent, assigned employee, next action and date. Weekly reporting must include leads, qualified leads, viewings, offers, approved bookings, value, collected amount, outstanding amount, channel, broker source, and H6 progress.</w:t>
      </w:r>
    </w:p>
    <w:p>
      <w:pPr>
        <w:pStyle w:val="MdSpace"/>
        <w:spacing w:before="0" w:after="60"/>
      </w:pPr>
    </w:p>
    <w:p>
      <w:pPr>
        <w:pStyle w:val="MdParagraph"/>
      </w:pPr>
      <w:r>
        <w:t xml:space="preserve">The development and sales lead may view sold units, contracts, bookings, collected amounts, outstanding amounts, counts and dates under approved access rights. Finance remains responsible for financial entry and reconciliation; no marketing user may alter or delete financial records.</w:t>
      </w:r>
    </w:p>
    <w:p>
      <w:pPr>
        <w:pStyle w:val="MdSpace"/>
        <w:spacing w:before="0" w:after="60"/>
      </w:pPr>
    </w:p>
    <w:p>
      <w:pPr>
        <w:pStyle w:val="Heading2"/>
        <w:pStyle w:val="MdHeading2"/>
      </w:pPr>
      <w:r>
        <w:t xml:space="preserve">8. Launch checklist</w:t>
      </w:r>
    </w:p>
    <w:p>
      <w:pPr>
        <w:pStyle w:val="MdParagraph"/>
      </w:pPr>
      <w:r>
        <w:t xml:space="preserve">Confirm unit inventory, prices, finishing, licensing, delivery wording, phone and WhatsApp routing, landing pages, Pixel, events, CRM fields, offline conversion process, ad copy, images, budget, account access and approval owner. Test every form and call path before launch. No campaign is published without explicit approval.</w:t>
      </w:r>
    </w:p>
    <w:p>
      <w:pPr>
        <w:pStyle w:val="MdSpace"/>
        <w:spacing w:before="0" w:after="60"/>
      </w:pPr>
    </w:p>
    <w:p>
      <w:pPr>
        <w:pStyle w:val="Heading2"/>
        <w:pStyle w:val="MdHeading2"/>
      </w:pPr>
      <w:r>
        <w:t xml:space="preserve">References</w:t>
      </w:r>
    </w:p>
    <w:p>
      <w:pPr>
        <w:pStyle w:val="Heading1"/>
        <w:pStyle w:val="MdHeading1"/>
      </w:pPr>
      <w:r>
        <w:t xml:space="preserve">مصدر مدمج: cairo_plaza_keywords_budget_board_script.md</w:t>
      </w:r>
    </w:p>
    <w:p>
      <w:pPr>
        <w:pStyle w:val="Heading1"/>
        <w:pStyle w:val="MdHeading1"/>
      </w:pPr>
      <w:r>
        <w:t xml:space="preserve">خطة الكلمات المفتاحية والميزانية وسيناريو العرض الرقمي</w:t>
      </w:r>
    </w:p>
    <w:p>
      <w:pPr>
        <w:pStyle w:val="Heading2"/>
        <w:pStyle w:val="MdHeading2"/>
      </w:pPr>
      <w:r>
        <w:t xml:space="preserve">مشروع كايرو بلازا — المطرية</w:t>
      </w:r>
    </w:p>
    <w:p>
      <w:pPr>
        <w:pStyle w:val="MdParagraph"/>
      </w:pPr>
      <w:r>
        <w:rPr>
          <w:rStyle w:val="MdStrong"/>
          <w:b/>
          <w:bCs/>
        </w:rPr>
        <w:t xml:space="preserve">الحالة:</w:t>
      </w:r>
      <w:r>
        <w:t xml:space="preserve"> مسودة للاعتماد الإداري. لا يتم تشغيل حملة أو صرف ميزانية قبل موافقة الإدارة وتأكيد الوحدات والأسعار والصفحات.</w:t>
      </w:r>
    </w:p>
    <w:p>
      <w:pPr>
        <w:pStyle w:val="MdSpace"/>
        <w:spacing w:before="0" w:after="60"/>
      </w:pPr>
    </w:p>
    <w:p>
      <w:pPr>
        <w:pStyle w:val="MdBlockquote"/>
      </w:pPr>
      <w:r>
        <w:rPr>
          <w:rStyle w:val="MdStrong"/>
          <w:b/>
          <w:bCs/>
        </w:rPr>
        <w:t xml:space="preserve">ملاحظة:</w:t>
      </w:r>
      <w:r>
        <w:t xml:space="preserve"> الكلمات التالية قائمة بداية للاختبار وليست توقعًا لحجم البحث أو تكلفة النقرة. يجب مراجعتها في Keyword Planner ثم تحسينها من تقرير Search Terms. توضح Google أن أنواع المطابقة تتحكم في مدى قرب كلمة البحث من استعلام المستخدم، وأن الكلمات السلبية تستبعد الاستعلامات غير المناسبة.</w:t>
      </w:r>
      <w:hyperlink w:history="1" r:id="rIdysovdayfj9uky7ipoy5tt">
        <w:r>
          <w:rPr>
            <w:rStyle w:val="MdLink"/>
          </w:rPr>
          <w:t xml:space="preserve">1</w:t>
        </w:r>
      </w:hyperlink>
      <w:r>
        <w:t xml:space="preserve"> </w:t>
      </w:r>
      <w:hyperlink w:history="1" r:id="rIdmukbogdo_czmwideh7syv">
        <w:r>
          <w:rPr>
            <w:rStyle w:val="MdLink"/>
          </w:rPr>
          <w:t xml:space="preserve">2</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أولًا: هيكل الكلمات المفتاحية في Google Search</w:t>
      </w:r>
    </w:p>
    <w:p>
      <w:pPr>
        <w:pStyle w:val="Heading2"/>
        <w:pStyle w:val="MdHeading2"/>
      </w:pPr>
      <w:r>
        <w:t xml:space="preserve">1. الحملة التجارية</w:t>
      </w:r>
    </w:p>
    <w:p>
      <w:pPr>
        <w:pStyle w:val="Heading3"/>
        <w:pStyle w:val="MdHeading3"/>
      </w:pPr>
      <w:r>
        <w:t xml:space="preserve">مجموعة: محلات للبيع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الكلمات المقترحة بالعربية</w:t>
            </w:r>
          </w:p>
        </w:tc>
        <w:tc>
          <w:tcPr>
            <w:tcBorders>
              <w:right w:val="none"/>
            </w:tcBorders>
            <w:tcMar>
              <w:top w:type="dxa" w:w="100"/>
              <w:left w:type="dxa" w:w="120"/>
              <w:bottom w:type="dxa" w:w="100"/>
              <w:right w:type="dxa" w:w="120"/>
            </w:tcMar>
            <w:vAlign w:val="center"/>
          </w:tcPr>
          <w:p>
            <w:pPr>
              <w:pStyle w:val="MdTableHeader"/>
            </w:pPr>
            <w:r>
              <w:t xml:space="preserve">English variants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للبيع في المطرية</w:t>
            </w:r>
          </w:p>
        </w:tc>
        <w:tc>
          <w:tcPr>
            <w:tcBorders>
              <w:right w:val="none"/>
            </w:tcBorders>
            <w:tcMar>
              <w:top w:type="dxa" w:w="80"/>
              <w:left w:type="dxa" w:w="120"/>
              <w:bottom w:type="dxa" w:w="80"/>
              <w:right w:type="dxa" w:w="120"/>
            </w:tcMar>
            <w:vAlign w:val="center"/>
          </w:tcPr>
          <w:p>
            <w:pPr>
              <w:pStyle w:val="MdTableCell"/>
            </w:pPr>
            <w:r>
              <w:t xml:space="preserve">shop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محلات للبيع المطرية</w:t>
            </w:r>
          </w:p>
        </w:tc>
        <w:tc>
          <w:tcPr>
            <w:tcBorders>
              <w:right w:val="none"/>
            </w:tcBorders>
            <w:tcMar>
              <w:top w:type="dxa" w:w="80"/>
              <w:left w:type="dxa" w:w="120"/>
              <w:bottom w:type="dxa" w:w="80"/>
              <w:right w:type="dxa" w:w="120"/>
            </w:tcMar>
            <w:vAlign w:val="center"/>
          </w:tcPr>
          <w:p>
            <w:pPr>
              <w:pStyle w:val="MdTableCell"/>
            </w:pPr>
            <w:r>
              <w:t xml:space="preserve">retail shop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تجاري للبيع المطرية</w:t>
            </w:r>
          </w:p>
        </w:tc>
        <w:tc>
          <w:tcPr>
            <w:tcBorders>
              <w:right w:val="none"/>
            </w:tcBorders>
            <w:tcMar>
              <w:top w:type="dxa" w:w="80"/>
              <w:left w:type="dxa" w:w="120"/>
              <w:bottom w:type="dxa" w:w="80"/>
              <w:right w:type="dxa" w:w="120"/>
            </w:tcMar>
            <w:vAlign w:val="center"/>
          </w:tcPr>
          <w:p>
            <w:pPr>
              <w:pStyle w:val="MdTableCell"/>
            </w:pPr>
            <w:r>
              <w:t xml:space="preserve">commercial shop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للبيع القاهرة المطرية</w:t>
            </w:r>
          </w:p>
        </w:tc>
        <w:tc>
          <w:tcPr>
            <w:tcBorders>
              <w:right w:val="none"/>
            </w:tcBorders>
            <w:tcMar>
              <w:top w:type="dxa" w:w="80"/>
              <w:left w:type="dxa" w:w="120"/>
              <w:bottom w:type="dxa" w:w="80"/>
              <w:right w:type="dxa" w:w="120"/>
            </w:tcMar>
            <w:vAlign w:val="center"/>
          </w:tcPr>
          <w:p>
            <w:pPr>
              <w:pStyle w:val="MdTableCell"/>
            </w:pPr>
            <w:r>
              <w:t xml:space="preserve">shop for sale Cairo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للبيع بجوار المترو المطرية</w:t>
            </w:r>
          </w:p>
        </w:tc>
        <w:tc>
          <w:tcPr>
            <w:tcBorders>
              <w:right w:val="none"/>
            </w:tcBorders>
            <w:tcMar>
              <w:top w:type="dxa" w:w="80"/>
              <w:left w:type="dxa" w:w="120"/>
              <w:bottom w:type="dxa" w:w="80"/>
              <w:right w:type="dxa" w:w="120"/>
            </w:tcMar>
            <w:vAlign w:val="center"/>
          </w:tcPr>
          <w:p>
            <w:pPr>
              <w:pStyle w:val="MdTableCell"/>
            </w:pPr>
            <w:r>
              <w:t xml:space="preserve">shop near Matariya metro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على شارع رئيسي المطرية</w:t>
            </w:r>
          </w:p>
        </w:tc>
        <w:tc>
          <w:tcPr>
            <w:tcBorders>
              <w:right w:val="none"/>
            </w:tcBorders>
            <w:tcMar>
              <w:top w:type="dxa" w:w="80"/>
              <w:left w:type="dxa" w:w="120"/>
              <w:bottom w:type="dxa" w:w="80"/>
              <w:right w:type="dxa" w:w="120"/>
            </w:tcMar>
            <w:vAlign w:val="center"/>
          </w:tcPr>
          <w:p>
            <w:pPr>
              <w:pStyle w:val="MdTableCell"/>
            </w:pPr>
            <w:r>
              <w:t xml:space="preserve">shop on main street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دور أرضي للبيع المطرية</w:t>
            </w:r>
          </w:p>
        </w:tc>
        <w:tc>
          <w:tcPr>
            <w:tcBorders>
              <w:right w:val="none"/>
            </w:tcBorders>
            <w:tcMar>
              <w:top w:type="dxa" w:w="80"/>
              <w:left w:type="dxa" w:w="120"/>
              <w:bottom w:type="dxa" w:w="80"/>
              <w:right w:type="dxa" w:w="120"/>
            </w:tcMar>
            <w:vAlign w:val="center"/>
          </w:tcPr>
          <w:p>
            <w:pPr>
              <w:pStyle w:val="MdTableCell"/>
            </w:pPr>
            <w:r>
              <w:t xml:space="preserve">ground floor shop Matariya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محل واجهة للبيع المطرية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frontage shop for sale Matariya</w:t>
            </w:r>
          </w:p>
        </w:tc>
      </w:tr>
    </w:tbl>
    <w:p>
      <w:pPr>
        <w:pStyle w:val="Heading3"/>
        <w:pStyle w:val="MdHeading3"/>
      </w:pPr>
      <w:r>
        <w:t xml:space="preserve">مجموعة: براندات وتوسع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الكلمات المقترحة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مكان لفرع جديد في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محل لبراند في القاهرة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توسعة نشاط تجاري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موقع تجاري لفرع جديد</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محل ملابس للبيع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محل صيدلية للبيع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محل مطعم للبيع المطرية</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مساحة تجارية للبراندات</w:t>
            </w:r>
          </w:p>
        </w:tc>
      </w:tr>
    </w:tbl>
    <w:p>
      <w:pPr>
        <w:pStyle w:val="Heading3"/>
        <w:pStyle w:val="MdHeading3"/>
      </w:pPr>
      <w:r>
        <w:t xml:space="preserve">مجموعة: التجاري حسب النشاط</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النشاط</w:t>
            </w:r>
          </w:p>
        </w:tc>
        <w:tc>
          <w:tcPr>
            <w:tcBorders>
              <w:right w:val="none"/>
            </w:tcBorders>
            <w:tcMar>
              <w:top w:type="dxa" w:w="100"/>
              <w:left w:type="dxa" w:w="120"/>
              <w:bottom w:type="dxa" w:w="100"/>
              <w:right w:type="dxa" w:w="120"/>
            </w:tcMar>
            <w:vAlign w:val="center"/>
          </w:tcPr>
          <w:p>
            <w:pPr>
              <w:pStyle w:val="MdTableHeader"/>
            </w:pPr>
            <w:r>
              <w:t xml:space="preserve">كلمات مقترحة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صيدلية</w:t>
            </w:r>
          </w:p>
        </w:tc>
        <w:tc>
          <w:tcPr>
            <w:tcBorders>
              <w:right w:val="none"/>
            </w:tcBorders>
            <w:tcMar>
              <w:top w:type="dxa" w:w="80"/>
              <w:left w:type="dxa" w:w="120"/>
              <w:bottom w:type="dxa" w:w="80"/>
              <w:right w:type="dxa" w:w="120"/>
            </w:tcMar>
            <w:vAlign w:val="center"/>
          </w:tcPr>
          <w:p>
            <w:pPr>
              <w:pStyle w:val="MdTableCell"/>
            </w:pPr>
            <w:r>
              <w:t xml:space="preserve">محل صيدلية للبيع المطرية، موقع صيدلية بجوار المترو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مطاعم وأغذية</w:t>
            </w:r>
          </w:p>
        </w:tc>
        <w:tc>
          <w:tcPr>
            <w:tcBorders>
              <w:right w:val="none"/>
            </w:tcBorders>
            <w:tcMar>
              <w:top w:type="dxa" w:w="80"/>
              <w:left w:type="dxa" w:w="120"/>
              <w:bottom w:type="dxa" w:w="80"/>
              <w:right w:type="dxa" w:w="120"/>
            </w:tcMar>
            <w:vAlign w:val="center"/>
          </w:tcPr>
          <w:p>
            <w:pPr>
              <w:pStyle w:val="MdTableCell"/>
            </w:pPr>
            <w:r>
              <w:t xml:space="preserve">محل مطعم للبيع المطرية، محل أكل شارع رئيسي المطرية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ملابس</w:t>
            </w:r>
          </w:p>
        </w:tc>
        <w:tc>
          <w:tcPr>
            <w:tcBorders>
              <w:right w:val="none"/>
            </w:tcBorders>
            <w:tcMar>
              <w:top w:type="dxa" w:w="80"/>
              <w:left w:type="dxa" w:w="120"/>
              <w:bottom w:type="dxa" w:w="80"/>
              <w:right w:type="dxa" w:w="120"/>
            </w:tcMar>
            <w:vAlign w:val="center"/>
          </w:tcPr>
          <w:p>
            <w:pPr>
              <w:pStyle w:val="MdTableCell"/>
            </w:pPr>
            <w:r>
              <w:t xml:space="preserve">محل ملابس للبيع المطرية، محل تجاري للملابس</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خدمات</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محل خدمات للبيع المطرية، مساحة تجارية لنشاط خدمي</w:t>
            </w:r>
          </w:p>
        </w:tc>
      </w:tr>
    </w:tbl>
    <w:p>
      <w:pPr>
        <w:pStyle w:val="MdParagraph"/>
      </w:pPr>
      <w:r>
        <w:rPr>
          <w:rStyle w:val="MdStrong"/>
          <w:b/>
          <w:bCs/>
        </w:rPr>
        <w:t xml:space="preserve">CTA المقترح:</w:t>
      </w:r>
      <w:r>
        <w:t xml:space="preserve"> «اطلب كشف الوحدات التجارية المؤكد» أو «احجز معاينة».</w:t>
      </w:r>
    </w:p>
    <w:p>
      <w:pPr>
        <w:pStyle w:val="MdSpace"/>
        <w:spacing w:before="0" w:after="60"/>
      </w:pPr>
    </w:p>
    <w:p>
      <w:pPr>
        <w:pStyle w:val="Heading2"/>
        <w:pStyle w:val="MdHeading2"/>
      </w:pPr>
      <w:r>
        <w:t xml:space="preserve">2. الحملة الإدارية</w:t>
      </w:r>
    </w:p>
    <w:p>
      <w:pPr>
        <w:pStyle w:val="Heading3"/>
        <w:pStyle w:val="MdHeading3"/>
      </w:pPr>
      <w:r>
        <w:t xml:space="preserve">مجموعة: مكاتب إدارية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الكلمات المقترحة بالعربية</w:t>
            </w:r>
          </w:p>
        </w:tc>
        <w:tc>
          <w:tcPr>
            <w:tcBorders>
              <w:right w:val="none"/>
            </w:tcBorders>
            <w:tcMar>
              <w:top w:type="dxa" w:w="100"/>
              <w:left w:type="dxa" w:w="120"/>
              <w:bottom w:type="dxa" w:w="100"/>
              <w:right w:type="dxa" w:w="120"/>
            </w:tcMar>
            <w:vAlign w:val="center"/>
          </w:tcPr>
          <w:p>
            <w:pPr>
              <w:pStyle w:val="MdTableHeader"/>
            </w:pPr>
            <w:r>
              <w:t xml:space="preserve">English variants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مكتب إداري للبيع المطرية</w:t>
            </w:r>
          </w:p>
        </w:tc>
        <w:tc>
          <w:tcPr>
            <w:tcBorders>
              <w:right w:val="none"/>
            </w:tcBorders>
            <w:tcMar>
              <w:top w:type="dxa" w:w="80"/>
              <w:left w:type="dxa" w:w="120"/>
              <w:bottom w:type="dxa" w:w="80"/>
              <w:right w:type="dxa" w:w="120"/>
            </w:tcMar>
            <w:vAlign w:val="center"/>
          </w:tcPr>
          <w:p>
            <w:pPr>
              <w:pStyle w:val="MdTableCell"/>
            </w:pPr>
            <w:r>
              <w:t xml:space="preserve">office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مكاتب إدارية في المطرية</w:t>
            </w:r>
          </w:p>
        </w:tc>
        <w:tc>
          <w:tcPr>
            <w:tcBorders>
              <w:right w:val="none"/>
            </w:tcBorders>
            <w:tcMar>
              <w:top w:type="dxa" w:w="80"/>
              <w:left w:type="dxa" w:w="120"/>
              <w:bottom w:type="dxa" w:w="80"/>
              <w:right w:type="dxa" w:w="120"/>
            </w:tcMar>
            <w:vAlign w:val="center"/>
          </w:tcPr>
          <w:p>
            <w:pPr>
              <w:pStyle w:val="MdTableCell"/>
            </w:pPr>
            <w:r>
              <w:t xml:space="preserve">administrative office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مقر شركة للبيع المطرية</w:t>
            </w:r>
          </w:p>
        </w:tc>
        <w:tc>
          <w:tcPr>
            <w:tcBorders>
              <w:right w:val="none"/>
            </w:tcBorders>
            <w:tcMar>
              <w:top w:type="dxa" w:w="80"/>
              <w:left w:type="dxa" w:w="120"/>
              <w:bottom w:type="dxa" w:w="80"/>
              <w:right w:type="dxa" w:w="120"/>
            </w:tcMar>
            <w:vAlign w:val="center"/>
          </w:tcPr>
          <w:p>
            <w:pPr>
              <w:pStyle w:val="MdTableCell"/>
            </w:pPr>
            <w:r>
              <w:t xml:space="preserve">company office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مكتب مهني للبيع المطرية</w:t>
            </w:r>
          </w:p>
        </w:tc>
        <w:tc>
          <w:tcPr>
            <w:tcBorders>
              <w:right w:val="none"/>
            </w:tcBorders>
            <w:tcMar>
              <w:top w:type="dxa" w:w="80"/>
              <w:left w:type="dxa" w:w="120"/>
              <w:bottom w:type="dxa" w:w="80"/>
              <w:right w:type="dxa" w:w="120"/>
            </w:tcMar>
            <w:vAlign w:val="center"/>
          </w:tcPr>
          <w:p>
            <w:pPr>
              <w:pStyle w:val="MdTableCell"/>
            </w:pPr>
            <w:r>
              <w:t xml:space="preserve">professional office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مقر إداري بجوار المترو</w:t>
            </w:r>
          </w:p>
        </w:tc>
        <w:tc>
          <w:tcPr>
            <w:tcBorders>
              <w:right w:val="none"/>
            </w:tcBorders>
            <w:tcMar>
              <w:top w:type="dxa" w:w="80"/>
              <w:left w:type="dxa" w:w="120"/>
              <w:bottom w:type="dxa" w:w="80"/>
              <w:right w:type="dxa" w:w="120"/>
            </w:tcMar>
            <w:vAlign w:val="center"/>
          </w:tcPr>
          <w:p>
            <w:pPr>
              <w:pStyle w:val="MdTableCell"/>
            </w:pPr>
            <w:r>
              <w:t xml:space="preserve">office near Matariya metro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مكتب تجاري إداري المطرية</w:t>
            </w:r>
          </w:p>
        </w:tc>
        <w:tc>
          <w:tcPr>
            <w:tcBorders>
              <w:right w:val="none"/>
            </w:tcBorders>
            <w:tcMar>
              <w:top w:type="dxa" w:w="80"/>
              <w:left w:type="dxa" w:w="120"/>
              <w:bottom w:type="dxa" w:w="80"/>
              <w:right w:type="dxa" w:w="120"/>
            </w:tcMar>
            <w:vAlign w:val="center"/>
          </w:tcPr>
          <w:p>
            <w:pPr>
              <w:pStyle w:val="MdTableCell"/>
            </w:pPr>
            <w:r>
              <w:t xml:space="preserve">commercial office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مساحة مكتبية للبيع القاهرة</w:t>
            </w:r>
          </w:p>
        </w:tc>
        <w:tc>
          <w:tcPr>
            <w:tcBorders>
              <w:right w:val="none"/>
            </w:tcBorders>
            <w:tcMar>
              <w:top w:type="dxa" w:w="80"/>
              <w:left w:type="dxa" w:w="120"/>
              <w:bottom w:type="dxa" w:w="80"/>
              <w:right w:type="dxa" w:w="120"/>
            </w:tcMar>
            <w:vAlign w:val="center"/>
          </w:tcPr>
          <w:p>
            <w:pPr>
              <w:pStyle w:val="MdTableCell"/>
            </w:pPr>
            <w:r>
              <w:t xml:space="preserve">office space for sale Cairo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مكتب إداري شارع رئيسي المطرية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office on main street Matariya</w:t>
            </w:r>
          </w:p>
        </w:tc>
      </w:tr>
    </w:tbl>
    <w:p>
      <w:pPr>
        <w:pStyle w:val="Heading3"/>
        <w:pStyle w:val="MdHeading3"/>
      </w:pPr>
      <w:r>
        <w:t xml:space="preserve">مجموعة: الشركات والمهن</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الكلمات المقترحة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مقر شركة صغيرة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مكتب محامي للبيع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مكتب محاسب للبيع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مكتب استشارات للبيع القاهرة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مقر إداري للشركات الصغيرة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مكتب مجهز للبيع المطرية</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مكتب تشطيب جيد المطرية</w:t>
            </w:r>
          </w:p>
        </w:tc>
      </w:tr>
    </w:tbl>
    <w:p>
      <w:pPr>
        <w:pStyle w:val="MdParagraph"/>
      </w:pPr>
      <w:r>
        <w:rPr>
          <w:rStyle w:val="MdStrong"/>
          <w:b/>
          <w:bCs/>
        </w:rPr>
        <w:t xml:space="preserve">CTA المقترح:</w:t>
      </w:r>
      <w:r>
        <w:t xml:space="preserve"> «احصل على كشف المكاتب المؤكد» أو «احجز معاينة».</w:t>
      </w:r>
    </w:p>
    <w:p>
      <w:pPr>
        <w:pStyle w:val="MdSpace"/>
        <w:spacing w:before="0" w:after="60"/>
      </w:pPr>
    </w:p>
    <w:p>
      <w:pPr>
        <w:pStyle w:val="Heading2"/>
        <w:pStyle w:val="MdHeading2"/>
      </w:pPr>
      <w:r>
        <w:t xml:space="preserve">3. الحملة الطبية</w:t>
      </w:r>
    </w:p>
    <w:p>
      <w:pPr>
        <w:pStyle w:val="Heading3"/>
        <w:pStyle w:val="MdHeading3"/>
      </w:pPr>
      <w:r>
        <w:t xml:space="preserve">مجموعة: عيادات ومراكز</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الكلمات المقترحة بالعربية</w:t>
            </w:r>
          </w:p>
        </w:tc>
        <w:tc>
          <w:tcPr>
            <w:tcBorders>
              <w:right w:val="none"/>
            </w:tcBorders>
            <w:tcMar>
              <w:top w:type="dxa" w:w="100"/>
              <w:left w:type="dxa" w:w="120"/>
              <w:bottom w:type="dxa" w:w="100"/>
              <w:right w:type="dxa" w:w="120"/>
            </w:tcMar>
            <w:vAlign w:val="center"/>
          </w:tcPr>
          <w:p>
            <w:pPr>
              <w:pStyle w:val="MdTableHeader"/>
            </w:pPr>
            <w:r>
              <w:t xml:space="preserve">English variants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عيادة للبيع المطرية</w:t>
            </w:r>
          </w:p>
        </w:tc>
        <w:tc>
          <w:tcPr>
            <w:tcBorders>
              <w:right w:val="none"/>
            </w:tcBorders>
            <w:tcMar>
              <w:top w:type="dxa" w:w="80"/>
              <w:left w:type="dxa" w:w="120"/>
              <w:bottom w:type="dxa" w:w="80"/>
              <w:right w:type="dxa" w:w="120"/>
            </w:tcMar>
            <w:vAlign w:val="center"/>
          </w:tcPr>
          <w:p>
            <w:pPr>
              <w:pStyle w:val="MdTableCell"/>
            </w:pPr>
            <w:r>
              <w:t xml:space="preserve">clinic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عيادة إدارية المطرية</w:t>
            </w:r>
          </w:p>
        </w:tc>
        <w:tc>
          <w:tcPr>
            <w:tcBorders>
              <w:right w:val="none"/>
            </w:tcBorders>
            <w:tcMar>
              <w:top w:type="dxa" w:w="80"/>
              <w:left w:type="dxa" w:w="120"/>
              <w:bottom w:type="dxa" w:w="80"/>
              <w:right w:type="dxa" w:w="120"/>
            </w:tcMar>
            <w:vAlign w:val="center"/>
          </w:tcPr>
          <w:p>
            <w:pPr>
              <w:pStyle w:val="MdTableCell"/>
            </w:pPr>
            <w:r>
              <w:t xml:space="preserve">medical office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مقر عيادة في المطرية</w:t>
            </w:r>
          </w:p>
        </w:tc>
        <w:tc>
          <w:tcPr>
            <w:tcBorders>
              <w:right w:val="none"/>
            </w:tcBorders>
            <w:tcMar>
              <w:top w:type="dxa" w:w="80"/>
              <w:left w:type="dxa" w:w="120"/>
              <w:bottom w:type="dxa" w:w="80"/>
              <w:right w:type="dxa" w:w="120"/>
            </w:tcMar>
            <w:vAlign w:val="center"/>
          </w:tcPr>
          <w:p>
            <w:pPr>
              <w:pStyle w:val="MdTableCell"/>
            </w:pPr>
            <w:r>
              <w:t xml:space="preserve">clinic space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مركز طبي المطرية</w:t>
            </w:r>
          </w:p>
        </w:tc>
        <w:tc>
          <w:tcPr>
            <w:tcBorders>
              <w:right w:val="none"/>
            </w:tcBorders>
            <w:tcMar>
              <w:top w:type="dxa" w:w="80"/>
              <w:left w:type="dxa" w:w="120"/>
              <w:bottom w:type="dxa" w:w="80"/>
              <w:right w:type="dxa" w:w="120"/>
            </w:tcMar>
            <w:vAlign w:val="center"/>
          </w:tcPr>
          <w:p>
            <w:pPr>
              <w:pStyle w:val="MdTableCell"/>
            </w:pPr>
            <w:r>
              <w:t xml:space="preserve">medical center space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مكتب طبي للبيع المطرية</w:t>
            </w:r>
          </w:p>
        </w:tc>
        <w:tc>
          <w:tcPr>
            <w:tcBorders>
              <w:right w:val="none"/>
            </w:tcBorders>
            <w:tcMar>
              <w:top w:type="dxa" w:w="80"/>
              <w:left w:type="dxa" w:w="120"/>
              <w:bottom w:type="dxa" w:w="80"/>
              <w:right w:type="dxa" w:w="120"/>
            </w:tcMar>
            <w:vAlign w:val="center"/>
          </w:tcPr>
          <w:p>
            <w:pPr>
              <w:pStyle w:val="MdTableCell"/>
            </w:pPr>
            <w:r>
              <w:t xml:space="preserve">medical office for sale Matariya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مقر معمل تحاليل المطرية</w:t>
            </w:r>
          </w:p>
        </w:tc>
        <w:tc>
          <w:tcPr>
            <w:tcBorders>
              <w:right w:val="none"/>
            </w:tcBorders>
            <w:tcMar>
              <w:top w:type="dxa" w:w="80"/>
              <w:left w:type="dxa" w:w="120"/>
              <w:bottom w:type="dxa" w:w="80"/>
              <w:right w:type="dxa" w:w="120"/>
            </w:tcMar>
            <w:vAlign w:val="center"/>
          </w:tcPr>
          <w:p>
            <w:pPr>
              <w:pStyle w:val="MdTableCell"/>
            </w:pPr>
            <w:r>
              <w:t xml:space="preserve">laboratory space Matariya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عيادة بجوار المترو</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clinic near Matariya metro</w:t>
            </w:r>
          </w:p>
        </w:tc>
      </w:tr>
    </w:tbl>
    <w:p>
      <w:pPr>
        <w:pStyle w:val="Heading3"/>
        <w:pStyle w:val="MdHeading3"/>
      </w:pPr>
      <w:r>
        <w:t xml:space="preserve">مجموعة: الأطباء والخدمات الطبية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الكلمات المقترحة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مقر طبيب للبيع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مساحة لعيادة طبيب</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مقر عيادة أسنان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مقر مركز أشعة المطرية</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مساحة صيدلية المطرية</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عيادة تشطيب جيد القاهرة</w:t>
            </w:r>
          </w:p>
        </w:tc>
      </w:tr>
    </w:tbl>
    <w:p>
      <w:pPr>
        <w:pStyle w:val="MdParagraph"/>
      </w:pPr>
      <w:r>
        <w:rPr>
          <w:rStyle w:val="MdStrong"/>
          <w:b/>
          <w:bCs/>
        </w:rPr>
        <w:t xml:space="preserve">تنبيه إعلاني:</w:t>
      </w:r>
      <w:r>
        <w:t xml:space="preserve"> لا تعد الحملة بملاءمة الترخيص أو النشاط الطبي قبل تأكيدها من مسؤول المشروع والمستشار المختص. استخدم عبارة «تأكيد ملاءمة النشاط والترخيص قبل التعاقد».</w:t>
      </w:r>
    </w:p>
    <w:p>
      <w:pPr>
        <w:pStyle w:val="MdSpace"/>
        <w:spacing w:before="0" w:after="60"/>
      </w:pPr>
    </w:p>
    <w:p>
      <w:pPr>
        <w:pStyle w:val="Heading2"/>
        <w:pStyle w:val="MdHeading2"/>
      </w:pPr>
      <w:r>
        <w:t xml:space="preserve">4. أنواع المطابقة المقترحة</w:t>
      </w:r>
    </w:p>
    <w:p>
      <w:pPr>
        <w:pStyle w:val="MdParagraph"/>
      </w:pPr>
      <w:r>
        <w:t xml:space="preserve">ابدأ بالمطابقة التامة والعبارة للكلمات عالية النية، ثم اختبر الواسعة بعد توفر بيانات تحويل موثوقة. استخدم Smart Bidding فقط بعد وجود بيانات كافية، ولا توسع المطابقة لمجرد زيادة عدد النقرات.</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المرحلة</w:t>
            </w:r>
          </w:p>
        </w:tc>
        <w:tc>
          <w:tcPr>
            <w:tcMar>
              <w:top w:type="dxa" w:w="100"/>
              <w:left w:type="dxa" w:w="120"/>
              <w:bottom w:type="dxa" w:w="100"/>
              <w:right w:type="dxa" w:w="120"/>
            </w:tcMar>
            <w:vAlign w:val="center"/>
          </w:tcPr>
          <w:p>
            <w:pPr>
              <w:pStyle w:val="MdTableHeader"/>
            </w:pPr>
            <w:r>
              <w:t xml:space="preserve">نوع المطابقة</w:t>
            </w:r>
          </w:p>
        </w:tc>
        <w:tc>
          <w:tcPr>
            <w:tcBorders>
              <w:right w:val="none"/>
            </w:tcBorders>
            <w:tcMar>
              <w:top w:type="dxa" w:w="100"/>
              <w:left w:type="dxa" w:w="120"/>
              <w:bottom w:type="dxa" w:w="100"/>
              <w:right w:type="dxa" w:w="120"/>
            </w:tcMar>
            <w:vAlign w:val="center"/>
          </w:tcPr>
          <w:p>
            <w:pPr>
              <w:pStyle w:val="MdTableHeader"/>
            </w:pPr>
            <w:r>
              <w:t xml:space="preserve">الاستخدام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الاختبار الأول</w:t>
            </w:r>
          </w:p>
        </w:tc>
        <w:tc>
          <w:tcPr>
            <w:tcMar>
              <w:top w:type="dxa" w:w="80"/>
              <w:left w:type="dxa" w:w="120"/>
              <w:bottom w:type="dxa" w:w="80"/>
              <w:right w:type="dxa" w:w="120"/>
            </w:tcMar>
            <w:vAlign w:val="center"/>
          </w:tcPr>
          <w:p>
            <w:pPr>
              <w:pStyle w:val="MdTableCell"/>
            </w:pPr>
            <w:r>
              <w:t xml:space="preserve">Exact + Phrase</w:t>
            </w:r>
          </w:p>
        </w:tc>
        <w:tc>
          <w:tcPr>
            <w:tcBorders>
              <w:right w:val="none"/>
            </w:tcBorders>
            <w:tcMar>
              <w:top w:type="dxa" w:w="80"/>
              <w:left w:type="dxa" w:w="120"/>
              <w:bottom w:type="dxa" w:w="80"/>
              <w:right w:type="dxa" w:w="120"/>
            </w:tcMar>
            <w:vAlign w:val="center"/>
          </w:tcPr>
          <w:p>
            <w:pPr>
              <w:pStyle w:val="MdTableCell"/>
            </w:pPr>
            <w:r>
              <w:t xml:space="preserve">حماية النية وتقليل الهدر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التحسين</w:t>
            </w:r>
          </w:p>
        </w:tc>
        <w:tc>
          <w:tcPr>
            <w:tcMar>
              <w:top w:type="dxa" w:w="80"/>
              <w:left w:type="dxa" w:w="120"/>
              <w:bottom w:type="dxa" w:w="80"/>
              <w:right w:type="dxa" w:w="120"/>
            </w:tcMar>
            <w:vAlign w:val="center"/>
          </w:tcPr>
          <w:p>
            <w:pPr>
              <w:pStyle w:val="MdTableCell"/>
            </w:pPr>
            <w:r>
              <w:t xml:space="preserve">Phrase مع مراجعة Search Terms</w:t>
            </w:r>
          </w:p>
        </w:tc>
        <w:tc>
          <w:tcPr>
            <w:tcBorders>
              <w:right w:val="none"/>
            </w:tcBorders>
            <w:tcMar>
              <w:top w:type="dxa" w:w="80"/>
              <w:left w:type="dxa" w:w="120"/>
              <w:bottom w:type="dxa" w:w="80"/>
              <w:right w:type="dxa" w:w="120"/>
            </w:tcMar>
            <w:vAlign w:val="center"/>
          </w:tcPr>
          <w:p>
            <w:pPr>
              <w:pStyle w:val="MdTableCell"/>
            </w:pPr>
            <w:r>
              <w:t xml:space="preserve">اكتشاف صيغ جديدة مفيدة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التوسع المشروط</w:t>
            </w:r>
          </w:p>
        </w:tc>
        <w:tc>
          <w:tcPr>
            <w:tcBorders>
              <w:bottom w:val="single" w:color="E1E4E8" w:sz="4"/>
            </w:tcBorders>
            <w:tcMar>
              <w:top w:type="dxa" w:w="80"/>
              <w:left w:type="dxa" w:w="120"/>
              <w:bottom w:type="dxa" w:w="80"/>
              <w:right w:type="dxa" w:w="120"/>
            </w:tcMar>
            <w:vAlign w:val="center"/>
          </w:tcPr>
          <w:p>
            <w:pPr>
              <w:pStyle w:val="MdTableCell"/>
            </w:pPr>
            <w:r>
              <w:t xml:space="preserve">Broad مع تحويلات موثوقة</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زيادة الوصول بعد ثبات الجودة</w:t>
            </w:r>
          </w:p>
        </w:tc>
      </w:tr>
    </w:tbl>
    <w:p>
      <w:pPr>
        <w:pStyle w:val="Heading2"/>
        <w:pStyle w:val="MdHeading2"/>
      </w:pPr>
      <w:r>
        <w:t xml:space="preserve">5. قائمة الكلمات السلبية الأولية</w:t>
      </w:r>
    </w:p>
    <w:p>
      <w:pPr>
        <w:pStyle w:val="MdParagraph"/>
      </w:pPr>
      <w:r>
        <w:t xml:space="preserve">استخدمها كقائمة مراجعة لا كقائمة إقصاء تلقائي. راجع كل كلمة في Search Terms قبل الإضافة النهائية.</w:t>
      </w:r>
    </w:p>
    <w:p>
      <w:pPr>
        <w:pStyle w:val="MdSpace"/>
        <w:spacing w:before="0" w:after="60"/>
      </w:pPr>
    </w:p>
    <w:p>
      <w:pPr>
        <w:pStyle w:val="MdParagraph"/>
      </w:pPr>
      <w:r>
        <w:rPr>
          <w:rStyle w:val="MdStrong"/>
          <w:b/>
          <w:bCs/>
        </w:rPr>
        <w:t xml:space="preserve">وظائف ومحتوى غير تجاري:</w:t>
      </w:r>
      <w:r>
        <w:t xml:space="preserve"> وظائف، شغل، توظيف، تدريب، كورس، تعليم، مجاني، صور، تحميل، نموذج عقد، قانون.</w:t>
      </w:r>
    </w:p>
    <w:p>
      <w:pPr>
        <w:pStyle w:val="MdSpace"/>
        <w:spacing w:before="0" w:after="60"/>
      </w:pPr>
    </w:p>
    <w:p>
      <w:pPr>
        <w:pStyle w:val="MdParagraph"/>
      </w:pPr>
      <w:r>
        <w:rPr>
          <w:rStyle w:val="MdStrong"/>
          <w:b/>
          <w:bCs/>
        </w:rPr>
        <w:t xml:space="preserve">استخدام غير مطابق:</w:t>
      </w:r>
      <w:r>
        <w:t xml:space="preserve"> إيجار إذا كانت الحملة للبيع فقط، سكني إذا كانت الحملة إدارية أو تجارية فقط، غرفة، سرير، شقة سكنية، أرض فقط إذا كان الهدف وحدات مبنية.</w:t>
      </w:r>
    </w:p>
    <w:p>
      <w:pPr>
        <w:pStyle w:val="MdSpace"/>
        <w:spacing w:before="0" w:after="60"/>
      </w:pPr>
    </w:p>
    <w:p>
      <w:pPr>
        <w:pStyle w:val="MdParagraph"/>
      </w:pPr>
      <w:r>
        <w:rPr>
          <w:rStyle w:val="MdStrong"/>
          <w:b/>
          <w:bCs/>
        </w:rPr>
        <w:t xml:space="preserve">مناطق غير مستهدفة:</w:t>
      </w:r>
      <w:r>
        <w:t xml:space="preserve"> أسماء المناطق التي لا تخدم نطاق المشروع بعد مراجعة استراتيجية الوصول.</w:t>
      </w:r>
    </w:p>
    <w:p>
      <w:pPr>
        <w:pStyle w:val="MdSpace"/>
        <w:spacing w:before="0" w:after="60"/>
      </w:pPr>
    </w:p>
    <w:p>
      <w:pPr>
        <w:pStyle w:val="MdParagraph"/>
      </w:pPr>
      <w:r>
        <w:rPr>
          <w:rStyle w:val="MdStrong"/>
          <w:b/>
          <w:bCs/>
        </w:rPr>
        <w:t xml:space="preserve">استبعادات مؤقتة:</w:t>
      </w:r>
      <w:r>
        <w:t xml:space="preserve"> كلمات مثل «رخيص» أو «تقسيط» لا تُستبعد إلا إذا أثبتت أنها تجلب طلبًا غير مناسب؛ فقد يكون بعضها تجاريًا مفيدًا.</w:t>
      </w:r>
    </w:p>
    <w:p>
      <w:pPr>
        <w:pStyle w:val="MdSpace"/>
        <w:spacing w:before="0" w:after="60"/>
      </w:pPr>
    </w:p>
    <w:p>
      <w:pPr>
        <w:pStyle w:val="MdParagraph"/>
      </w:pPr>
      <w:r>
        <w:t xml:space="preserve">راجع قائمة الاستبعادات أسبوعيًا، لأن كثرة الكلمات السلبية قد تقلل الوصول، ولأن مطابقة الكلمات السلبية تختلف عن المطابقة الإيجابية.</w:t>
      </w:r>
      <w:hyperlink w:history="1" r:id="rIdgdrd_saxndn14curttzub">
        <w:r>
          <w:rPr>
            <w:rStyle w:val="MdLink"/>
          </w:rPr>
          <w:t xml:space="preserve">2</w:t>
        </w:r>
      </w:hyperlink>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ثانيًا: نموذج الميزانية اليومية والأسبوعية</w:t>
      </w:r>
    </w:p>
    <w:p>
      <w:pPr>
        <w:pStyle w:val="Heading2"/>
        <w:pStyle w:val="MdHeading2"/>
      </w:pPr>
      <w:r>
        <w:t xml:space="preserve">1. قاعدة عدم التجاوز</w:t>
      </w:r>
    </w:p>
    <w:p>
      <w:pPr>
        <w:pStyle w:val="MdParagraph"/>
      </w:pPr>
      <w:r>
        <w:t xml:space="preserve">تحدد الإدارة إجمالي ميزانية الشهر </w:t>
      </w:r>
      <w:r>
        <w:rPr>
          <w:rStyle w:val="MdStrong"/>
          <w:b/>
          <w:bCs/>
        </w:rPr>
        <w:t xml:space="preserve">B</w:t>
      </w:r>
      <w:r>
        <w:t xml:space="preserve">. يقسم النظام الحسابي الميزانية على عدد أيام الشهر، مع احتياطي مراجعة لا يجوز تجاوزه إلا بموافقة مكتوبة.</w:t>
      </w:r>
    </w:p>
    <w:p>
      <w:pPr>
        <w:pStyle w:val="MdSpace"/>
        <w:spacing w:before="0" w:after="60"/>
      </w:pPr>
    </w:p>
    <w:p>
      <w:pPr>
        <w:pStyle w:val="MdListItem"/>
        <w:numPr>
          <w:ilvl w:val="0"/>
          <w:numId w:val="2"/>
        </w:numPr>
      </w:pPr>
      <w:r>
        <w:t xml:space="preserve">الحد اليومي النظري = B ÷ عدد أيام الشهر.</w:t>
      </w:r>
    </w:p>
    <w:p>
      <w:pPr>
        <w:pStyle w:val="MdListItem"/>
        <w:numPr>
          <w:ilvl w:val="0"/>
          <w:numId w:val="2"/>
        </w:numPr>
      </w:pPr>
      <w:r>
        <w:t xml:space="preserve">الحد الأسبوعي النظري = B × 7 ÷ عدد أيام الشهر.</w:t>
      </w:r>
    </w:p>
    <w:p>
      <w:pPr>
        <w:pStyle w:val="MdListItem"/>
        <w:numPr>
          <w:ilvl w:val="0"/>
          <w:numId w:val="2"/>
        </w:numPr>
      </w:pPr>
      <w:r>
        <w:t xml:space="preserve">الحد الأقصى التشغيلي = الرقم المعتمد في خانة الإدارة.</w:t>
      </w:r>
    </w:p>
    <w:p>
      <w:pPr>
        <w:pStyle w:val="MdListItem"/>
        <w:numPr>
          <w:ilvl w:val="0"/>
          <w:numId w:val="2"/>
        </w:numPr>
      </w:pPr>
      <w:r>
        <w:t xml:space="preserve">الرصيد المتبقي = الميزانية المعتمدة − الإنفاق الفعلي.</w:t>
      </w:r>
    </w:p>
    <w:p>
      <w:pPr>
        <w:pStyle w:val="MdListItem"/>
        <w:numPr>
          <w:ilvl w:val="0"/>
          <w:numId w:val="2"/>
        </w:numPr>
      </w:pPr>
      <w:r>
        <w:t xml:space="preserve">نسبة الاستهلاك = الإنفاق الفعلي ÷ الميزانية المعتمدة × 100.</w:t>
      </w:r>
    </w:p>
    <w:p>
      <w:pPr>
        <w:pStyle w:val="MdSpace"/>
        <w:spacing w:before="0" w:after="60"/>
      </w:pPr>
    </w:p>
    <w:p>
      <w:pPr>
        <w:pStyle w:val="Heading2"/>
        <w:pStyle w:val="MdHeading2"/>
      </w:pPr>
      <w:r>
        <w:t xml:space="preserve">2. نموذج توزيع شهري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الشهر</w:t>
            </w:r>
          </w:p>
        </w:tc>
        <w:tc>
          <w:tcPr>
            <w:tcMar>
              <w:top w:type="dxa" w:w="100"/>
              <w:left w:type="dxa" w:w="120"/>
              <w:bottom w:type="dxa" w:w="100"/>
              <w:right w:type="dxa" w:w="120"/>
            </w:tcMar>
            <w:vAlign w:val="center"/>
          </w:tcPr>
          <w:p>
            <w:pPr>
              <w:pStyle w:val="MdTableHeader"/>
              <w:jc w:val="right"/>
            </w:pPr>
            <w:r>
              <w:t xml:space="preserve">إجمالي الاعتماد B</w:t>
            </w:r>
          </w:p>
        </w:tc>
        <w:tc>
          <w:tcPr>
            <w:tcMar>
              <w:top w:type="dxa" w:w="100"/>
              <w:left w:type="dxa" w:w="120"/>
              <w:bottom w:type="dxa" w:w="100"/>
              <w:right w:type="dxa" w:w="120"/>
            </w:tcMar>
            <w:vAlign w:val="center"/>
          </w:tcPr>
          <w:p>
            <w:pPr>
              <w:pStyle w:val="MdTableHeader"/>
              <w:jc w:val="right"/>
            </w:pPr>
            <w:r>
              <w:t xml:space="preserve">Meta 40%</w:t>
            </w:r>
          </w:p>
        </w:tc>
        <w:tc>
          <w:tcPr>
            <w:tcMar>
              <w:top w:type="dxa" w:w="100"/>
              <w:left w:type="dxa" w:w="120"/>
              <w:bottom w:type="dxa" w:w="100"/>
              <w:right w:type="dxa" w:w="120"/>
            </w:tcMar>
            <w:vAlign w:val="center"/>
          </w:tcPr>
          <w:p>
            <w:pPr>
              <w:pStyle w:val="MdTableHeader"/>
              <w:jc w:val="right"/>
            </w:pPr>
            <w:r>
              <w:t xml:space="preserve">Google 30%</w:t>
            </w:r>
          </w:p>
        </w:tc>
        <w:tc>
          <w:tcPr>
            <w:tcMar>
              <w:top w:type="dxa" w:w="100"/>
              <w:left w:type="dxa" w:w="120"/>
              <w:bottom w:type="dxa" w:w="100"/>
              <w:right w:type="dxa" w:w="120"/>
            </w:tcMar>
            <w:vAlign w:val="center"/>
          </w:tcPr>
          <w:p>
            <w:pPr>
              <w:pStyle w:val="MdTableHeader"/>
              <w:jc w:val="right"/>
            </w:pPr>
            <w:r>
              <w:t xml:space="preserve">احتياطي/Outdoor حسب قرار الإدارة</w:t>
            </w:r>
          </w:p>
        </w:tc>
        <w:tc>
          <w:tcPr>
            <w:tcBorders>
              <w:right w:val="none"/>
            </w:tcBorders>
            <w:tcMar>
              <w:top w:type="dxa" w:w="100"/>
              <w:left w:type="dxa" w:w="120"/>
              <w:bottom w:type="dxa" w:w="100"/>
              <w:right w:type="dxa" w:w="120"/>
            </w:tcMar>
            <w:vAlign w:val="center"/>
          </w:tcPr>
          <w:p>
            <w:pPr>
              <w:pStyle w:val="MdTableHeader"/>
              <w:jc w:val="right"/>
            </w:pPr>
            <w:r>
              <w:t xml:space="preserve">إجمالي سقف الشهر</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شهر 1</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شهر 2</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شهر 3</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شهر 4</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شهر 5</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شهر 6</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MdParagraph"/>
      </w:pPr>
      <w:r>
        <w:t xml:space="preserve">إذا اعتمدت الإدارة Outdoor ضمن خطة مستقلة، يسجل له سقف مستقل ولا يسحب من الإنفاق الرقمي دون موافقة.</w:t>
      </w:r>
    </w:p>
    <w:p>
      <w:pPr>
        <w:pStyle w:val="MdSpace"/>
        <w:spacing w:before="0" w:after="60"/>
      </w:pPr>
    </w:p>
    <w:p>
      <w:pPr>
        <w:pStyle w:val="Heading2"/>
        <w:pStyle w:val="MdHeading2"/>
      </w:pPr>
      <w:r>
        <w:t xml:space="preserve">3. نموذج التوزيع اليومي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اليوم</w:t>
            </w:r>
          </w:p>
        </w:tc>
        <w:tc>
          <w:tcPr>
            <w:tcMar>
              <w:top w:type="dxa" w:w="100"/>
              <w:left w:type="dxa" w:w="120"/>
              <w:bottom w:type="dxa" w:w="100"/>
              <w:right w:type="dxa" w:w="120"/>
            </w:tcMar>
            <w:vAlign w:val="center"/>
          </w:tcPr>
          <w:p>
            <w:pPr>
              <w:pStyle w:val="MdTableHeader"/>
              <w:jc w:val="right"/>
            </w:pPr>
            <w:r>
              <w:t xml:space="preserve">سقف Meta</w:t>
            </w:r>
          </w:p>
        </w:tc>
        <w:tc>
          <w:tcPr>
            <w:tcMar>
              <w:top w:type="dxa" w:w="100"/>
              <w:left w:type="dxa" w:w="120"/>
              <w:bottom w:type="dxa" w:w="100"/>
              <w:right w:type="dxa" w:w="120"/>
            </w:tcMar>
            <w:vAlign w:val="center"/>
          </w:tcPr>
          <w:p>
            <w:pPr>
              <w:pStyle w:val="MdTableHeader"/>
              <w:jc w:val="right"/>
            </w:pPr>
            <w:r>
              <w:t xml:space="preserve">فعلي Meta</w:t>
            </w:r>
          </w:p>
        </w:tc>
        <w:tc>
          <w:tcPr>
            <w:tcMar>
              <w:top w:type="dxa" w:w="100"/>
              <w:left w:type="dxa" w:w="120"/>
              <w:bottom w:type="dxa" w:w="100"/>
              <w:right w:type="dxa" w:w="120"/>
            </w:tcMar>
            <w:vAlign w:val="center"/>
          </w:tcPr>
          <w:p>
            <w:pPr>
              <w:pStyle w:val="MdTableHeader"/>
              <w:jc w:val="right"/>
            </w:pPr>
            <w:r>
              <w:t xml:space="preserve">سقف Google</w:t>
            </w:r>
          </w:p>
        </w:tc>
        <w:tc>
          <w:tcPr>
            <w:tcMar>
              <w:top w:type="dxa" w:w="100"/>
              <w:left w:type="dxa" w:w="120"/>
              <w:bottom w:type="dxa" w:w="100"/>
              <w:right w:type="dxa" w:w="120"/>
            </w:tcMar>
            <w:vAlign w:val="center"/>
          </w:tcPr>
          <w:p>
            <w:pPr>
              <w:pStyle w:val="MdTableHeader"/>
              <w:jc w:val="right"/>
            </w:pPr>
            <w:r>
              <w:t xml:space="preserve">فعلي Google</w:t>
            </w:r>
          </w:p>
        </w:tc>
        <w:tc>
          <w:tcPr>
            <w:tcMar>
              <w:top w:type="dxa" w:w="100"/>
              <w:left w:type="dxa" w:w="120"/>
              <w:bottom w:type="dxa" w:w="100"/>
              <w:right w:type="dxa" w:w="120"/>
            </w:tcMar>
            <w:vAlign w:val="center"/>
          </w:tcPr>
          <w:p>
            <w:pPr>
              <w:pStyle w:val="MdTableHeader"/>
              <w:jc w:val="right"/>
            </w:pPr>
            <w:r>
              <w:t xml:space="preserve">إجمالي فعلي</w:t>
            </w:r>
          </w:p>
        </w:tc>
        <w:tc>
          <w:tcPr>
            <w:tcMar>
              <w:top w:type="dxa" w:w="100"/>
              <w:left w:type="dxa" w:w="120"/>
              <w:bottom w:type="dxa" w:w="100"/>
              <w:right w:type="dxa" w:w="120"/>
            </w:tcMar>
            <w:vAlign w:val="center"/>
          </w:tcPr>
          <w:p>
            <w:pPr>
              <w:pStyle w:val="MdTableHeader"/>
              <w:jc w:val="right"/>
            </w:pPr>
            <w:r>
              <w:t xml:space="preserve">الرصيد المتبقي</w:t>
            </w:r>
          </w:p>
        </w:tc>
        <w:tc>
          <w:tcPr>
            <w:tcBorders>
              <w:right w:val="none"/>
            </w:tcBorders>
            <w:tcMar>
              <w:top w:type="dxa" w:w="100"/>
              <w:left w:type="dxa" w:w="120"/>
              <w:bottom w:type="dxa" w:w="100"/>
              <w:right w:type="dxa" w:w="120"/>
            </w:tcMar>
            <w:vAlign w:val="center"/>
          </w:tcPr>
          <w:p>
            <w:pPr>
              <w:pStyle w:val="MdTableHeader"/>
            </w:pPr>
            <w:r>
              <w:t xml:space="preserve">حالة الإنفاق</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السبت</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الأحد</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الاثنين</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الثلاثاء</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الأربعاء</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الخميس</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ضمن/تجاوز</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الجمعة</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ضمن/تجاوز</w:t>
            </w:r>
          </w:p>
        </w:tc>
      </w:tr>
    </w:tbl>
    <w:p>
      <w:pPr>
        <w:pStyle w:val="Heading2"/>
        <w:pStyle w:val="MdHeading2"/>
      </w:pPr>
      <w:r>
        <w:t xml:space="preserve">4. نموذج التوزيع الأسبوعي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الأسبوع</w:t>
            </w:r>
          </w:p>
        </w:tc>
        <w:tc>
          <w:tcPr>
            <w:tcMar>
              <w:top w:type="dxa" w:w="100"/>
              <w:left w:type="dxa" w:w="120"/>
              <w:bottom w:type="dxa" w:w="100"/>
              <w:right w:type="dxa" w:w="120"/>
            </w:tcMar>
            <w:vAlign w:val="center"/>
          </w:tcPr>
          <w:p>
            <w:pPr>
              <w:pStyle w:val="MdTableHeader"/>
              <w:jc w:val="right"/>
            </w:pPr>
            <w:r>
              <w:t xml:space="preserve">السقف الأسبوعي</w:t>
            </w:r>
          </w:p>
        </w:tc>
        <w:tc>
          <w:tcPr>
            <w:tcMar>
              <w:top w:type="dxa" w:w="100"/>
              <w:left w:type="dxa" w:w="120"/>
              <w:bottom w:type="dxa" w:w="100"/>
              <w:right w:type="dxa" w:w="120"/>
            </w:tcMar>
            <w:vAlign w:val="center"/>
          </w:tcPr>
          <w:p>
            <w:pPr>
              <w:pStyle w:val="MdTableHeader"/>
              <w:jc w:val="right"/>
            </w:pPr>
            <w:r>
              <w:t xml:space="preserve">Meta</w:t>
            </w:r>
          </w:p>
        </w:tc>
        <w:tc>
          <w:tcPr>
            <w:tcMar>
              <w:top w:type="dxa" w:w="100"/>
              <w:left w:type="dxa" w:w="120"/>
              <w:bottom w:type="dxa" w:w="100"/>
              <w:right w:type="dxa" w:w="120"/>
            </w:tcMar>
            <w:vAlign w:val="center"/>
          </w:tcPr>
          <w:p>
            <w:pPr>
              <w:pStyle w:val="MdTableHeader"/>
              <w:jc w:val="right"/>
            </w:pPr>
            <w:r>
              <w:t xml:space="preserve">Google</w:t>
            </w:r>
          </w:p>
        </w:tc>
        <w:tc>
          <w:tcPr>
            <w:tcMar>
              <w:top w:type="dxa" w:w="100"/>
              <w:left w:type="dxa" w:w="120"/>
              <w:bottom w:type="dxa" w:w="100"/>
              <w:right w:type="dxa" w:w="120"/>
            </w:tcMar>
            <w:vAlign w:val="center"/>
          </w:tcPr>
          <w:p>
            <w:pPr>
              <w:pStyle w:val="MdTableHeader"/>
              <w:jc w:val="right"/>
            </w:pPr>
            <w:r>
              <w:t xml:space="preserve">Outdoor إن اعتمد</w:t>
            </w:r>
          </w:p>
        </w:tc>
        <w:tc>
          <w:tcPr>
            <w:tcMar>
              <w:top w:type="dxa" w:w="100"/>
              <w:left w:type="dxa" w:w="120"/>
              <w:bottom w:type="dxa" w:w="100"/>
              <w:right w:type="dxa" w:w="120"/>
            </w:tcMar>
            <w:vAlign w:val="center"/>
          </w:tcPr>
          <w:p>
            <w:pPr>
              <w:pStyle w:val="MdTableHeader"/>
              <w:jc w:val="right"/>
            </w:pPr>
            <w:r>
              <w:t xml:space="preserve">فعلي الأسبوع</w:t>
            </w:r>
          </w:p>
        </w:tc>
        <w:tc>
          <w:tcPr>
            <w:tcMar>
              <w:top w:type="dxa" w:w="100"/>
              <w:left w:type="dxa" w:w="120"/>
              <w:bottom w:type="dxa" w:w="100"/>
              <w:right w:type="dxa" w:w="120"/>
            </w:tcMar>
            <w:vAlign w:val="center"/>
          </w:tcPr>
          <w:p>
            <w:pPr>
              <w:pStyle w:val="MdTableHeader"/>
              <w:jc w:val="right"/>
            </w:pPr>
            <w:r>
              <w:t xml:space="preserve">نسبة الاستهلاك</w:t>
            </w:r>
          </w:p>
        </w:tc>
        <w:tc>
          <w:tcPr>
            <w:tcBorders>
              <w:right w:val="none"/>
            </w:tcBorders>
            <w:tcMar>
              <w:top w:type="dxa" w:w="100"/>
              <w:left w:type="dxa" w:w="120"/>
              <w:bottom w:type="dxa" w:w="100"/>
              <w:right w:type="dxa" w:w="120"/>
            </w:tcMar>
            <w:vAlign w:val="center"/>
          </w:tcPr>
          <w:p>
            <w:pPr>
              <w:pStyle w:val="MdTableHeader"/>
            </w:pPr>
            <w:r>
              <w:t xml:space="preserve">إجراء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أسبوع 1</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استمرار/تعديل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أسبوع 2</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استمرار/تعديل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أسبوع 3</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استمرار/تعديل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أسبوع 4</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استمرار/تعديل</w:t>
            </w:r>
          </w:p>
        </w:tc>
      </w:tr>
    </w:tbl>
    <w:p>
      <w:pPr>
        <w:pStyle w:val="Heading2"/>
        <w:pStyle w:val="MdHeading2"/>
      </w:pPr>
      <w:r>
        <w:t xml:space="preserve">5. بوابات الإيقاف وإعادة التوزيع</w:t>
      </w:r>
    </w:p>
    <w:p>
      <w:pPr>
        <w:pStyle w:val="MdParagraph"/>
      </w:pPr>
      <w:r>
        <w:t xml:space="preserve">أوقف الإعلان أو خفّضه إذا لم يكن له مسار واضح إلى عميل مؤهل أو معاينة، أو إذا ظهرت مشكلة في السعر أو التوافر أو التوجيه. لا ترفع السقف لمجرد زيادة النقرات. أي إعادة توزيع بين Meta وGoogle تحتاج تسجيل السبب والقرار والمسؤول.</w:t>
      </w:r>
    </w:p>
    <w:p>
      <w:pPr>
        <w:pStyle w:val="MdSpace"/>
        <w:spacing w:before="0" w:after="60"/>
      </w:pPr>
    </w:p>
    <w:p>
      <w:pPr>
        <w:pStyle w:val="Heading2"/>
        <w:pStyle w:val="MdHeading2"/>
      </w:pPr>
      <w:r>
        <w:t xml:space="preserve">6. لوحة القرار الأسبوعية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Mar>
              <w:top w:type="dxa" w:w="100"/>
              <w:left w:type="dxa" w:w="120"/>
              <w:bottom w:type="dxa" w:w="100"/>
              <w:right w:type="dxa" w:w="120"/>
            </w:tcMar>
            <w:vAlign w:val="center"/>
          </w:tcPr>
          <w:p>
            <w:pPr>
              <w:pStyle w:val="MdTableHeader"/>
              <w:jc w:val="right"/>
            </w:pPr>
            <w:r>
              <w:t xml:space="preserve">Meta</w:t>
            </w:r>
          </w:p>
        </w:tc>
        <w:tc>
          <w:tcPr>
            <w:tcMar>
              <w:top w:type="dxa" w:w="100"/>
              <w:left w:type="dxa" w:w="120"/>
              <w:bottom w:type="dxa" w:w="100"/>
              <w:right w:type="dxa" w:w="120"/>
            </w:tcMar>
            <w:vAlign w:val="center"/>
          </w:tcPr>
          <w:p>
            <w:pPr>
              <w:pStyle w:val="MdTableHeader"/>
              <w:jc w:val="right"/>
            </w:pPr>
            <w:r>
              <w:t xml:space="preserve">Google Search</w:t>
            </w:r>
          </w:p>
        </w:tc>
        <w:tc>
          <w:tcPr>
            <w:tcBorders>
              <w:right w:val="none"/>
            </w:tcBorders>
            <w:tcMar>
              <w:top w:type="dxa" w:w="100"/>
              <w:left w:type="dxa" w:w="120"/>
              <w:bottom w:type="dxa" w:w="100"/>
              <w:right w:type="dxa" w:w="120"/>
            </w:tcMar>
            <w:vAlign w:val="center"/>
          </w:tcPr>
          <w:p>
            <w:pPr>
              <w:pStyle w:val="MdTableHeader"/>
            </w:pPr>
            <w:r>
              <w:t xml:space="preserve">الإجراء</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التسجيلات</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العملاء المؤهلون</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المعاينات</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الحجوزات المعتمدة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تكلفة العميل المؤهل</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تكلفة الحجز</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التحصيل المرتبط</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MdHr"/>
        <w:pBdr>
          <w:bottom w:val="single" w:color="auto" w:sz="6" w:space="1"/>
        </w:pBdr>
      </w:pPr>
    </w:p>
    <w:p>
      <w:pPr>
        <w:pStyle w:val="MdSpace"/>
        <w:spacing w:before="0" w:after="60"/>
      </w:pPr>
    </w:p>
    <w:p>
      <w:pPr>
        <w:pStyle w:val="Heading1"/>
        <w:pStyle w:val="MdHeading1"/>
      </w:pPr>
      <w:r>
        <w:t xml:space="preserve">ثالثًا: سيناريو الإلقاء أمام مجلس الإدارة</w:t>
      </w:r>
    </w:p>
    <w:p>
      <w:pPr>
        <w:pStyle w:val="Heading2"/>
        <w:pStyle w:val="MdHeading2"/>
      </w:pPr>
      <w:r>
        <w:t xml:space="preserve">الافتتاح</w:t>
      </w:r>
    </w:p>
    <w:p>
      <w:pPr>
        <w:pStyle w:val="MdParagraph"/>
      </w:pPr>
      <w:r>
        <w:t xml:space="preserve">"السيد رئيس مجلس الإدارة والسادة الحضور، نعرض اليوم نظامًا رقميًا قابلًا للقياس، وليس مجرد مجموعة إعلانات. الفكرة أن يعرف المجلس عدد العملاء الذين دخلوا، وعدد من تأهلوا، ومن حضروا المعاينة، ومن طلبوا عرضًا، ومن حجزوا، وما تم تحصيله فعليًا."</w:t>
      </w:r>
    </w:p>
    <w:p>
      <w:pPr>
        <w:pStyle w:val="MdSpace"/>
        <w:spacing w:before="0" w:after="60"/>
      </w:pPr>
    </w:p>
    <w:p>
      <w:pPr>
        <w:pStyle w:val="Heading2"/>
        <w:pStyle w:val="MdHeading2"/>
      </w:pPr>
      <w:r>
        <w:t xml:space="preserve">الكلمات المفتاحية</w:t>
      </w:r>
    </w:p>
    <w:p>
      <w:pPr>
        <w:pStyle w:val="MdParagraph"/>
      </w:pPr>
      <w:r>
        <w:t xml:space="preserve">"قسمنا البحث إلى ثلاث نوايا: تجارية للمحلات والبراندات، إدارية للمكاتب والشركات، وطبية للعيادات والخدمات الطبية. نبدأ بكلمات عالية النية بالمطابقة التامة والعبارة، ثم نستخدم تقرير البحث الفعلي لاكتشاف صيغ جديدة. ونضيف كلمات سلبية بحذر حتى لا ندفع على بحث غير مناسب أو نحجب عميلًا جادًا."</w:t>
      </w:r>
    </w:p>
    <w:p>
      <w:pPr>
        <w:pStyle w:val="MdSpace"/>
        <w:spacing w:before="0" w:after="60"/>
      </w:pPr>
    </w:p>
    <w:p>
      <w:pPr>
        <w:pStyle w:val="Heading2"/>
        <w:pStyle w:val="MdHeading2"/>
      </w:pPr>
      <w:r>
        <w:t xml:space="preserve">Search وPerformance Max</w:t>
      </w:r>
    </w:p>
    <w:p>
      <w:pPr>
        <w:pStyle w:val="MdParagraph"/>
      </w:pPr>
      <w:r>
        <w:t xml:space="preserve">"Search يلتقط من يكتب طلبًا واضحًا مثل محل للبيع في المطرية أو مكتب إداري بجوار المترو. Performance Max حملة منفصلة توسع الوصول عبر مخزون Google، لكنها لا تحل محل Search. لن نسمح لها بالتعلم على رسائل منخفضة الجودة؛ نربطها بالعملاء المؤهلين والمعاينات والحجوزات قدر الإمكان."</w:t>
      </w:r>
    </w:p>
    <w:p>
      <w:pPr>
        <w:pStyle w:val="MdSpace"/>
        <w:spacing w:before="0" w:after="60"/>
      </w:pPr>
    </w:p>
    <w:p>
      <w:pPr>
        <w:pStyle w:val="Heading2"/>
        <w:pStyle w:val="MdHeading2"/>
      </w:pPr>
      <w:r>
        <w:t xml:space="preserve">Meta Pixel وإعادة الاستهداف</w:t>
      </w:r>
    </w:p>
    <w:p>
      <w:pPr>
        <w:pStyle w:val="MdParagraph"/>
      </w:pPr>
      <w:r>
        <w:t xml:space="preserve">"عندما يدخل الزائر صفحة تجارية أو إدارية أو يفتح نموذجًا دون إرساله، نسجل الحدث المسموح به ونبني جمهور إعادة استهداف. خلال أول يومين نذكره بالفئة التي شاهدها، ثم نعرض الموقع والمعاينة، وبعد ذلك نجيب على أسئلة السعر والتشطيب والتسليم. نستبعد من حجز أو تأهل حتى لا نهدر الإنفاق، ونربط النتائج بالـCRM."</w:t>
      </w:r>
    </w:p>
    <w:p>
      <w:pPr>
        <w:pStyle w:val="MdSpace"/>
        <w:spacing w:before="0" w:after="60"/>
      </w:pPr>
    </w:p>
    <w:p>
      <w:pPr>
        <w:pStyle w:val="Heading2"/>
        <w:pStyle w:val="MdHeading2"/>
      </w:pPr>
      <w:r>
        <w:t xml:space="preserve">الميزانية</w:t>
      </w:r>
    </w:p>
    <w:p>
      <w:pPr>
        <w:pStyle w:val="MdParagraph"/>
      </w:pPr>
      <w:r>
        <w:t xml:space="preserve">"لم نضع رقمًا نقديًا مفروضًا. وضعنا نموذجًا يمنع التجاوز: الإدارة تحدد B، ثم يوزع النظام السقف اليومي والأسبوعي. التوزيع الإرشادي للإعلام الرقمي هو 40% Meta و30% Google، ويحدد Outdoor أو أي بند آخر بقرار مستقل. أي زيادة تحتاج تقريرًا يثبت تحسن جودة العملاء والمعاينات والحجوزات."</w:t>
      </w:r>
    </w:p>
    <w:p>
      <w:pPr>
        <w:pStyle w:val="MdSpace"/>
        <w:spacing w:before="0" w:after="60"/>
      </w:pPr>
    </w:p>
    <w:p>
      <w:pPr>
        <w:pStyle w:val="Heading2"/>
        <w:pStyle w:val="MdHeading2"/>
      </w:pPr>
      <w:r>
        <w:t xml:space="preserve">التارجت</w:t>
      </w:r>
    </w:p>
    <w:p>
      <w:pPr>
        <w:pStyle w:val="MdParagraph"/>
      </w:pPr>
      <w:r>
        <w:t xml:space="preserve">"نقيس الأداء مقابل H6، أي التسجيلات أو الحجوزات المعتمدة في آخر ستة أشهر. التارجت هو 2×H6 في الستة أشهر التالية. لا نعتبر النقر أو الرسالة نجاحًا نهائيًا. النجاح هو تقدم موثق حتى الحجز والتحصيل."</w:t>
      </w:r>
    </w:p>
    <w:p>
      <w:pPr>
        <w:pStyle w:val="MdSpace"/>
        <w:spacing w:before="0" w:after="60"/>
      </w:pPr>
    </w:p>
    <w:p>
      <w:pPr>
        <w:pStyle w:val="Heading2"/>
        <w:pStyle w:val="MdHeading2"/>
      </w:pPr>
      <w:r>
        <w:t xml:space="preserve">الرقابة</w:t>
      </w:r>
    </w:p>
    <w:p>
      <w:pPr>
        <w:pStyle w:val="MdParagraph"/>
      </w:pPr>
      <w:r>
        <w:t xml:space="preserve">"مسؤول تطوير الأعمال يطلع على الوحدات المباعة والحجوزات وقيم التعاقد والتحصيل والمسدد والمتبقي والأعداد والتواريخ، كي يرفع تقريرًا صحيحًا. المالية تسجل وتطابق، والإدارة تعتمد، والنظام يحتفظ بسجل الدخول والتعديل."</w:t>
      </w:r>
    </w:p>
    <w:p>
      <w:pPr>
        <w:pStyle w:val="MdSpace"/>
        <w:spacing w:before="0" w:after="60"/>
      </w:pPr>
    </w:p>
    <w:p>
      <w:pPr>
        <w:pStyle w:val="Heading2"/>
        <w:pStyle w:val="MdHeading2"/>
      </w:pPr>
      <w:r>
        <w:t xml:space="preserve">الخاتمة وطلب القرار</w:t>
      </w:r>
    </w:p>
    <w:p>
      <w:pPr>
        <w:pStyle w:val="MdParagraph"/>
      </w:pPr>
      <w:r>
        <w:t xml:space="preserve">"نطلب اعتماد هيكل الحملات، قائمة الكلمات كبداية اختبار، Meta Pixel والـCRM، نموذج السقوف اليومية والأسبوعية، وآلية المراجعة. نطلب أيضًا تحديد قيمة B من الإدارة. لا نطلب إنفاقًا مفتوحًا ولا نعد بنتيجة مضمونة؛ نطلب اختبارًا منضبطًا يتوقف أو يتوسع بناءً على رقم واضح."</w:t>
      </w:r>
    </w:p>
    <w:p>
      <w:pPr>
        <w:pStyle w:val="MdSpace"/>
        <w:spacing w:before="0" w:after="60"/>
      </w:pPr>
    </w:p>
    <w:p>
      <w:pPr>
        <w:pStyle w:val="Heading2"/>
        <w:pStyle w:val="MdHeading2"/>
      </w:pPr>
      <w:r>
        <w:t xml:space="preserve">ردود مختصرة على الاعتراضات</w:t>
      </w:r>
    </w:p>
    <w:p>
      <w:pPr>
        <w:pStyle w:val="MdParagraph"/>
      </w:pPr>
      <w:r>
        <w:rPr>
          <w:rStyle w:val="MdStrong"/>
          <w:b/>
          <w:bCs/>
        </w:rPr>
        <w:t xml:space="preserve">لماذا لا نعتمد رقمًا نهائيًا الآن؟</w:t>
      </w:r>
      <w:r>
        <w:rPr>
          <w:rStyle w:val="MdBr"/>
        </w:rPr>
        <w:br/>
        <w:t xml:space="preserve"/>
      </w:r>
      <w:r>
        <w:t xml:space="preserve">لأن الرقم قرار سيولة وأولوية من الإدارة. النموذج يضمن أن الصرف لا يتجاوز السقف بعد اعتماده.</w:t>
      </w:r>
    </w:p>
    <w:p>
      <w:pPr>
        <w:pStyle w:val="MdSpace"/>
        <w:spacing w:before="0" w:after="60"/>
      </w:pPr>
    </w:p>
    <w:p>
      <w:pPr>
        <w:pStyle w:val="MdParagraph"/>
      </w:pPr>
      <w:r>
        <w:rPr>
          <w:rStyle w:val="MdStrong"/>
          <w:b/>
          <w:bCs/>
        </w:rPr>
        <w:t xml:space="preserve">هل Performance Max قد يهدر الميزانية؟</w:t>
      </w:r>
      <w:r>
        <w:rPr>
          <w:rStyle w:val="MdBr"/>
        </w:rPr>
        <w:br/>
        <w:t xml:space="preserve"/>
      </w:r>
      <w:r>
        <w:t xml:space="preserve">لذلك يُطلق منفصلًا بعد التتبع، بمواد حقيقية وتحويلات محددة، ويقاس بالحجز والتحصيل لا بالتفاعل.</w:t>
      </w:r>
    </w:p>
    <w:p>
      <w:pPr>
        <w:pStyle w:val="MdSpace"/>
        <w:spacing w:before="0" w:after="60"/>
      </w:pPr>
    </w:p>
    <w:p>
      <w:pPr>
        <w:pStyle w:val="MdParagraph"/>
      </w:pPr>
      <w:r>
        <w:rPr>
          <w:rStyle w:val="MdStrong"/>
          <w:b/>
          <w:bCs/>
        </w:rPr>
        <w:t xml:space="preserve">هل Meta Pixel يتتبع كل شيء؟</w:t>
      </w:r>
      <w:r>
        <w:rPr>
          <w:rStyle w:val="MdBr"/>
        </w:rPr>
        <w:br/>
        <w:t xml:space="preserve"/>
      </w:r>
      <w:r>
        <w:t xml:space="preserve">يتتبع الأحداث المسموح بها على الموقع وفق إعدادات الخصوصية والموافقة. لا نرسل بيانات غير لازمة، ونستخدمه للقياس وبناء جماهير مناسبة.</w:t>
      </w:r>
    </w:p>
    <w:p>
      <w:pPr>
        <w:pStyle w:val="MdSpace"/>
        <w:spacing w:before="0" w:after="60"/>
      </w:pPr>
    </w:p>
    <w:p>
      <w:pPr>
        <w:pStyle w:val="MdParagraph"/>
      </w:pPr>
      <w:r>
        <w:rPr>
          <w:rStyle w:val="MdStrong"/>
          <w:b/>
          <w:bCs/>
        </w:rPr>
        <w:t xml:space="preserve">كيف نمنع تكرار العميل؟</w:t>
      </w:r>
      <w:r>
        <w:rPr>
          <w:rStyle w:val="MdBr"/>
        </w:rPr>
        <w:br/>
        <w:t xml:space="preserve"/>
      </w:r>
      <w:r>
        <w:t xml:space="preserve">بربط كل نموذج ومكالمة وWhatsApp بالـCRM، وتوحيد الهاتف والمصدر، وتنبيه التكرار قبل احتساب العميل كفرصة جديدة.</w:t>
      </w:r>
    </w:p>
    <w:p>
      <w:pPr>
        <w:pStyle w:val="MdSpace"/>
        <w:spacing w:before="0" w:after="60"/>
      </w:pPr>
    </w:p>
    <w:p>
      <w:pPr>
        <w:pStyle w:val="MdParagraph"/>
      </w:pPr>
      <w:r>
        <w:rPr>
          <w:rStyle w:val="MdStrong"/>
          <w:b/>
          <w:bCs/>
        </w:rPr>
        <w:t xml:space="preserve">هل الكلمات المفتاحية تضمن حجوزات؟</w:t>
      </w:r>
      <w:r>
        <w:rPr>
          <w:rStyle w:val="MdBr"/>
        </w:rPr>
        <w:br/>
        <w:t xml:space="preserve"/>
      </w:r>
      <w:r>
        <w:t xml:space="preserve">لا. هي وسيلة لالتقاط نية البحث. الحجز يتأثر بالسعر والتوافر والمعاينة والتسليم والمتابعة والتحصيل.</w:t>
      </w:r>
    </w:p>
    <w:p>
      <w:pPr>
        <w:pStyle w:val="MdSpace"/>
        <w:spacing w:before="0" w:after="60"/>
      </w:pPr>
    </w:p>
    <w:p>
      <w:pPr>
        <w:pStyle w:val="MdParagraph"/>
      </w:pPr>
      <w:r>
        <w:rPr>
          <w:rStyle w:val="MdStrong"/>
          <w:b/>
          <w:bCs/>
        </w:rPr>
        <w:t xml:space="preserve">متى نزيد الميزانية؟</w:t>
      </w:r>
      <w:r>
        <w:rPr>
          <w:rStyle w:val="MdBr"/>
        </w:rPr>
        <w:br/>
        <w:t xml:space="preserve"/>
      </w:r>
      <w:r>
        <w:t xml:space="preserve">بعد تقرير يوضح تحسن العملاء المؤهلين والمعاينات والحجوزات والتحصيل، وبعد موافقة الإدارة على الزيادة.</w:t>
      </w:r>
    </w:p>
    <w:p>
      <w:pPr>
        <w:pStyle w:val="MdSpace"/>
        <w:spacing w:before="0" w:after="60"/>
      </w:pPr>
    </w:p>
    <w:p>
      <w:pPr>
        <w:pStyle w:val="Heading2"/>
        <w:pStyle w:val="MdHeading2"/>
      </w:pPr>
      <w:r>
        <w:t xml:space="preserve">المراجع</w:t>
      </w:r>
    </w:p>
    <w:p>
      <w:pPr>
        <w:pStyle w:val="Heading1"/>
        <w:pStyle w:val="MdHeading1"/>
      </w:pPr>
      <w:r>
        <w:t xml:space="preserve">مصدر مدمج: cairo_plaza_meta_campaign_package.md</w:t>
      </w:r>
    </w:p>
    <w:p>
      <w:pPr>
        <w:pStyle w:val="Heading1"/>
        <w:pStyle w:val="MdHeading1"/>
      </w:pPr>
      <w:r>
        <w:t xml:space="preserve">Cairo Plaza Facebook &amp; Instagram Campaign Package</w:t>
      </w:r>
    </w:p>
    <w:p>
      <w:pPr>
        <w:pStyle w:val="MdParagraph"/>
      </w:pPr>
      <w:r>
        <w:rPr>
          <w:rStyle w:val="MdStrong"/>
          <w:b/>
          <w:bCs/>
        </w:rPr>
        <w:t xml:space="preserve">Project:</w:t>
      </w:r>
      <w:r>
        <w:t xml:space="preserve"> Cairo Plaza, Al-Matariya</w:t>
      </w:r>
      <w:r>
        <w:rPr>
          <w:rStyle w:val="MdBr"/>
        </w:rPr>
        <w:br/>
        <w:t xml:space="preserve"/>
      </w:r>
      <w:r>
        <w:rPr>
          <w:rStyle w:val="MdStrong"/>
          <w:b/>
          <w:bCs/>
        </w:rPr>
        <w:t xml:space="preserve">Campaign language:</w:t>
      </w:r>
      <w:r>
        <w:t xml:space="preserve"> Arabic customer-facing creative; English operational labels</w:t>
      </w:r>
      <w:r>
        <w:rPr>
          <w:rStyle w:val="MdBr"/>
        </w:rPr>
        <w:br/>
        <w:t xml:space="preserve"/>
      </w:r>
      <w:r>
        <w:rPr>
          <w:rStyle w:val="MdStrong"/>
          <w:b/>
          <w:bCs/>
        </w:rPr>
        <w:t xml:space="preserve">Status:</w:t>
      </w:r>
      <w:r>
        <w:t xml:space="preserve"> Draft for management approval — do not publish or spend before approval</w:t>
      </w:r>
    </w:p>
    <w:p>
      <w:pPr>
        <w:pStyle w:val="MdSpace"/>
        <w:spacing w:before="0" w:after="60"/>
      </w:pPr>
    </w:p>
    <w:p>
      <w:pPr>
        <w:pStyle w:val="MdBlockquote"/>
      </w:pPr>
      <w:r>
        <w:rPr>
          <w:rStyle w:val="MdStrong"/>
          <w:b/>
          <w:bCs/>
        </w:rPr>
        <w:t xml:space="preserve">Important:</w:t>
      </w:r>
      <w:r>
        <w:t xml:space="preserve"> All unit numbers, prices, availability, finishing status, licensing, and delivery statements must be confirmed by management before being used in an ad. Budget values are intentionally left open for approval.</w:t>
      </w:r>
    </w:p>
    <w:p>
      <w:pPr>
        <w:pStyle w:val="MdSpace"/>
        <w:spacing w:before="0" w:after="60"/>
      </w:pPr>
    </w:p>
    <w:p>
      <w:pPr>
        <w:pStyle w:val="Heading2"/>
        <w:pStyle w:val="MdHeading2"/>
      </w:pPr>
      <w:r>
        <w:t xml:space="preserve">1. Campaign objective</w:t>
      </w:r>
    </w:p>
    <w:p>
      <w:pPr>
        <w:pStyle w:val="MdParagraph"/>
      </w:pPr>
      <w:r>
        <w:t xml:space="preserve">The campaign is designed to generate qualified enquiries, property visits, and approved bookings for available administrative and commercial units. The primary conversion is not a message or reaction; it is a qualified lead that accepts a viewing and progresses toward an approved booking.</w:t>
      </w:r>
    </w:p>
    <w:p>
      <w:pPr>
        <w:pStyle w:val="MdSpace"/>
        <w:spacing w:before="0" w:after="60"/>
      </w:pPr>
    </w:p>
    <w:p>
      <w:pPr>
        <w:pStyle w:val="MdParagraph"/>
      </w:pPr>
      <w:r>
        <w:t xml:space="preserve">The six-month commercial target should be entered as </w:t>
      </w:r>
      <w:r>
        <w:rPr>
          <w:rStyle w:val="MdStrong"/>
          <w:b/>
          <w:bCs/>
        </w:rPr>
        <w:t xml:space="preserve">2 × H6</w:t>
      </w:r>
      <w:r>
        <w:t xml:space="preserve">, where H6 is the number of approved registrations or bookings during the previous six months. Meta reporting should be connected to the CRM so the team can distinguish registrations, qualified leads, viewings, offers, bookings, contracts, and collected payments.</w:t>
      </w:r>
    </w:p>
    <w:p>
      <w:pPr>
        <w:pStyle w:val="MdSpace"/>
        <w:spacing w:before="0" w:after="60"/>
      </w:pPr>
    </w:p>
    <w:p>
      <w:pPr>
        <w:pStyle w:val="Heading2"/>
        <w:pStyle w:val="MdHeading2"/>
      </w:pPr>
      <w:r>
        <w:t xml:space="preserve">2. Funnel 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Funnel stage</w:t>
            </w:r>
          </w:p>
        </w:tc>
        <w:tc>
          <w:tcPr>
            <w:tcMar>
              <w:top w:type="dxa" w:w="100"/>
              <w:left w:type="dxa" w:w="120"/>
              <w:bottom w:type="dxa" w:w="100"/>
              <w:right w:type="dxa" w:w="120"/>
            </w:tcMar>
            <w:vAlign w:val="center"/>
          </w:tcPr>
          <w:p>
            <w:pPr>
              <w:pStyle w:val="MdTableHeader"/>
            </w:pPr>
            <w:r>
              <w:t xml:space="preserve">Campaign purpose</w:t>
            </w:r>
          </w:p>
        </w:tc>
        <w:tc>
          <w:tcPr>
            <w:tcMar>
              <w:top w:type="dxa" w:w="100"/>
              <w:left w:type="dxa" w:w="120"/>
              <w:bottom w:type="dxa" w:w="100"/>
              <w:right w:type="dxa" w:w="120"/>
            </w:tcMar>
            <w:vAlign w:val="center"/>
          </w:tcPr>
          <w:p>
            <w:pPr>
              <w:pStyle w:val="MdTableHeader"/>
            </w:pPr>
            <w:r>
              <w:t xml:space="preserve">Primary KPI</w:t>
            </w:r>
          </w:p>
        </w:tc>
        <w:tc>
          <w:tcPr>
            <w:tcBorders>
              <w:right w:val="none"/>
            </w:tcBorders>
            <w:tcMar>
              <w:top w:type="dxa" w:w="100"/>
              <w:left w:type="dxa" w:w="120"/>
              <w:bottom w:type="dxa" w:w="100"/>
              <w:right w:type="dxa" w:w="120"/>
            </w:tcMar>
            <w:vAlign w:val="center"/>
          </w:tcPr>
          <w:p>
            <w:pPr>
              <w:pStyle w:val="MdTableHeader"/>
            </w:pPr>
            <w:r>
              <w:t xml:space="preserve">Suggested destination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Awareness</w:t>
            </w:r>
          </w:p>
        </w:tc>
        <w:tc>
          <w:tcPr>
            <w:tcMar>
              <w:top w:type="dxa" w:w="80"/>
              <w:left w:type="dxa" w:w="120"/>
              <w:bottom w:type="dxa" w:w="80"/>
              <w:right w:type="dxa" w:w="120"/>
            </w:tcMar>
            <w:vAlign w:val="center"/>
          </w:tcPr>
          <w:p>
            <w:pPr>
              <w:pStyle w:val="MdTableCell"/>
            </w:pPr>
            <w:r>
              <w:t xml:space="preserve">Introduce Cairo Plaza and its location</w:t>
            </w:r>
          </w:p>
        </w:tc>
        <w:tc>
          <w:tcPr>
            <w:tcMar>
              <w:top w:type="dxa" w:w="80"/>
              <w:left w:type="dxa" w:w="120"/>
              <w:bottom w:type="dxa" w:w="80"/>
              <w:right w:type="dxa" w:w="120"/>
            </w:tcMar>
            <w:vAlign w:val="center"/>
          </w:tcPr>
          <w:p>
            <w:pPr>
              <w:pStyle w:val="MdTableCell"/>
            </w:pPr>
            <w:r>
              <w:t xml:space="preserve">Reach, video completion, engaged users</w:t>
            </w:r>
          </w:p>
        </w:tc>
        <w:tc>
          <w:tcPr>
            <w:tcBorders>
              <w:right w:val="none"/>
            </w:tcBorders>
            <w:tcMar>
              <w:top w:type="dxa" w:w="80"/>
              <w:left w:type="dxa" w:w="120"/>
              <w:bottom w:type="dxa" w:w="80"/>
              <w:right w:type="dxa" w:w="120"/>
            </w:tcMar>
            <w:vAlign w:val="center"/>
          </w:tcPr>
          <w:p>
            <w:pPr>
              <w:pStyle w:val="MdTableCell"/>
            </w:pPr>
            <w:r>
              <w:t xml:space="preserve">Instagram/Facebook video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Consideration</w:t>
            </w:r>
          </w:p>
        </w:tc>
        <w:tc>
          <w:tcPr>
            <w:tcMar>
              <w:top w:type="dxa" w:w="80"/>
              <w:left w:type="dxa" w:w="120"/>
              <w:bottom w:type="dxa" w:w="80"/>
              <w:right w:type="dxa" w:w="120"/>
            </w:tcMar>
            <w:vAlign w:val="center"/>
          </w:tcPr>
          <w:p>
            <w:pPr>
              <w:pStyle w:val="MdTableCell"/>
            </w:pPr>
            <w:r>
              <w:t xml:space="preserve">Explain unit types, areas, access, and viewing process</w:t>
            </w:r>
          </w:p>
        </w:tc>
        <w:tc>
          <w:tcPr>
            <w:tcMar>
              <w:top w:type="dxa" w:w="80"/>
              <w:left w:type="dxa" w:w="120"/>
              <w:bottom w:type="dxa" w:w="80"/>
              <w:right w:type="dxa" w:w="120"/>
            </w:tcMar>
            <w:vAlign w:val="center"/>
          </w:tcPr>
          <w:p>
            <w:pPr>
              <w:pStyle w:val="MdTableCell"/>
            </w:pPr>
            <w:r>
              <w:t xml:space="preserve">Landing-page views, WhatsApp starts, qualified enquiries</w:t>
            </w:r>
          </w:p>
        </w:tc>
        <w:tc>
          <w:tcPr>
            <w:tcBorders>
              <w:right w:val="none"/>
            </w:tcBorders>
            <w:tcMar>
              <w:top w:type="dxa" w:w="80"/>
              <w:left w:type="dxa" w:w="120"/>
              <w:bottom w:type="dxa" w:w="80"/>
              <w:right w:type="dxa" w:w="120"/>
            </w:tcMar>
            <w:vAlign w:val="center"/>
          </w:tcPr>
          <w:p>
            <w:pPr>
              <w:pStyle w:val="MdTableCell"/>
            </w:pPr>
            <w:r>
              <w:t xml:space="preserve">WhatsApp or instant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Conversion</w:t>
            </w:r>
          </w:p>
        </w:tc>
        <w:tc>
          <w:tcPr>
            <w:tcMar>
              <w:top w:type="dxa" w:w="80"/>
              <w:left w:type="dxa" w:w="120"/>
              <w:bottom w:type="dxa" w:w="80"/>
              <w:right w:type="dxa" w:w="120"/>
            </w:tcMar>
            <w:vAlign w:val="center"/>
          </w:tcPr>
          <w:p>
            <w:pPr>
              <w:pStyle w:val="MdTableCell"/>
            </w:pPr>
            <w:r>
              <w:t xml:space="preserve">Book a viewing or request a confirmed unit list</w:t>
            </w:r>
          </w:p>
        </w:tc>
        <w:tc>
          <w:tcPr>
            <w:tcMar>
              <w:top w:type="dxa" w:w="80"/>
              <w:left w:type="dxa" w:w="120"/>
              <w:bottom w:type="dxa" w:w="80"/>
              <w:right w:type="dxa" w:w="120"/>
            </w:tcMar>
            <w:vAlign w:val="center"/>
          </w:tcPr>
          <w:p>
            <w:pPr>
              <w:pStyle w:val="MdTableCell"/>
            </w:pPr>
            <w:r>
              <w:t xml:space="preserve">Qualified leads, viewings, approved bookings</w:t>
            </w:r>
          </w:p>
        </w:tc>
        <w:tc>
          <w:tcPr>
            <w:tcBorders>
              <w:right w:val="none"/>
            </w:tcBorders>
            <w:tcMar>
              <w:top w:type="dxa" w:w="80"/>
              <w:left w:type="dxa" w:w="120"/>
              <w:bottom w:type="dxa" w:w="80"/>
              <w:right w:type="dxa" w:w="120"/>
            </w:tcMar>
            <w:vAlign w:val="center"/>
          </w:tcPr>
          <w:p>
            <w:pPr>
              <w:pStyle w:val="MdTableCell"/>
            </w:pPr>
            <w:r>
              <w:t xml:space="preserve">Lead form + WhatsApp</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Retargeting</w:t>
            </w:r>
          </w:p>
        </w:tc>
        <w:tc>
          <w:tcPr>
            <w:tcBorders>
              <w:bottom w:val="single" w:color="E1E4E8" w:sz="4"/>
            </w:tcBorders>
            <w:tcMar>
              <w:top w:type="dxa" w:w="80"/>
              <w:left w:type="dxa" w:w="120"/>
              <w:bottom w:type="dxa" w:w="80"/>
              <w:right w:type="dxa" w:w="120"/>
            </w:tcMar>
            <w:vAlign w:val="center"/>
          </w:tcPr>
          <w:p>
            <w:pPr>
              <w:pStyle w:val="MdTableCell"/>
            </w:pPr>
            <w:r>
              <w:t xml:space="preserve">Re-engage people who watched, clicked, messaged, or opened a form</w:t>
            </w:r>
          </w:p>
        </w:tc>
        <w:tc>
          <w:tcPr>
            <w:tcBorders>
              <w:bottom w:val="single" w:color="E1E4E8" w:sz="4"/>
            </w:tcBorders>
            <w:tcMar>
              <w:top w:type="dxa" w:w="80"/>
              <w:left w:type="dxa" w:w="120"/>
              <w:bottom w:type="dxa" w:w="80"/>
              <w:right w:type="dxa" w:w="120"/>
            </w:tcMar>
            <w:vAlign w:val="center"/>
          </w:tcPr>
          <w:p>
            <w:pPr>
              <w:pStyle w:val="MdTableCell"/>
            </w:pPr>
            <w:r>
              <w:t xml:space="preserve">Cost per qualified lead, viewing rate, booking rate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WhatsApp or call</w:t>
            </w:r>
          </w:p>
        </w:tc>
      </w:tr>
    </w:tbl>
    <w:p>
      <w:pPr>
        <w:pStyle w:val="Heading2"/>
        <w:pStyle w:val="MdHeading2"/>
      </w:pPr>
      <w:r>
        <w:t xml:space="preserve">3. Campaign architecture in Meta Ads Manager</w:t>
      </w:r>
    </w:p>
    <w:p>
      <w:pPr>
        <w:pStyle w:val="Heading3"/>
        <w:pStyle w:val="MdHeading3"/>
      </w:pPr>
      <w:r>
        <w:t xml:space="preserve">Campaign A — Commercial units</w:t>
      </w:r>
    </w:p>
    <w:p>
      <w:pPr>
        <w:pStyle w:val="MdParagraph"/>
      </w:pPr>
      <w:r>
        <w:rPr>
          <w:rStyle w:val="MdStrong"/>
          <w:b/>
          <w:bCs/>
        </w:rPr>
        <w:t xml:space="preserve">Objective:</w:t>
      </w:r>
      <w:r>
        <w:t xml:space="preserve"> Leads.</w:t>
      </w:r>
      <w:r>
        <w:rPr>
          <w:rStyle w:val="MdBr"/>
        </w:rPr>
        <w:br/>
        <w:t xml:space="preserve"/>
      </w:r>
      <w:r>
        <w:rPr>
          <w:rStyle w:val="MdStrong"/>
          <w:b/>
          <w:bCs/>
        </w:rPr>
        <w:t xml:space="preserve">Ad sets:</w:t>
      </w:r>
      <w:r>
        <w:t xml:space="preserve"> Ground-floor retail; first-floor retail; brands and expansion; pharmacies and food businesses.</w:t>
      </w:r>
      <w:r>
        <w:rPr>
          <w:rStyle w:val="MdBr"/>
        </w:rPr>
        <w:br/>
        <w:t xml:space="preserve"/>
      </w:r>
      <w:r>
        <w:rPr>
          <w:rStyle w:val="MdStrong"/>
          <w:b/>
          <w:bCs/>
        </w:rPr>
        <w:t xml:space="preserve">Creative:</w:t>
      </w:r>
      <w:r>
        <w:t xml:space="preserve"> Real exterior, frontage, access route, and verified unit images.</w:t>
      </w:r>
      <w:r>
        <w:rPr>
          <w:rStyle w:val="MdBr"/>
        </w:rPr>
        <w:br/>
        <w:t xml:space="preserve"/>
      </w:r>
      <w:r>
        <w:rPr>
          <w:rStyle w:val="MdStrong"/>
          <w:b/>
          <w:bCs/>
        </w:rPr>
        <w:t xml:space="preserve">CTA:</w:t>
      </w:r>
      <w:r>
        <w:t xml:space="preserve"> “Request the confirmed unit list” / «اطلب كشف الوحدات المؤكد».</w:t>
      </w:r>
    </w:p>
    <w:p>
      <w:pPr>
        <w:pStyle w:val="MdSpace"/>
        <w:spacing w:before="0" w:after="60"/>
      </w:pPr>
    </w:p>
    <w:p>
      <w:pPr>
        <w:pStyle w:val="Heading3"/>
        <w:pStyle w:val="MdHeading3"/>
      </w:pPr>
      <w:r>
        <w:t xml:space="preserve">Campaign B — Administrative units</w:t>
      </w:r>
    </w:p>
    <w:p>
      <w:pPr>
        <w:pStyle w:val="MdParagraph"/>
      </w:pPr>
      <w:r>
        <w:rPr>
          <w:rStyle w:val="MdStrong"/>
          <w:b/>
          <w:bCs/>
        </w:rPr>
        <w:t xml:space="preserve">Objective:</w:t>
      </w:r>
      <w:r>
        <w:t xml:space="preserve"> Leads.</w:t>
      </w:r>
      <w:r>
        <w:rPr>
          <w:rStyle w:val="MdBr"/>
        </w:rPr>
        <w:br/>
        <w:t xml:space="preserve"/>
      </w:r>
      <w:r>
        <w:rPr>
          <w:rStyle w:val="MdStrong"/>
          <w:b/>
          <w:bCs/>
        </w:rPr>
        <w:t xml:space="preserve">Ad sets:</w:t>
      </w:r>
      <w:r>
        <w:t xml:space="preserve"> Offices; clinics and medical activities; professional services; small and medium businesses.</w:t>
      </w:r>
      <w:r>
        <w:rPr>
          <w:rStyle w:val="MdBr"/>
        </w:rPr>
        <w:br/>
        <w:t xml:space="preserve"/>
      </w:r>
      <w:r>
        <w:rPr>
          <w:rStyle w:val="MdStrong"/>
          <w:b/>
          <w:bCs/>
        </w:rPr>
        <w:t xml:space="preserve">Creative:</w:t>
      </w:r>
      <w:r>
        <w:t xml:space="preserve"> Real building and internal unit images, with area and status shown only after confirmation.</w:t>
      </w:r>
      <w:r>
        <w:rPr>
          <w:rStyle w:val="MdBr"/>
        </w:rPr>
        <w:br/>
        <w:t xml:space="preserve"/>
      </w:r>
      <w:r>
        <w:rPr>
          <w:rStyle w:val="MdStrong"/>
          <w:b/>
          <w:bCs/>
        </w:rPr>
        <w:t xml:space="preserve">CTA:</w:t>
      </w:r>
      <w:r>
        <w:t xml:space="preserve"> “Book a viewing” / «احجز معاينة».</w:t>
      </w:r>
    </w:p>
    <w:p>
      <w:pPr>
        <w:pStyle w:val="MdSpace"/>
        <w:spacing w:before="0" w:after="60"/>
      </w:pPr>
    </w:p>
    <w:p>
      <w:pPr>
        <w:pStyle w:val="Heading3"/>
        <w:pStyle w:val="MdHeading3"/>
      </w:pPr>
      <w:r>
        <w:t xml:space="preserve">Campaign C — Broker recruitment</w:t>
      </w:r>
    </w:p>
    <w:p>
      <w:pPr>
        <w:pStyle w:val="MdParagraph"/>
      </w:pPr>
      <w:r>
        <w:rPr>
          <w:rStyle w:val="MdStrong"/>
          <w:b/>
          <w:bCs/>
        </w:rPr>
        <w:t xml:space="preserve">Objective:</w:t>
      </w:r>
      <w:r>
        <w:t xml:space="preserve"> Leads or messages.</w:t>
      </w:r>
      <w:r>
        <w:rPr>
          <w:rStyle w:val="MdBr"/>
        </w:rPr>
        <w:br/>
        <w:t xml:space="preserve"/>
      </w:r>
      <w:r>
        <w:rPr>
          <w:rStyle w:val="MdStrong"/>
          <w:b/>
          <w:bCs/>
        </w:rPr>
        <w:t xml:space="preserve">Audience:</w:t>
      </w:r>
      <w:r>
        <w:t xml:space="preserve"> Real-estate brokers and brokerage offices operating in Cairo and surrounding districts.</w:t>
      </w:r>
      <w:r>
        <w:rPr>
          <w:rStyle w:val="MdBr"/>
        </w:rPr>
        <w:br/>
        <w:t xml:space="preserve"/>
      </w:r>
      <w:r>
        <w:rPr>
          <w:rStyle w:val="MdStrong"/>
          <w:b/>
          <w:bCs/>
        </w:rPr>
        <w:t xml:space="preserve">Creative:</w:t>
      </w:r>
      <w:r>
        <w:t xml:space="preserve"> Updated inventory process, dedicated follow-up contact, and written commission policy.</w:t>
      </w:r>
      <w:r>
        <w:rPr>
          <w:rStyle w:val="MdBr"/>
        </w:rPr>
        <w:br/>
        <w:t xml:space="preserve"/>
      </w:r>
      <w:r>
        <w:rPr>
          <w:rStyle w:val="MdStrong"/>
          <w:b/>
          <w:bCs/>
        </w:rPr>
        <w:t xml:space="preserve">CTA:</w:t>
      </w:r>
      <w:r>
        <w:t xml:space="preserve"> “Register as an approved broker” / «سجل كبروكر معتمد».</w:t>
      </w:r>
    </w:p>
    <w:p>
      <w:pPr>
        <w:pStyle w:val="MdSpace"/>
        <w:spacing w:before="0" w:after="60"/>
      </w:pPr>
    </w:p>
    <w:p>
      <w:pPr>
        <w:pStyle w:val="Heading3"/>
        <w:pStyle w:val="MdHeading3"/>
      </w:pPr>
      <w:r>
        <w:t xml:space="preserve">Campaign D — Retargeting</w:t>
      </w:r>
    </w:p>
    <w:p>
      <w:pPr>
        <w:pStyle w:val="MdParagraph"/>
      </w:pPr>
      <w:r>
        <w:rPr>
          <w:rStyle w:val="MdStrong"/>
          <w:b/>
          <w:bCs/>
        </w:rPr>
        <w:t xml:space="preserve">Objective:</w:t>
      </w:r>
      <w:r>
        <w:t xml:space="preserve"> Leads or messages.</w:t>
      </w:r>
      <w:r>
        <w:rPr>
          <w:rStyle w:val="MdBr"/>
        </w:rPr>
        <w:br/>
        <w:t xml:space="preserve"/>
      </w:r>
      <w:r>
        <w:rPr>
          <w:rStyle w:val="MdStrong"/>
          <w:b/>
          <w:bCs/>
        </w:rPr>
        <w:t xml:space="preserve">Audiences:</w:t>
      </w:r>
      <w:r>
        <w:t xml:space="preserve"> Video viewers, page engagers, Instagram engagers, website visitors, form openers who did not submit, and WhatsApp conversations without a viewing.</w:t>
      </w:r>
      <w:r>
        <w:rPr>
          <w:rStyle w:val="MdBr"/>
        </w:rPr>
        <w:br/>
        <w:t xml:space="preserve"/>
      </w:r>
      <w:r>
        <w:rPr>
          <w:rStyle w:val="MdStrong"/>
          <w:b/>
          <w:bCs/>
        </w:rPr>
        <w:t xml:space="preserve">Creative:</w:t>
      </w:r>
      <w:r>
        <w:t xml:space="preserve"> FAQs, viewing invitation, confirmed-unit process, and response to common objections.</w:t>
      </w:r>
    </w:p>
    <w:p>
      <w:pPr>
        <w:pStyle w:val="MdSpace"/>
        <w:spacing w:before="0" w:after="60"/>
      </w:pPr>
    </w:p>
    <w:p>
      <w:pPr>
        <w:pStyle w:val="Heading2"/>
        <w:pStyle w:val="MdHeading2"/>
      </w:pPr>
      <w:r>
        <w:t xml:space="preserve">4. Audience framework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Segment</w:t>
            </w:r>
          </w:p>
        </w:tc>
        <w:tc>
          <w:tcPr>
            <w:tcMar>
              <w:top w:type="dxa" w:w="100"/>
              <w:left w:type="dxa" w:w="120"/>
              <w:bottom w:type="dxa" w:w="100"/>
              <w:right w:type="dxa" w:w="120"/>
            </w:tcMar>
            <w:vAlign w:val="center"/>
          </w:tcPr>
          <w:p>
            <w:pPr>
              <w:pStyle w:val="MdTableHeader"/>
            </w:pPr>
            <w:r>
              <w:t xml:space="preserve">Audience description</w:t>
            </w:r>
          </w:p>
        </w:tc>
        <w:tc>
          <w:tcPr>
            <w:tcBorders>
              <w:right w:val="none"/>
            </w:tcBorders>
            <w:tcMar>
              <w:top w:type="dxa" w:w="100"/>
              <w:left w:type="dxa" w:w="120"/>
              <w:bottom w:type="dxa" w:w="100"/>
              <w:right w:type="dxa" w:w="120"/>
            </w:tcMar>
            <w:vAlign w:val="center"/>
          </w:tcPr>
          <w:p>
            <w:pPr>
              <w:pStyle w:val="MdTableHeader"/>
            </w:pPr>
            <w:r>
              <w:t xml:space="preserve">Message angle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Brand decision-makers</w:t>
            </w:r>
          </w:p>
        </w:tc>
        <w:tc>
          <w:tcPr>
            <w:tcMar>
              <w:top w:type="dxa" w:w="80"/>
              <w:left w:type="dxa" w:w="120"/>
              <w:bottom w:type="dxa" w:w="80"/>
              <w:right w:type="dxa" w:w="120"/>
            </w:tcMar>
            <w:vAlign w:val="center"/>
          </w:tcPr>
          <w:p>
            <w:pPr>
              <w:pStyle w:val="MdTableCell"/>
            </w:pPr>
            <w:r>
              <w:t xml:space="preserve">Owners, expansion managers, retail operators, and franchise teams</w:t>
            </w:r>
          </w:p>
        </w:tc>
        <w:tc>
          <w:tcPr>
            <w:tcBorders>
              <w:right w:val="none"/>
            </w:tcBorders>
            <w:tcMar>
              <w:top w:type="dxa" w:w="80"/>
              <w:left w:type="dxa" w:w="120"/>
              <w:bottom w:type="dxa" w:w="80"/>
              <w:right w:type="dxa" w:w="120"/>
            </w:tcMar>
            <w:vAlign w:val="center"/>
          </w:tcPr>
          <w:p>
            <w:pPr>
              <w:pStyle w:val="MdTableCell"/>
            </w:pPr>
            <w:r>
              <w:t xml:space="preserve">“Evaluate a new location for your next branch.”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retailers</w:t>
            </w:r>
          </w:p>
        </w:tc>
        <w:tc>
          <w:tcPr>
            <w:tcMar>
              <w:top w:type="dxa" w:w="80"/>
              <w:left w:type="dxa" w:w="120"/>
              <w:bottom w:type="dxa" w:w="80"/>
              <w:right w:type="dxa" w:w="120"/>
            </w:tcMar>
            <w:vAlign w:val="center"/>
          </w:tcPr>
          <w:p>
            <w:pPr>
              <w:pStyle w:val="MdTableCell"/>
            </w:pPr>
            <w:r>
              <w:t xml:space="preserve">Shop owners, pharmacies, restaurants, food businesses, and clothing retailers</w:t>
            </w:r>
          </w:p>
        </w:tc>
        <w:tc>
          <w:tcPr>
            <w:tcBorders>
              <w:right w:val="none"/>
            </w:tcBorders>
            <w:tcMar>
              <w:top w:type="dxa" w:w="80"/>
              <w:left w:type="dxa" w:w="120"/>
              <w:bottom w:type="dxa" w:w="80"/>
              <w:right w:type="dxa" w:w="120"/>
            </w:tcMar>
            <w:vAlign w:val="center"/>
          </w:tcPr>
          <w:p>
            <w:pPr>
              <w:pStyle w:val="MdTableCell"/>
            </w:pPr>
            <w:r>
              <w:t xml:space="preserve">“Review available commercial units and arrange a viewing.”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Doctors and clinics</w:t>
            </w:r>
          </w:p>
        </w:tc>
        <w:tc>
          <w:tcPr>
            <w:tcMar>
              <w:top w:type="dxa" w:w="80"/>
              <w:left w:type="dxa" w:w="120"/>
              <w:bottom w:type="dxa" w:w="80"/>
              <w:right w:type="dxa" w:w="120"/>
            </w:tcMar>
            <w:vAlign w:val="center"/>
          </w:tcPr>
          <w:p>
            <w:pPr>
              <w:pStyle w:val="MdTableCell"/>
            </w:pPr>
            <w:r>
              <w:t xml:space="preserve">Doctors, clinic owners, laboratories, and medical-service operators</w:t>
            </w:r>
          </w:p>
        </w:tc>
        <w:tc>
          <w:tcPr>
            <w:tcBorders>
              <w:right w:val="none"/>
            </w:tcBorders>
            <w:tcMar>
              <w:top w:type="dxa" w:w="80"/>
              <w:left w:type="dxa" w:w="120"/>
              <w:bottom w:type="dxa" w:w="80"/>
              <w:right w:type="dxa" w:w="120"/>
            </w:tcMar>
            <w:vAlign w:val="center"/>
          </w:tcPr>
          <w:p>
            <w:pPr>
              <w:pStyle w:val="MdTableCell"/>
            </w:pPr>
            <w:r>
              <w:t xml:space="preserve">“Explore administrative space; confirm licensing and suitability before contracting.”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Professional offices</w:t>
            </w:r>
          </w:p>
        </w:tc>
        <w:tc>
          <w:tcPr>
            <w:tcMar>
              <w:top w:type="dxa" w:w="80"/>
              <w:left w:type="dxa" w:w="120"/>
              <w:bottom w:type="dxa" w:w="80"/>
              <w:right w:type="dxa" w:w="120"/>
            </w:tcMar>
            <w:vAlign w:val="center"/>
          </w:tcPr>
          <w:p>
            <w:pPr>
              <w:pStyle w:val="MdTableCell"/>
            </w:pPr>
            <w:r>
              <w:t xml:space="preserve">Lawyers, accountants, consultants, training providers, and service companies</w:t>
            </w:r>
          </w:p>
        </w:tc>
        <w:tc>
          <w:tcPr>
            <w:tcBorders>
              <w:right w:val="none"/>
            </w:tcBorders>
            <w:tcMar>
              <w:top w:type="dxa" w:w="80"/>
              <w:left w:type="dxa" w:w="120"/>
              <w:bottom w:type="dxa" w:w="80"/>
              <w:right w:type="dxa" w:w="120"/>
            </w:tcMar>
            <w:vAlign w:val="center"/>
          </w:tcPr>
          <w:p>
            <w:pPr>
              <w:pStyle w:val="MdTableCell"/>
            </w:pPr>
            <w:r>
              <w:t xml:space="preserve">“Find an administrative unit that fits your team and activity.”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Warm audiences</w:t>
            </w:r>
          </w:p>
        </w:tc>
        <w:tc>
          <w:tcPr>
            <w:tcMar>
              <w:top w:type="dxa" w:w="80"/>
              <w:left w:type="dxa" w:w="120"/>
              <w:bottom w:type="dxa" w:w="80"/>
              <w:right w:type="dxa" w:w="120"/>
            </w:tcMar>
            <w:vAlign w:val="center"/>
          </w:tcPr>
          <w:p>
            <w:pPr>
              <w:pStyle w:val="MdTableCell"/>
            </w:pPr>
            <w:r>
              <w:t xml:space="preserve">People who watched, engaged, clicked, messaged, or opened a form</w:t>
            </w:r>
          </w:p>
        </w:tc>
        <w:tc>
          <w:tcPr>
            <w:tcBorders>
              <w:right w:val="none"/>
            </w:tcBorders>
            <w:tcMar>
              <w:top w:type="dxa" w:w="80"/>
              <w:left w:type="dxa" w:w="120"/>
              <w:bottom w:type="dxa" w:w="80"/>
              <w:right w:type="dxa" w:w="120"/>
            </w:tcMar>
            <w:vAlign w:val="center"/>
          </w:tcPr>
          <w:p>
            <w:pPr>
              <w:pStyle w:val="MdTableCell"/>
            </w:pPr>
            <w:r>
              <w:t xml:space="preserve">“You asked about Cairo Plaza — book your viewing or request the latest confirmed list.”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Brokers</w:t>
            </w:r>
          </w:p>
        </w:tc>
        <w:tc>
          <w:tcPr>
            <w:tcBorders>
              <w:bottom w:val="single" w:color="E1E4E8" w:sz="4"/>
            </w:tcBorders>
            <w:tcMar>
              <w:top w:type="dxa" w:w="80"/>
              <w:left w:type="dxa" w:w="120"/>
              <w:bottom w:type="dxa" w:w="80"/>
              <w:right w:type="dxa" w:w="120"/>
            </w:tcMar>
            <w:vAlign w:val="center"/>
          </w:tcPr>
          <w:p>
            <w:pPr>
              <w:pStyle w:val="MdTableCell"/>
            </w:pPr>
            <w:r>
              <w:t xml:space="preserve">Local brokers and agencies with active buyers or tenants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“Work from an updated inventory with a clear registration and commission process.”</w:t>
            </w:r>
          </w:p>
        </w:tc>
      </w:tr>
    </w:tbl>
    <w:p>
      <w:pPr>
        <w:pStyle w:val="MdParagraph"/>
      </w:pPr>
      <w:r>
        <w:t xml:space="preserve">Do not rely on sensitive personal attributes or imply that a person has a medical condition, financial problem, or other protected characteristic. Use professional interests, business context, geography, behaviour, and first-party engagement where permitted by the platform.</w:t>
      </w:r>
    </w:p>
    <w:p>
      <w:pPr>
        <w:pStyle w:val="MdSpace"/>
        <w:spacing w:before="0" w:after="60"/>
      </w:pPr>
    </w:p>
    <w:p>
      <w:pPr>
        <w:pStyle w:val="Heading2"/>
        <w:pStyle w:val="MdHeading2"/>
      </w:pPr>
      <w:r>
        <w:t xml:space="preserve">5. Creative system</w:t>
      </w:r>
    </w:p>
    <w:p>
      <w:pPr>
        <w:pStyle w:val="Heading3"/>
        <w:pStyle w:val="MdHeading3"/>
      </w:pPr>
      <w:r>
        <w:t xml:space="preserve">Creative format mix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Format</w:t>
            </w:r>
          </w:p>
        </w:tc>
        <w:tc>
          <w:tcPr>
            <w:tcMar>
              <w:top w:type="dxa" w:w="100"/>
              <w:left w:type="dxa" w:w="120"/>
              <w:bottom w:type="dxa" w:w="100"/>
              <w:right w:type="dxa" w:w="120"/>
            </w:tcMar>
            <w:vAlign w:val="center"/>
          </w:tcPr>
          <w:p>
            <w:pPr>
              <w:pStyle w:val="MdTableHeader"/>
            </w:pPr>
            <w:r>
              <w:t xml:space="preserve">Use</w:t>
            </w:r>
          </w:p>
        </w:tc>
        <w:tc>
          <w:tcPr>
            <w:tcBorders>
              <w:right w:val="none"/>
            </w:tcBorders>
            <w:tcMar>
              <w:top w:type="dxa" w:w="100"/>
              <w:left w:type="dxa" w:w="120"/>
              <w:bottom w:type="dxa" w:w="100"/>
              <w:right w:type="dxa" w:w="120"/>
            </w:tcMar>
            <w:vAlign w:val="center"/>
          </w:tcPr>
          <w:p>
            <w:pPr>
              <w:pStyle w:val="MdTableHeader"/>
            </w:pPr>
            <w:r>
              <w:t xml:space="preserve">Production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9:16 Reel</w:t>
            </w:r>
          </w:p>
        </w:tc>
        <w:tc>
          <w:tcPr>
            <w:tcMar>
              <w:top w:type="dxa" w:w="80"/>
              <w:left w:type="dxa" w:w="120"/>
              <w:bottom w:type="dxa" w:w="80"/>
              <w:right w:type="dxa" w:w="120"/>
            </w:tcMar>
            <w:vAlign w:val="center"/>
          </w:tcPr>
          <w:p>
            <w:pPr>
              <w:pStyle w:val="MdTableCell"/>
            </w:pPr>
            <w:r>
              <w:t xml:space="preserve">Fast site introduction and viewing invitation</w:t>
            </w:r>
          </w:p>
        </w:tc>
        <w:tc>
          <w:tcPr>
            <w:tcBorders>
              <w:right w:val="none"/>
            </w:tcBorders>
            <w:tcMar>
              <w:top w:type="dxa" w:w="80"/>
              <w:left w:type="dxa" w:w="120"/>
              <w:bottom w:type="dxa" w:w="80"/>
              <w:right w:type="dxa" w:w="120"/>
            </w:tcMar>
            <w:vAlign w:val="center"/>
          </w:tcPr>
          <w:p>
            <w:pPr>
              <w:pStyle w:val="MdTableCell"/>
            </w:pPr>
            <w:r>
              <w:t xml:space="preserve">20–30 seconds, subtitles, real footage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 or 4:5 image</w:t>
            </w:r>
          </w:p>
        </w:tc>
        <w:tc>
          <w:tcPr>
            <w:tcMar>
              <w:top w:type="dxa" w:w="80"/>
              <w:left w:type="dxa" w:w="120"/>
              <w:bottom w:type="dxa" w:w="80"/>
              <w:right w:type="dxa" w:w="120"/>
            </w:tcMar>
            <w:vAlign w:val="center"/>
          </w:tcPr>
          <w:p>
            <w:pPr>
              <w:pStyle w:val="MdTableCell"/>
            </w:pPr>
            <w:r>
              <w:t xml:space="preserve">Unit category and key facts</w:t>
            </w:r>
          </w:p>
        </w:tc>
        <w:tc>
          <w:tcPr>
            <w:tcBorders>
              <w:right w:val="none"/>
            </w:tcBorders>
            <w:tcMar>
              <w:top w:type="dxa" w:w="80"/>
              <w:left w:type="dxa" w:w="120"/>
              <w:bottom w:type="dxa" w:w="80"/>
              <w:right w:type="dxa" w:w="120"/>
            </w:tcMar>
            <w:vAlign w:val="center"/>
          </w:tcPr>
          <w:p>
            <w:pPr>
              <w:pStyle w:val="MdTableCell"/>
            </w:pPr>
            <w:r>
              <w:t xml:space="preserve">One clear headline, one CTA, verified data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Carousel</w:t>
            </w:r>
          </w:p>
        </w:tc>
        <w:tc>
          <w:tcPr>
            <w:tcMar>
              <w:top w:type="dxa" w:w="80"/>
              <w:left w:type="dxa" w:w="120"/>
              <w:bottom w:type="dxa" w:w="80"/>
              <w:right w:type="dxa" w:w="120"/>
            </w:tcMar>
            <w:vAlign w:val="center"/>
          </w:tcPr>
          <w:p>
            <w:pPr>
              <w:pStyle w:val="MdTableCell"/>
            </w:pPr>
            <w:r>
              <w:t xml:space="preserve">Compare administrative, ground retail, and first-floor retail</w:t>
            </w:r>
          </w:p>
        </w:tc>
        <w:tc>
          <w:tcPr>
            <w:tcBorders>
              <w:right w:val="none"/>
            </w:tcBorders>
            <w:tcMar>
              <w:top w:type="dxa" w:w="80"/>
              <w:left w:type="dxa" w:w="120"/>
              <w:bottom w:type="dxa" w:w="80"/>
              <w:right w:type="dxa" w:w="120"/>
            </w:tcMar>
            <w:vAlign w:val="center"/>
          </w:tcPr>
          <w:p>
            <w:pPr>
              <w:pStyle w:val="MdTableCell"/>
            </w:pPr>
            <w:r>
              <w:t xml:space="preserve">One unit category per card, no unverified claims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Story</w:t>
            </w:r>
          </w:p>
        </w:tc>
        <w:tc>
          <w:tcPr>
            <w:tcMar>
              <w:top w:type="dxa" w:w="80"/>
              <w:left w:type="dxa" w:w="120"/>
              <w:bottom w:type="dxa" w:w="80"/>
              <w:right w:type="dxa" w:w="120"/>
            </w:tcMar>
            <w:vAlign w:val="center"/>
          </w:tcPr>
          <w:p>
            <w:pPr>
              <w:pStyle w:val="MdTableCell"/>
            </w:pPr>
            <w:r>
              <w:t xml:space="preserve">Short reminder and lead capture</w:t>
            </w:r>
          </w:p>
        </w:tc>
        <w:tc>
          <w:tcPr>
            <w:tcBorders>
              <w:right w:val="none"/>
            </w:tcBorders>
            <w:tcMar>
              <w:top w:type="dxa" w:w="80"/>
              <w:left w:type="dxa" w:w="120"/>
              <w:bottom w:type="dxa" w:w="80"/>
              <w:right w:type="dxa" w:w="120"/>
            </w:tcMar>
            <w:vAlign w:val="center"/>
          </w:tcPr>
          <w:p>
            <w:pPr>
              <w:pStyle w:val="MdTableCell"/>
            </w:pPr>
            <w:r>
              <w:t xml:space="preserve">Single message, phone/WhatsApp CTA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Lead form</w:t>
            </w:r>
          </w:p>
        </w:tc>
        <w:tc>
          <w:tcPr>
            <w:tcBorders>
              <w:bottom w:val="single" w:color="E1E4E8" w:sz="4"/>
            </w:tcBorders>
            <w:tcMar>
              <w:top w:type="dxa" w:w="80"/>
              <w:left w:type="dxa" w:w="120"/>
              <w:bottom w:type="dxa" w:w="80"/>
              <w:right w:type="dxa" w:w="120"/>
            </w:tcMar>
            <w:vAlign w:val="center"/>
          </w:tcPr>
          <w:p>
            <w:pPr>
              <w:pStyle w:val="MdTableCell"/>
            </w:pPr>
            <w:r>
              <w:t xml:space="preserve">Capture business need and viewing intent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Six or fewer essential questions</w:t>
            </w:r>
          </w:p>
        </w:tc>
      </w:tr>
    </w:tbl>
    <w:p>
      <w:pPr>
        <w:pStyle w:val="Heading3"/>
        <w:pStyle w:val="MdHeading3"/>
      </w:pPr>
      <w:r>
        <w:t xml:space="preserve">Video concept: “Your next location starts here”</w:t>
      </w:r>
    </w:p>
    <w:p>
      <w:pPr>
        <w:pStyle w:val="MdParagraph"/>
      </w:pPr>
      <w:r>
        <w:rPr>
          <w:rStyle w:val="MdStrong"/>
          <w:b/>
          <w:bCs/>
        </w:rPr>
        <w:t xml:space="preserve">Opening:</w:t>
      </w:r>
      <w:r>
        <w:t xml:space="preserve"> Exterior view and access route.</w:t>
      </w:r>
      <w:r>
        <w:rPr>
          <w:rStyle w:val="MdBr"/>
        </w:rPr>
        <w:br/>
        <w:t xml:space="preserve"/>
      </w:r>
      <w:r>
        <w:rPr>
          <w:rStyle w:val="MdStrong"/>
          <w:b/>
          <w:bCs/>
        </w:rPr>
        <w:t xml:space="preserve">Voiceover/text:</w:t>
      </w:r>
      <w:r>
        <w:t xml:space="preserve"> «بتدور على مقر أو محل في المطرية؟»</w:t>
      </w:r>
      <w:r>
        <w:rPr>
          <w:rStyle w:val="MdBr"/>
        </w:rPr>
        <w:br/>
        <w:t xml:space="preserve"/>
      </w:r>
      <w:r>
        <w:rPr>
          <w:rStyle w:val="MdStrong"/>
          <w:b/>
          <w:bCs/>
        </w:rPr>
        <w:t xml:space="preserve">Middle:</w:t>
      </w:r>
      <w:r>
        <w:t xml:space="preserve"> Real unit and building footage.</w:t>
      </w:r>
      <w:r>
        <w:rPr>
          <w:rStyle w:val="MdBr"/>
        </w:rPr>
        <w:br/>
        <w:t xml:space="preserve"/>
      </w:r>
      <w:r>
        <w:rPr>
          <w:rStyle w:val="MdStrong"/>
          <w:b/>
          <w:bCs/>
        </w:rPr>
        <w:t xml:space="preserve">Text:</w:t>
      </w:r>
      <w:r>
        <w:t xml:space="preserve"> «وحدات إدارية وتجارية بمساحات مختلفة — حسب التوافر والتأكيد.»</w:t>
      </w:r>
      <w:r>
        <w:rPr>
          <w:rStyle w:val="MdBr"/>
        </w:rPr>
        <w:br/>
        <w:t xml:space="preserve"/>
      </w:r>
      <w:r>
        <w:rPr>
          <w:rStyle w:val="MdStrong"/>
          <w:b/>
          <w:bCs/>
        </w:rPr>
        <w:t xml:space="preserve">Trust frame:</w:t>
      </w:r>
      <w:r>
        <w:t xml:space="preserve"> «المساحة والسعر وحالة الوحدة يتم تأكيدها قبل العرض.»</w:t>
      </w:r>
      <w:r>
        <w:rPr>
          <w:rStyle w:val="MdBr"/>
        </w:rPr>
        <w:br/>
        <w:t xml:space="preserve"/>
      </w:r>
      <w:r>
        <w:rPr>
          <w:rStyle w:val="MdStrong"/>
          <w:b/>
          <w:bCs/>
        </w:rPr>
        <w:t xml:space="preserve">Closing:</w:t>
      </w:r>
      <w:r>
        <w:t xml:space="preserve"> «اطلب كشف الوحدات المؤكد واحجز معاينتك.»</w:t>
      </w:r>
      <w:r>
        <w:rPr>
          <w:rStyle w:val="MdBr"/>
        </w:rPr>
        <w:br/>
        <w:t xml:space="preserve"/>
      </w:r>
      <w:r>
        <w:rPr>
          <w:rStyle w:val="MdStrong"/>
          <w:b/>
          <w:bCs/>
        </w:rPr>
        <w:t xml:space="preserve">Final frame:</w:t>
      </w:r>
      <w:r>
        <w:t xml:space="preserve"> Approved phone number, WhatsApp button, and campaign code.</w:t>
      </w:r>
    </w:p>
    <w:p>
      <w:pPr>
        <w:pStyle w:val="MdSpace"/>
        <w:spacing w:before="0" w:after="60"/>
      </w:pPr>
    </w:p>
    <w:p>
      <w:pPr>
        <w:pStyle w:val="Heading3"/>
        <w:pStyle w:val="MdHeading3"/>
      </w:pPr>
      <w:r>
        <w:t xml:space="preserve">Static visual concept</w:t>
      </w:r>
    </w:p>
    <w:p>
      <w:pPr>
        <w:pStyle w:val="MdParagraph"/>
      </w:pPr>
      <w:r>
        <w:t xml:space="preserve">Use a real image of the building or unit on one side and a short, high-contrast message on the other. Keep the design factual: category, area range if confirmed, location reference, and viewing CTA. Avoid clutter, stock photos, unrealistic renderings, and claims of guaranteed returns or guaranteed delivery.</w:t>
      </w:r>
    </w:p>
    <w:p>
      <w:pPr>
        <w:pStyle w:val="MdSpace"/>
        <w:spacing w:before="0" w:after="60"/>
      </w:pPr>
    </w:p>
    <w:p>
      <w:pPr>
        <w:pStyle w:val="Heading2"/>
        <w:pStyle w:val="MdHeading2"/>
      </w:pPr>
      <w:r>
        <w:t xml:space="preserve">6. Ready-to-use Arabic ad copy</w:t>
      </w:r>
    </w:p>
    <w:p>
      <w:pPr>
        <w:pStyle w:val="Heading3"/>
        <w:pStyle w:val="MdHeading3"/>
      </w:pPr>
      <w:r>
        <w:t xml:space="preserve">Commercial — general</w:t>
      </w:r>
    </w:p>
    <w:p>
      <w:pPr>
        <w:pStyle w:val="MdParagraph"/>
      </w:pPr>
      <w:r>
        <w:rPr>
          <w:rStyle w:val="MdStrong"/>
          <w:b/>
          <w:bCs/>
        </w:rPr>
        <w:t xml:space="preserve">Primary text:</w:t>
      </w:r>
    </w:p>
    <w:p>
      <w:pPr>
        <w:pStyle w:val="MdSpace"/>
        <w:spacing w:before="0" w:after="60"/>
      </w:pPr>
    </w:p>
    <w:p>
      <w:pPr>
        <w:pStyle w:val="MdParagraph"/>
      </w:pPr>
      <w:r>
        <w:t xml:space="preserve">«لو بتخطط لفتح محل أو توسعة نشاطك، اطلب قائمة الوحدات التجارية المتاحة في كايرو بلازا بالمطرية. مساحات ووحدات مختلفة، ومعاينة فعلية قبل اتخاذ القرار. سجل بياناتك وسيتم التواصل معك لتأكيد الوحدة والسعر والحالة.»</w:t>
      </w:r>
    </w:p>
    <w:p>
      <w:pPr>
        <w:pStyle w:val="MdSpace"/>
        <w:spacing w:before="0" w:after="60"/>
      </w:pPr>
    </w:p>
    <w:p>
      <w:pPr>
        <w:pStyle w:val="MdParagraph"/>
      </w:pPr>
      <w:r>
        <w:rPr>
          <w:rStyle w:val="MdStrong"/>
          <w:b/>
          <w:bCs/>
        </w:rPr>
        <w:t xml:space="preserve">Headline:</w:t>
      </w:r>
      <w:r>
        <w:t xml:space="preserve"> «اطلب كشف الوحدات التجارية المؤكد»</w:t>
      </w:r>
      <w:r>
        <w:rPr>
          <w:rStyle w:val="MdBr"/>
        </w:rPr>
        <w:br/>
        <w:t xml:space="preserve"/>
      </w:r>
      <w:r>
        <w:rPr>
          <w:rStyle w:val="MdStrong"/>
          <w:b/>
          <w:bCs/>
        </w:rPr>
        <w:t xml:space="preserve">CTA:</w:t>
      </w:r>
      <w:r>
        <w:t xml:space="preserve"> «احجز معاينة»</w:t>
      </w:r>
    </w:p>
    <w:p>
      <w:pPr>
        <w:pStyle w:val="MdSpace"/>
        <w:spacing w:before="0" w:after="60"/>
      </w:pPr>
    </w:p>
    <w:p>
      <w:pPr>
        <w:pStyle w:val="Heading3"/>
        <w:pStyle w:val="MdHeading3"/>
      </w:pPr>
      <w:r>
        <w:t xml:space="preserve">Commercial — brands and expansion</w:t>
      </w:r>
    </w:p>
    <w:p>
      <w:pPr>
        <w:pStyle w:val="MdParagraph"/>
      </w:pPr>
      <w:r>
        <w:rPr>
          <w:rStyle w:val="MdStrong"/>
          <w:b/>
          <w:bCs/>
        </w:rPr>
        <w:t xml:space="preserve">Primary text:</w:t>
      </w:r>
    </w:p>
    <w:p>
      <w:pPr>
        <w:pStyle w:val="MdSpace"/>
        <w:spacing w:before="0" w:after="60"/>
      </w:pPr>
    </w:p>
    <w:p>
      <w:pPr>
        <w:pStyle w:val="MdParagraph"/>
      </w:pPr>
      <w:r>
        <w:t xml:space="preserve">«هل تبحث عن موقع جديد لفرع أو نقطة بيع؟ نستقبل طلبات البراندات والأنشطة التجارية لمعاينة الوحدات المتاحة في كايرو بلازا. أرسل النشاط والمساحة المطلوبة، وسنقترح الوحدات المناسبة بعد مراجعة التوافر.»</w:t>
      </w:r>
    </w:p>
    <w:p>
      <w:pPr>
        <w:pStyle w:val="MdSpace"/>
        <w:spacing w:before="0" w:after="60"/>
      </w:pPr>
    </w:p>
    <w:p>
      <w:pPr>
        <w:pStyle w:val="MdParagraph"/>
      </w:pPr>
      <w:r>
        <w:rPr>
          <w:rStyle w:val="MdStrong"/>
          <w:b/>
          <w:bCs/>
        </w:rPr>
        <w:t xml:space="preserve">Headline:</w:t>
      </w:r>
      <w:r>
        <w:t xml:space="preserve"> «خطوتك التجارية القادمة»</w:t>
      </w:r>
      <w:r>
        <w:rPr>
          <w:rStyle w:val="MdBr"/>
        </w:rPr>
        <w:br/>
        <w:t xml:space="preserve"/>
      </w:r>
      <w:r>
        <w:rPr>
          <w:rStyle w:val="MdStrong"/>
          <w:b/>
          <w:bCs/>
        </w:rPr>
        <w:t xml:space="preserve">CTA:</w:t>
      </w:r>
      <w:r>
        <w:t xml:space="preserve"> «تحدث مع مسؤول التوسع»</w:t>
      </w:r>
    </w:p>
    <w:p>
      <w:pPr>
        <w:pStyle w:val="MdSpace"/>
        <w:spacing w:before="0" w:after="60"/>
      </w:pPr>
    </w:p>
    <w:p>
      <w:pPr>
        <w:pStyle w:val="Heading3"/>
        <w:pStyle w:val="MdHeading3"/>
      </w:pPr>
      <w:r>
        <w:t xml:space="preserve">Administrative — offices</w:t>
      </w:r>
    </w:p>
    <w:p>
      <w:pPr>
        <w:pStyle w:val="MdParagraph"/>
      </w:pPr>
      <w:r>
        <w:rPr>
          <w:rStyle w:val="MdStrong"/>
          <w:b/>
          <w:bCs/>
        </w:rPr>
        <w:t xml:space="preserve">Primary text:</w:t>
      </w:r>
    </w:p>
    <w:p>
      <w:pPr>
        <w:pStyle w:val="MdSpace"/>
        <w:spacing w:before="0" w:after="60"/>
      </w:pPr>
    </w:p>
    <w:p>
      <w:pPr>
        <w:pStyle w:val="MdParagraph"/>
      </w:pPr>
      <w:r>
        <w:t xml:space="preserve">«مساحات إدارية متعددة للشركات والمكاتب وأصحاب الأعمال. اطلب كشف الوحدات المؤكدة، وتعرف على المساحة والدور وحالة التشطيب وخطة السداد قبل حجز المعاينة.»</w:t>
      </w:r>
    </w:p>
    <w:p>
      <w:pPr>
        <w:pStyle w:val="MdSpace"/>
        <w:spacing w:before="0" w:after="60"/>
      </w:pPr>
    </w:p>
    <w:p>
      <w:pPr>
        <w:pStyle w:val="MdParagraph"/>
      </w:pPr>
      <w:r>
        <w:rPr>
          <w:rStyle w:val="MdStrong"/>
          <w:b/>
          <w:bCs/>
        </w:rPr>
        <w:t xml:space="preserve">Headline:</w:t>
      </w:r>
      <w:r>
        <w:t xml:space="preserve"> «مقر يناسب نشاطك»</w:t>
      </w:r>
      <w:r>
        <w:rPr>
          <w:rStyle w:val="MdBr"/>
        </w:rPr>
        <w:br/>
        <w:t xml:space="preserve"/>
      </w:r>
      <w:r>
        <w:rPr>
          <w:rStyle w:val="MdStrong"/>
          <w:b/>
          <w:bCs/>
        </w:rPr>
        <w:t xml:space="preserve">CTA:</w:t>
      </w:r>
      <w:r>
        <w:t xml:space="preserve"> «احصل على التفاصيل»</w:t>
      </w:r>
    </w:p>
    <w:p>
      <w:pPr>
        <w:pStyle w:val="MdSpace"/>
        <w:spacing w:before="0" w:after="60"/>
      </w:pPr>
    </w:p>
    <w:p>
      <w:pPr>
        <w:pStyle w:val="Heading3"/>
        <w:pStyle w:val="MdHeading3"/>
      </w:pPr>
      <w:r>
        <w:t xml:space="preserve">Medical activities</w:t>
      </w:r>
    </w:p>
    <w:p>
      <w:pPr>
        <w:pStyle w:val="MdParagraph"/>
      </w:pPr>
      <w:r>
        <w:rPr>
          <w:rStyle w:val="MdStrong"/>
          <w:b/>
          <w:bCs/>
        </w:rPr>
        <w:t xml:space="preserve">Primary text:</w:t>
      </w:r>
    </w:p>
    <w:p>
      <w:pPr>
        <w:pStyle w:val="MdSpace"/>
        <w:spacing w:before="0" w:after="60"/>
      </w:pPr>
    </w:p>
    <w:p>
      <w:pPr>
        <w:pStyle w:val="MdParagraph"/>
      </w:pPr>
      <w:r>
        <w:t xml:space="preserve">«لأصحاب العيادات والمراكز الطبية: وحدات إدارية بمساحات متنوعة في مشروع كايرو بلازا. يتم تأكيد ملاءمة النشاط والترخيص والتجهيز قبل التعاقد. سجل احتياجك وحدد المساحة المطلوبة لحجز المعاينة.»</w:t>
      </w:r>
    </w:p>
    <w:p>
      <w:pPr>
        <w:pStyle w:val="MdSpace"/>
        <w:spacing w:before="0" w:after="60"/>
      </w:pPr>
    </w:p>
    <w:p>
      <w:pPr>
        <w:pStyle w:val="MdParagraph"/>
      </w:pPr>
      <w:r>
        <w:rPr>
          <w:rStyle w:val="MdStrong"/>
          <w:b/>
          <w:bCs/>
        </w:rPr>
        <w:t xml:space="preserve">Headline:</w:t>
      </w:r>
      <w:r>
        <w:t xml:space="preserve"> «اطلب معاينة لوحدة إدارية»</w:t>
      </w:r>
      <w:r>
        <w:rPr>
          <w:rStyle w:val="MdBr"/>
        </w:rPr>
        <w:br/>
        <w:t xml:space="preserve"/>
      </w:r>
      <w:r>
        <w:rPr>
          <w:rStyle w:val="MdStrong"/>
          <w:b/>
          <w:bCs/>
        </w:rPr>
        <w:t xml:space="preserve">CTA:</w:t>
      </w:r>
      <w:r>
        <w:t xml:space="preserve"> «سجل الآن»</w:t>
      </w:r>
    </w:p>
    <w:p>
      <w:pPr>
        <w:pStyle w:val="MdSpace"/>
        <w:spacing w:before="0" w:after="60"/>
      </w:pPr>
    </w:p>
    <w:p>
      <w:pPr>
        <w:pStyle w:val="Heading3"/>
        <w:pStyle w:val="MdHeading3"/>
      </w:pPr>
      <w:r>
        <w:t xml:space="preserve">Broker recruitment</w:t>
      </w:r>
    </w:p>
    <w:p>
      <w:pPr>
        <w:pStyle w:val="MdParagraph"/>
      </w:pPr>
      <w:r>
        <w:rPr>
          <w:rStyle w:val="MdStrong"/>
          <w:b/>
          <w:bCs/>
        </w:rPr>
        <w:t xml:space="preserve">Primary text:</w:t>
      </w:r>
    </w:p>
    <w:p>
      <w:pPr>
        <w:pStyle w:val="MdSpace"/>
        <w:spacing w:before="0" w:after="60"/>
      </w:pPr>
    </w:p>
    <w:p>
      <w:pPr>
        <w:pStyle w:val="MdParagraph"/>
      </w:pPr>
      <w:r>
        <w:t xml:space="preserve">«نستقبل بروكرز لديهم عملاء جادون في المحلات والمكاتب والعيادات. مخزون محدث، مسؤول متابعة، ومعايير واضحة لتسجيل مصدر العميل واستحقاق العمولة. نسبة 6% عند تجاوز سداد العميل 75%، ومن المسدد عند النسب الأقل وفق السياسة المعتمدة.»</w:t>
      </w:r>
    </w:p>
    <w:p>
      <w:pPr>
        <w:pStyle w:val="MdSpace"/>
        <w:spacing w:before="0" w:after="60"/>
      </w:pPr>
    </w:p>
    <w:p>
      <w:pPr>
        <w:pStyle w:val="MdParagraph"/>
      </w:pPr>
      <w:r>
        <w:rPr>
          <w:rStyle w:val="MdStrong"/>
          <w:b/>
          <w:bCs/>
        </w:rPr>
        <w:t xml:space="preserve">Headline:</w:t>
      </w:r>
      <w:r>
        <w:t xml:space="preserve"> «سجل كبروكر معتمد»</w:t>
      </w:r>
      <w:r>
        <w:rPr>
          <w:rStyle w:val="MdBr"/>
        </w:rPr>
        <w:br/>
        <w:t xml:space="preserve"/>
      </w:r>
      <w:r>
        <w:rPr>
          <w:rStyle w:val="MdStrong"/>
          <w:b/>
          <w:bCs/>
        </w:rPr>
        <w:t xml:space="preserve">CTA:</w:t>
      </w:r>
      <w:r>
        <w:t xml:space="preserve"> «تواصل معنا»</w:t>
      </w:r>
    </w:p>
    <w:p>
      <w:pPr>
        <w:pStyle w:val="MdSpace"/>
        <w:spacing w:before="0" w:after="60"/>
      </w:pPr>
    </w:p>
    <w:p>
      <w:pPr>
        <w:pStyle w:val="Heading3"/>
        <w:pStyle w:val="MdHeading3"/>
      </w:pPr>
      <w:r>
        <w:t xml:space="preserve">Retargeting</w:t>
      </w:r>
    </w:p>
    <w:p>
      <w:pPr>
        <w:pStyle w:val="MdParagraph"/>
      </w:pPr>
      <w:r>
        <w:rPr>
          <w:rStyle w:val="MdStrong"/>
          <w:b/>
          <w:bCs/>
        </w:rPr>
        <w:t xml:space="preserve">Primary text:</w:t>
      </w:r>
    </w:p>
    <w:p>
      <w:pPr>
        <w:pStyle w:val="MdSpace"/>
        <w:spacing w:before="0" w:after="60"/>
      </w:pPr>
    </w:p>
    <w:p>
      <w:pPr>
        <w:pStyle w:val="MdParagraph"/>
      </w:pPr>
      <w:r>
        <w:t xml:space="preserve">«كنت سألت عن كايرو بلازا؟ اطلب آخر كشف مؤكد للوحدات وحدد النشاط والمساحة المطلوبة، وسيتواصل معك الفريق لتحديد أقرب موعد معاينة.»</w:t>
      </w:r>
    </w:p>
    <w:p>
      <w:pPr>
        <w:pStyle w:val="MdSpace"/>
        <w:spacing w:before="0" w:after="60"/>
      </w:pPr>
    </w:p>
    <w:p>
      <w:pPr>
        <w:pStyle w:val="MdParagraph"/>
      </w:pPr>
      <w:r>
        <w:rPr>
          <w:rStyle w:val="MdStrong"/>
          <w:b/>
          <w:bCs/>
        </w:rPr>
        <w:t xml:space="preserve">Headline:</w:t>
      </w:r>
      <w:r>
        <w:t xml:space="preserve"> «احجز معاينتك»</w:t>
      </w:r>
      <w:r>
        <w:rPr>
          <w:rStyle w:val="MdBr"/>
        </w:rPr>
        <w:br/>
        <w:t xml:space="preserve"/>
      </w:r>
      <w:r>
        <w:rPr>
          <w:rStyle w:val="MdStrong"/>
          <w:b/>
          <w:bCs/>
        </w:rPr>
        <w:t xml:space="preserve">CTA:</w:t>
      </w:r>
      <w:r>
        <w:t xml:space="preserve"> «راسلنا على واتساب»</w:t>
      </w:r>
    </w:p>
    <w:p>
      <w:pPr>
        <w:pStyle w:val="MdSpace"/>
        <w:spacing w:before="0" w:after="60"/>
      </w:pPr>
    </w:p>
    <w:p>
      <w:pPr>
        <w:pStyle w:val="Heading2"/>
        <w:pStyle w:val="MdHeading2"/>
      </w:pPr>
      <w:r>
        <w:t xml:space="preserve">7. Instant form design</w:t>
      </w:r>
    </w:p>
    <w:p>
      <w:pPr>
        <w:pStyle w:val="MdParagraph"/>
      </w:pPr>
      <w:r>
        <w:rPr>
          <w:rStyle w:val="MdStrong"/>
          <w:b/>
          <w:bCs/>
        </w:rPr>
        <w:t xml:space="preserve">Form title:</w:t>
      </w:r>
      <w:r>
        <w:t xml:space="preserve"> «اطلب كشف الوحدات واحجز معاينة»</w:t>
      </w:r>
    </w:p>
    <w:p>
      <w:pPr>
        <w:pStyle w:val="MdSpace"/>
        <w:spacing w:before="0" w:after="60"/>
      </w:pPr>
    </w:p>
    <w:p>
      <w:pPr>
        <w:pStyle w:val="MdParagraph"/>
      </w:pPr>
      <w:r>
        <w:rPr>
          <w:rStyle w:val="MdStrong"/>
          <w:b/>
          <w:bCs/>
        </w:rPr>
        <w:t xml:space="preserve">Intro:</w:t>
      </w:r>
      <w:r>
        <w:t xml:space="preserve"> «املأ البيانات التالية ليقترح عليك الفريق الوحدات الأقرب لاحتياجك. توافر الوحدات والأسعار وحالة التشطيب تحتاج إلى تأكيد قبل العرض.»</w:t>
      </w:r>
    </w:p>
    <w:p>
      <w:pPr>
        <w:pStyle w:val="MdSpace"/>
        <w:spacing w:before="0" w:after="60"/>
      </w:pPr>
    </w:p>
    <w:p>
      <w:pPr>
        <w:pStyle w:val="MdParagraph"/>
      </w:pPr>
      <w:r>
        <w:rPr>
          <w:rStyle w:val="MdStrong"/>
          <w:b/>
          <w:bCs/>
        </w:rPr>
        <w:t xml:space="preserve">Questions:</w:t>
      </w:r>
    </w:p>
    <w:p>
      <w:pPr>
        <w:pStyle w:val="MdSpace"/>
        <w:spacing w:before="0" w:after="60"/>
      </w:pPr>
    </w:p>
    <w:p>
      <w:pPr>
        <w:pStyle w:val="MdListItem"/>
        <w:numPr>
          <w:ilvl w:val="0"/>
          <w:numId w:val="3"/>
        </w:numPr>
      </w:pPr>
      <w:r>
        <w:t xml:space="preserve">الاسم.</w:t>
      </w:r>
    </w:p>
    <w:p>
      <w:pPr>
        <w:pStyle w:val="MdListItem"/>
        <w:numPr>
          <w:ilvl w:val="0"/>
          <w:numId w:val="3"/>
        </w:numPr>
      </w:pPr>
      <w:r>
        <w:t xml:space="preserve">رقم الهاتف ووسيلة التواصل المفضلة.</w:t>
      </w:r>
    </w:p>
    <w:p>
      <w:pPr>
        <w:pStyle w:val="MdListItem"/>
        <w:numPr>
          <w:ilvl w:val="0"/>
          <w:numId w:val="3"/>
        </w:numPr>
      </w:pPr>
      <w:r>
        <w:t xml:space="preserve">نوع النشاط: محل، مكتب، عيادة، صيدلية، مطعم/أغذية، براند، أو نشاط آخر.</w:t>
      </w:r>
    </w:p>
    <w:p>
      <w:pPr>
        <w:pStyle w:val="MdListItem"/>
        <w:numPr>
          <w:ilvl w:val="0"/>
          <w:numId w:val="3"/>
        </w:numPr>
      </w:pPr>
      <w:r>
        <w:t xml:space="preserve">المساحة المطلوبة: أقل من 50 م²، 50–100 م²، 100–250 م²، أكثر من 250 م².</w:t>
      </w:r>
    </w:p>
    <w:p>
      <w:pPr>
        <w:pStyle w:val="MdListItem"/>
        <w:numPr>
          <w:ilvl w:val="0"/>
          <w:numId w:val="3"/>
        </w:numPr>
      </w:pPr>
      <w:r>
        <w:t xml:space="preserve">الغرض: شراء، إيجار، توسعة، أو استكشاف.</w:t>
      </w:r>
    </w:p>
    <w:p>
      <w:pPr>
        <w:pStyle w:val="MdListItem"/>
        <w:numPr>
          <w:ilvl w:val="0"/>
          <w:numId w:val="3"/>
        </w:numPr>
      </w:pPr>
      <w:r>
        <w:t xml:space="preserve">الوقت المناسب للمعاينة.</w:t>
      </w:r>
    </w:p>
    <w:p>
      <w:pPr>
        <w:pStyle w:val="MdSpace"/>
        <w:spacing w:before="0" w:after="60"/>
      </w:pPr>
    </w:p>
    <w:p>
      <w:pPr>
        <w:pStyle w:val="MdParagraph"/>
      </w:pPr>
      <w:r>
        <w:rPr>
          <w:rStyle w:val="MdStrong"/>
          <w:b/>
          <w:bCs/>
        </w:rPr>
        <w:t xml:space="preserve">Thank-you screen:</w:t>
      </w:r>
      <w:r>
        <w:t xml:space="preserve"> «تم استلام بياناتك. سيتواصل معك مسؤول المتابعة لتأكيد التفاصيل وموعد المعاينة.»</w:t>
      </w:r>
    </w:p>
    <w:p>
      <w:pPr>
        <w:pStyle w:val="MdSpace"/>
        <w:spacing w:before="0" w:after="60"/>
      </w:pPr>
    </w:p>
    <w:p>
      <w:pPr>
        <w:pStyle w:val="Heading2"/>
        <w:pStyle w:val="MdHeading2"/>
      </w:pPr>
      <w:r>
        <w:t xml:space="preserve">8. WhatsApp follow-up flow</w:t>
      </w:r>
    </w:p>
    <w:p>
      <w:pPr>
        <w:pStyle w:val="MdParagraph"/>
      </w:pPr>
      <w:r>
        <w:rPr>
          <w:rStyle w:val="MdStrong"/>
          <w:b/>
          <w:bCs/>
        </w:rPr>
        <w:t xml:space="preserve">First response:</w:t>
      </w:r>
      <w:r>
        <w:t xml:space="preserve"> «أهلًا بحضرتك، شكرًا لتواصلك مع كايرو بلازا. هل تبحث عن وحدة تجارية أم إدارية؟ وما النشاط والمساحة التقريبية المطلوبة؟»</w:t>
      </w:r>
    </w:p>
    <w:p>
      <w:pPr>
        <w:pStyle w:val="MdSpace"/>
        <w:spacing w:before="0" w:after="60"/>
      </w:pPr>
    </w:p>
    <w:p>
      <w:pPr>
        <w:pStyle w:val="MdParagraph"/>
      </w:pPr>
      <w:r>
        <w:rPr>
          <w:rStyle w:val="MdStrong"/>
          <w:b/>
          <w:bCs/>
        </w:rPr>
        <w:t xml:space="preserve">Qualification:</w:t>
      </w:r>
      <w:r>
        <w:t xml:space="preserve"> «هل الهدف شراء أم إيجار؟ وهل يناسبك الحضور لمعاينة خلال هذا الأسبوع؟»</w:t>
      </w:r>
    </w:p>
    <w:p>
      <w:pPr>
        <w:pStyle w:val="MdSpace"/>
        <w:spacing w:before="0" w:after="60"/>
      </w:pPr>
    </w:p>
    <w:p>
      <w:pPr>
        <w:pStyle w:val="MdParagraph"/>
      </w:pPr>
      <w:r>
        <w:rPr>
          <w:rStyle w:val="MdStrong"/>
          <w:b/>
          <w:bCs/>
        </w:rPr>
        <w:t xml:space="preserve">Confirmation:</w:t>
      </w:r>
      <w:r>
        <w:t xml:space="preserve"> «سأراجع الوحدات المؤكدة حسب النشاط والمساحة، ثم أرسل لك الخيارات المتاحة وموعد المعاينة. لا يتم اعتماد السعر أو الحالة إلا بعد تأكيد الإدارة.»</w:t>
      </w:r>
    </w:p>
    <w:p>
      <w:pPr>
        <w:pStyle w:val="MdSpace"/>
        <w:spacing w:before="0" w:after="60"/>
      </w:pPr>
    </w:p>
    <w:p>
      <w:pPr>
        <w:pStyle w:val="MdParagraph"/>
      </w:pPr>
      <w:r>
        <w:rPr>
          <w:rStyle w:val="MdStrong"/>
          <w:b/>
          <w:bCs/>
        </w:rPr>
        <w:t xml:space="preserve">No-response reminder after 24 hours:</w:t>
      </w:r>
      <w:r>
        <w:t xml:space="preserve"> «نذكرك بطلبك الخاص بوحدات كايرو بلازا. هل ترغب في استلام كشف الوحدات المؤكد أو تحديد موعد معاينة؟»</w:t>
      </w:r>
    </w:p>
    <w:p>
      <w:pPr>
        <w:pStyle w:val="MdSpace"/>
        <w:spacing w:before="0" w:after="60"/>
      </w:pPr>
    </w:p>
    <w:p>
      <w:pPr>
        <w:pStyle w:val="MdParagraph"/>
      </w:pPr>
      <w:r>
        <w:rPr>
          <w:rStyle w:val="MdStrong"/>
          <w:b/>
          <w:bCs/>
        </w:rPr>
        <w:t xml:space="preserve">After viewing:</w:t>
      </w:r>
      <w:r>
        <w:t xml:space="preserve"> «نشكر حضرتك على المعاينة. ما تقييمك للوحدة؟ هل تحتاج مساحة أخرى أو تعديلًا في الاختيار؟»</w:t>
      </w:r>
    </w:p>
    <w:p>
      <w:pPr>
        <w:pStyle w:val="MdSpace"/>
        <w:spacing w:before="0" w:after="60"/>
      </w:pPr>
    </w:p>
    <w:p>
      <w:pPr>
        <w:pStyle w:val="Heading2"/>
        <w:pStyle w:val="MdHeading2"/>
      </w:pPr>
      <w:r>
        <w:t xml:space="preserve">9. Tracking and CRM handoff</w:t>
      </w:r>
    </w:p>
    <w:p>
      <w:pPr>
        <w:pStyle w:val="MdParagraph"/>
      </w:pPr>
      <w:r>
        <w:t xml:space="preserve">Use separate UTMs and campaign codes for every campaign, ad set, and creative. Record platform, campaign, ad, form, date, phone, assigned employee, activity, next action, and outcome.</w:t>
      </w:r>
    </w:p>
    <w:p>
      <w:pPr>
        <w:pStyle w:val="MdSpace"/>
        <w:spacing w:before="0" w:after="60"/>
      </w:pPr>
    </w:p>
    <w:p>
      <w:pPr>
        <w:pStyle w:val="MdParagraph"/>
      </w:pPr>
      <w:r>
        <w:rPr>
          <w:rStyle w:val="MdStrong"/>
          <w:b/>
          <w:bCs/>
        </w:rPr>
        <w:t xml:space="preserve">Recommended naming convention:</w:t>
      </w:r>
    </w:p>
    <w:p>
      <w:pPr>
        <w:pStyle w:val="MdSpace"/>
        <w:spacing w:before="0" w:after="60"/>
      </w:pPr>
    </w:p>
    <w:p>
      <w:pPr>
        <w:pStyle w:val="MdParagraph"/>
      </w:pPr>
      <w:r>
        <w:rPr>
          <w:rStyle w:val="MdCode"/>
          <w:u w:val="single"/>
        </w:rPr>
        <w:t xml:space="preserve">CP_META_[COMMERCIAL/ADMIN/BROKER]_[AUDIENCE]_[MONTH]</w:t>
      </w:r>
    </w:p>
    <w:p>
      <w:pPr>
        <w:pStyle w:val="MdSpace"/>
        <w:spacing w:before="0" w:after="60"/>
      </w:pPr>
    </w:p>
    <w:p>
      <w:pPr>
        <w:pStyle w:val="MdParagraph"/>
      </w:pPr>
      <w:r>
        <w:rPr>
          <w:rStyle w:val="MdStrong"/>
          <w:b/>
          <w:bCs/>
        </w:rPr>
        <w:t xml:space="preserve">Required CRM stages:</w:t>
      </w:r>
      <w:r>
        <w:t xml:space="preserve"> New lead → Contacted → Qualified → Viewing booked → Viewing completed → Offer sent → Booking requested → Booking approved → Contracted → Collected / Pending / Lost.</w:t>
      </w:r>
    </w:p>
    <w:p>
      <w:pPr>
        <w:pStyle w:val="MdSpace"/>
        <w:spacing w:before="0" w:after="60"/>
      </w:pPr>
    </w:p>
    <w:p>
      <w:pPr>
        <w:pStyle w:val="MdParagraph"/>
      </w:pPr>
      <w:r>
        <w:t xml:space="preserve">Every lead must receive an owner and next-action date. Duplicate leads should be merged rather than counted twice. The development and sales lead may view sales, bookings, collected amounts, outstanding amounts, counts, and dates according to approved access rights; finance controls financial entry and reconciliation.</w:t>
      </w:r>
    </w:p>
    <w:p>
      <w:pPr>
        <w:pStyle w:val="MdSpace"/>
        <w:spacing w:before="0" w:after="60"/>
      </w:pPr>
    </w:p>
    <w:p>
      <w:pPr>
        <w:pStyle w:val="Heading2"/>
        <w:pStyle w:val="MdHeading2"/>
      </w:pPr>
      <w:r>
        <w:t xml:space="preserve">10. Weekly performance report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Definition</w:t>
            </w:r>
          </w:p>
        </w:tc>
        <w:tc>
          <w:tcPr>
            <w:tcBorders>
              <w:right w:val="none"/>
            </w:tcBorders>
            <w:tcMar>
              <w:top w:type="dxa" w:w="100"/>
              <w:left w:type="dxa" w:w="120"/>
              <w:bottom w:type="dxa" w:w="100"/>
              <w:right w:type="dxa" w:w="120"/>
            </w:tcMar>
            <w:vAlign w:val="center"/>
          </w:tcPr>
          <w:p>
            <w:pPr>
              <w:pStyle w:val="MdTableHeader"/>
            </w:pPr>
            <w:r>
              <w:t xml:space="preserve">Management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New leads</w:t>
            </w:r>
          </w:p>
        </w:tc>
        <w:tc>
          <w:tcPr>
            <w:tcMar>
              <w:top w:type="dxa" w:w="80"/>
              <w:left w:type="dxa" w:w="120"/>
              <w:bottom w:type="dxa" w:w="80"/>
              <w:right w:type="dxa" w:w="120"/>
            </w:tcMar>
            <w:vAlign w:val="center"/>
          </w:tcPr>
          <w:p>
            <w:pPr>
              <w:pStyle w:val="MdTableCell"/>
            </w:pPr>
            <w:r>
              <w:t xml:space="preserve">Submitted forms and initiated conversations</w:t>
            </w:r>
          </w:p>
        </w:tc>
        <w:tc>
          <w:tcPr>
            <w:tcBorders>
              <w:right w:val="none"/>
            </w:tcBorders>
            <w:tcMar>
              <w:top w:type="dxa" w:w="80"/>
              <w:left w:type="dxa" w:w="120"/>
              <w:bottom w:type="dxa" w:w="80"/>
              <w:right w:type="dxa" w:w="120"/>
            </w:tcMar>
            <w:vAlign w:val="center"/>
          </w:tcPr>
          <w:p>
            <w:pPr>
              <w:pStyle w:val="MdTableCell"/>
            </w:pPr>
            <w:r>
              <w:t xml:space="preserve">Check volume and source quality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leads</w:t>
            </w:r>
          </w:p>
        </w:tc>
        <w:tc>
          <w:tcPr>
            <w:tcMar>
              <w:top w:type="dxa" w:w="80"/>
              <w:left w:type="dxa" w:w="120"/>
              <w:bottom w:type="dxa" w:w="80"/>
              <w:right w:type="dxa" w:w="120"/>
            </w:tcMar>
            <w:vAlign w:val="center"/>
          </w:tcPr>
          <w:p>
            <w:pPr>
              <w:pStyle w:val="MdTableCell"/>
            </w:pPr>
            <w:r>
              <w:t xml:space="preserve">Leads with confirmed activity, area, and intent</w:t>
            </w:r>
          </w:p>
        </w:tc>
        <w:tc>
          <w:tcPr>
            <w:tcBorders>
              <w:right w:val="none"/>
            </w:tcBorders>
            <w:tcMar>
              <w:top w:type="dxa" w:w="80"/>
              <w:left w:type="dxa" w:w="120"/>
              <w:bottom w:type="dxa" w:w="80"/>
              <w:right w:type="dxa" w:w="120"/>
            </w:tcMar>
            <w:vAlign w:val="center"/>
          </w:tcPr>
          <w:p>
            <w:pPr>
              <w:pStyle w:val="MdTableCell"/>
            </w:pPr>
            <w:r>
              <w:t xml:space="preserve">Improve targeting and questions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Viewings booked</w:t>
            </w:r>
          </w:p>
        </w:tc>
        <w:tc>
          <w:tcPr>
            <w:tcMar>
              <w:top w:type="dxa" w:w="80"/>
              <w:left w:type="dxa" w:w="120"/>
              <w:bottom w:type="dxa" w:w="80"/>
              <w:right w:type="dxa" w:w="120"/>
            </w:tcMar>
            <w:vAlign w:val="center"/>
          </w:tcPr>
          <w:p>
            <w:pPr>
              <w:pStyle w:val="MdTableCell"/>
            </w:pPr>
            <w:r>
              <w:t xml:space="preserve">Appointments scheduled</w:t>
            </w:r>
          </w:p>
        </w:tc>
        <w:tc>
          <w:tcPr>
            <w:tcBorders>
              <w:right w:val="none"/>
            </w:tcBorders>
            <w:tcMar>
              <w:top w:type="dxa" w:w="80"/>
              <w:left w:type="dxa" w:w="120"/>
              <w:bottom w:type="dxa" w:w="80"/>
              <w:right w:type="dxa" w:w="120"/>
            </w:tcMar>
            <w:vAlign w:val="center"/>
          </w:tcPr>
          <w:p>
            <w:pPr>
              <w:pStyle w:val="MdTableCell"/>
            </w:pPr>
            <w:r>
              <w:t xml:space="preserve">Check response speed and availability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Viewings completed</w:t>
            </w:r>
          </w:p>
        </w:tc>
        <w:tc>
          <w:tcPr>
            <w:tcMar>
              <w:top w:type="dxa" w:w="80"/>
              <w:left w:type="dxa" w:w="120"/>
              <w:bottom w:type="dxa" w:w="80"/>
              <w:right w:type="dxa" w:w="120"/>
            </w:tcMar>
            <w:vAlign w:val="center"/>
          </w:tcPr>
          <w:p>
            <w:pPr>
              <w:pStyle w:val="MdTableCell"/>
            </w:pPr>
            <w:r>
              <w:t xml:space="preserve">Appointments attended</w:t>
            </w:r>
          </w:p>
        </w:tc>
        <w:tc>
          <w:tcPr>
            <w:tcBorders>
              <w:right w:val="none"/>
            </w:tcBorders>
            <w:tcMar>
              <w:top w:type="dxa" w:w="80"/>
              <w:left w:type="dxa" w:w="120"/>
              <w:bottom w:type="dxa" w:w="80"/>
              <w:right w:type="dxa" w:w="120"/>
            </w:tcMar>
            <w:vAlign w:val="center"/>
          </w:tcPr>
          <w:p>
            <w:pPr>
              <w:pStyle w:val="MdTableCell"/>
            </w:pPr>
            <w:r>
              <w:t xml:space="preserve">Check unit readiness and follow-up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Offers sent</w:t>
            </w:r>
          </w:p>
        </w:tc>
        <w:tc>
          <w:tcPr>
            <w:tcMar>
              <w:top w:type="dxa" w:w="80"/>
              <w:left w:type="dxa" w:w="120"/>
              <w:bottom w:type="dxa" w:w="80"/>
              <w:right w:type="dxa" w:w="120"/>
            </w:tcMar>
            <w:vAlign w:val="center"/>
          </w:tcPr>
          <w:p>
            <w:pPr>
              <w:pStyle w:val="MdTableCell"/>
            </w:pPr>
            <w:r>
              <w:t xml:space="preserve">Approved offers delivered</w:t>
            </w:r>
          </w:p>
        </w:tc>
        <w:tc>
          <w:tcPr>
            <w:tcBorders>
              <w:right w:val="none"/>
            </w:tcBorders>
            <w:tcMar>
              <w:top w:type="dxa" w:w="80"/>
              <w:left w:type="dxa" w:w="120"/>
              <w:bottom w:type="dxa" w:w="80"/>
              <w:right w:type="dxa" w:w="120"/>
            </w:tcMar>
            <w:vAlign w:val="center"/>
          </w:tcPr>
          <w:p>
            <w:pPr>
              <w:pStyle w:val="MdTableCell"/>
            </w:pPr>
            <w:r>
              <w:t xml:space="preserve">Check price and product fit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Approved bookings</w:t>
            </w:r>
          </w:p>
        </w:tc>
        <w:tc>
          <w:tcPr>
            <w:tcMar>
              <w:top w:type="dxa" w:w="80"/>
              <w:left w:type="dxa" w:w="120"/>
              <w:bottom w:type="dxa" w:w="80"/>
              <w:right w:type="dxa" w:w="120"/>
            </w:tcMar>
            <w:vAlign w:val="center"/>
          </w:tcPr>
          <w:p>
            <w:pPr>
              <w:pStyle w:val="MdTableCell"/>
            </w:pPr>
            <w:r>
              <w:t xml:space="preserve">Bookings accepted by management</w:t>
            </w:r>
          </w:p>
        </w:tc>
        <w:tc>
          <w:tcPr>
            <w:tcBorders>
              <w:right w:val="none"/>
            </w:tcBorders>
            <w:tcMar>
              <w:top w:type="dxa" w:w="80"/>
              <w:left w:type="dxa" w:w="120"/>
              <w:bottom w:type="dxa" w:w="80"/>
              <w:right w:type="dxa" w:w="120"/>
            </w:tcMar>
            <w:vAlign w:val="center"/>
          </w:tcPr>
          <w:p>
            <w:pPr>
              <w:pStyle w:val="MdTableCell"/>
            </w:pPr>
            <w:r>
              <w:t xml:space="preserve">Compare against H6 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Collected amount</w:t>
            </w:r>
          </w:p>
        </w:tc>
        <w:tc>
          <w:tcPr>
            <w:tcMar>
              <w:top w:type="dxa" w:w="80"/>
              <w:left w:type="dxa" w:w="120"/>
              <w:bottom w:type="dxa" w:w="80"/>
              <w:right w:type="dxa" w:w="120"/>
            </w:tcMar>
            <w:vAlign w:val="center"/>
          </w:tcPr>
          <w:p>
            <w:pPr>
              <w:pStyle w:val="MdTableCell"/>
            </w:pPr>
            <w:r>
              <w:t xml:space="preserve">Reconciled cash received</w:t>
            </w:r>
          </w:p>
        </w:tc>
        <w:tc>
          <w:tcPr>
            <w:tcBorders>
              <w:right w:val="none"/>
            </w:tcBorders>
            <w:tcMar>
              <w:top w:type="dxa" w:w="80"/>
              <w:left w:type="dxa" w:w="120"/>
              <w:bottom w:type="dxa" w:w="80"/>
              <w:right w:type="dxa" w:w="120"/>
            </w:tcMar>
            <w:vAlign w:val="center"/>
          </w:tcPr>
          <w:p>
            <w:pPr>
              <w:pStyle w:val="MdTableCell"/>
            </w:pPr>
            <w:r>
              <w:t xml:space="preserve">Coordinate with finance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Cost per qualified lead</w:t>
            </w:r>
          </w:p>
        </w:tc>
        <w:tc>
          <w:tcPr>
            <w:tcMar>
              <w:top w:type="dxa" w:w="80"/>
              <w:left w:type="dxa" w:w="120"/>
              <w:bottom w:type="dxa" w:w="80"/>
              <w:right w:type="dxa" w:w="120"/>
            </w:tcMar>
            <w:vAlign w:val="center"/>
          </w:tcPr>
          <w:p>
            <w:pPr>
              <w:pStyle w:val="MdTableCell"/>
            </w:pPr>
            <w:r>
              <w:t xml:space="preserve">Approved spend ÷ qualified leads</w:t>
            </w:r>
          </w:p>
        </w:tc>
        <w:tc>
          <w:tcPr>
            <w:tcBorders>
              <w:right w:val="none"/>
            </w:tcBorders>
            <w:tcMar>
              <w:top w:type="dxa" w:w="80"/>
              <w:left w:type="dxa" w:w="120"/>
              <w:bottom w:type="dxa" w:w="80"/>
              <w:right w:type="dxa" w:w="120"/>
            </w:tcMar>
            <w:vAlign w:val="center"/>
          </w:tcPr>
          <w:p>
            <w:pPr>
              <w:pStyle w:val="MdTableCell"/>
            </w:pPr>
            <w:r>
              <w:t xml:space="preserve">Shift spend by quality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Lead-to-booking rate</w:t>
            </w:r>
          </w:p>
        </w:tc>
        <w:tc>
          <w:tcPr>
            <w:tcBorders>
              <w:bottom w:val="single" w:color="E1E4E8" w:sz="4"/>
            </w:tcBorders>
            <w:tcMar>
              <w:top w:type="dxa" w:w="80"/>
              <w:left w:type="dxa" w:w="120"/>
              <w:bottom w:type="dxa" w:w="80"/>
              <w:right w:type="dxa" w:w="120"/>
            </w:tcMar>
            <w:vAlign w:val="center"/>
          </w:tcPr>
          <w:p>
            <w:pPr>
              <w:pStyle w:val="MdTableCell"/>
            </w:pPr>
            <w:r>
              <w:t xml:space="preserve">Approved bookings ÷ qualified leads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Identify funnel bottlenecks</w:t>
            </w:r>
          </w:p>
        </w:tc>
      </w:tr>
    </w:tbl>
    <w:p>
      <w:pPr>
        <w:pStyle w:val="Heading2"/>
        <w:pStyle w:val="MdHeading2"/>
      </w:pPr>
      <w:r>
        <w:t xml:space="preserve">11. Budget approval template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Month</w:t>
            </w:r>
          </w:p>
        </w:tc>
        <w:tc>
          <w:tcPr>
            <w:tcMar>
              <w:top w:type="dxa" w:w="100"/>
              <w:left w:type="dxa" w:w="120"/>
              <w:bottom w:type="dxa" w:w="100"/>
              <w:right w:type="dxa" w:w="120"/>
            </w:tcMar>
            <w:vAlign w:val="center"/>
          </w:tcPr>
          <w:p>
            <w:pPr>
              <w:pStyle w:val="MdTableHeader"/>
              <w:jc w:val="right"/>
            </w:pPr>
            <w:r>
              <w:t xml:space="preserve">Meta budget</w:t>
            </w:r>
          </w:p>
        </w:tc>
        <w:tc>
          <w:tcPr>
            <w:tcMar>
              <w:top w:type="dxa" w:w="100"/>
              <w:left w:type="dxa" w:w="120"/>
              <w:bottom w:type="dxa" w:w="100"/>
              <w:right w:type="dxa" w:w="120"/>
            </w:tcMar>
            <w:vAlign w:val="center"/>
          </w:tcPr>
          <w:p>
            <w:pPr>
              <w:pStyle w:val="MdTableHeader"/>
              <w:jc w:val="right"/>
            </w:pPr>
            <w:r>
              <w:t xml:space="preserve">Production/creative</w:t>
            </w:r>
          </w:p>
        </w:tc>
        <w:tc>
          <w:tcPr>
            <w:tcMar>
              <w:top w:type="dxa" w:w="100"/>
              <w:left w:type="dxa" w:w="120"/>
              <w:bottom w:type="dxa" w:w="100"/>
              <w:right w:type="dxa" w:w="120"/>
            </w:tcMar>
            <w:vAlign w:val="center"/>
          </w:tcPr>
          <w:p>
            <w:pPr>
              <w:pStyle w:val="MdTableHeader"/>
              <w:jc w:val="right"/>
            </w:pPr>
            <w:r>
              <w:t xml:space="preserve">Total Meta allocation</w:t>
            </w:r>
          </w:p>
        </w:tc>
        <w:tc>
          <w:tcPr>
            <w:tcBorders>
              <w:right w:val="none"/>
            </w:tcBorders>
            <w:tcMar>
              <w:top w:type="dxa" w:w="100"/>
              <w:left w:type="dxa" w:w="120"/>
              <w:bottom w:type="dxa" w:w="100"/>
              <w:right w:type="dxa" w:w="120"/>
            </w:tcMar>
            <w:vAlign w:val="center"/>
          </w:tcPr>
          <w:p>
            <w:pPr>
              <w:pStyle w:val="MdTableHeader"/>
            </w:pPr>
            <w:r>
              <w:t xml:space="preserve">Approval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 1</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 2</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 3</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 4</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 5</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Month 6</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Pending</w:t>
            </w:r>
          </w:p>
        </w:tc>
      </w:tr>
    </w:tbl>
    <w:p>
      <w:pPr>
        <w:pStyle w:val="MdParagraph"/>
      </w:pPr>
      <w:r>
        <w:t xml:space="preserve">No campaign goes live until the management-approved monthly amount, payment method, account owner, creative approvals, and CRM routing are confirmed.</w:t>
      </w:r>
    </w:p>
    <w:p>
      <w:pPr>
        <w:pStyle w:val="MdSpace"/>
        <w:spacing w:before="0" w:after="60"/>
      </w:pPr>
    </w:p>
    <w:p>
      <w:pPr>
        <w:pStyle w:val="Heading2"/>
        <w:pStyle w:val="MdHeading2"/>
      </w:pPr>
      <w:r>
        <w:t xml:space="preserve">12. Launch checklist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Check</w:t>
            </w:r>
          </w:p>
        </w:tc>
        <w:tc>
          <w:tcPr>
            <w:tcMar>
              <w:top w:type="dxa" w:w="100"/>
              <w:left w:type="dxa" w:w="120"/>
              <w:bottom w:type="dxa" w:w="100"/>
              <w:right w:type="dxa" w:w="120"/>
            </w:tcMar>
            <w:vAlign w:val="center"/>
          </w:tcPr>
          <w:p>
            <w:pPr>
              <w:pStyle w:val="MdTableHeader"/>
            </w:pPr>
            <w:r>
              <w:t xml:space="preserve">Owner</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Confirm current unit inventory</w:t>
            </w:r>
          </w:p>
        </w:tc>
        <w:tc>
          <w:tcPr>
            <w:tcMar>
              <w:top w:type="dxa" w:w="80"/>
              <w:left w:type="dxa" w:w="120"/>
              <w:bottom w:type="dxa" w:w="80"/>
              <w:right w:type="dxa" w:w="120"/>
            </w:tcMar>
            <w:vAlign w:val="center"/>
          </w:tcPr>
          <w:p>
            <w:pPr>
              <w:pStyle w:val="MdTableCell"/>
            </w:pPr>
            <w:r>
              <w:t xml:space="preserve">Management / project owner</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Confirm prices and payment plans</w:t>
            </w:r>
          </w:p>
        </w:tc>
        <w:tc>
          <w:tcPr>
            <w:tcMar>
              <w:top w:type="dxa" w:w="80"/>
              <w:left w:type="dxa" w:w="120"/>
              <w:bottom w:type="dxa" w:w="80"/>
              <w:right w:type="dxa" w:w="120"/>
            </w:tcMar>
            <w:vAlign w:val="center"/>
          </w:tcPr>
          <w:p>
            <w:pPr>
              <w:pStyle w:val="MdTableCell"/>
            </w:pPr>
            <w:r>
              <w:t xml:space="preserve">Management / finance</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Confirm finishing, licensing, and delivery wording</w:t>
            </w:r>
          </w:p>
        </w:tc>
        <w:tc>
          <w:tcPr>
            <w:tcMar>
              <w:top w:type="dxa" w:w="80"/>
              <w:left w:type="dxa" w:w="120"/>
              <w:bottom w:type="dxa" w:w="80"/>
              <w:right w:type="dxa" w:w="120"/>
            </w:tcMar>
            <w:vAlign w:val="center"/>
          </w:tcPr>
          <w:p>
            <w:pPr>
              <w:pStyle w:val="MdTableCell"/>
            </w:pPr>
            <w:r>
              <w:t xml:space="preserve">Project owner</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 images and videos</w:t>
            </w:r>
          </w:p>
        </w:tc>
        <w:tc>
          <w:tcPr>
            <w:tcMar>
              <w:top w:type="dxa" w:w="80"/>
              <w:left w:type="dxa" w:w="120"/>
              <w:bottom w:type="dxa" w:w="80"/>
              <w:right w:type="dxa" w:w="120"/>
            </w:tcMar>
            <w:vAlign w:val="center"/>
          </w:tcPr>
          <w:p>
            <w:pPr>
              <w:pStyle w:val="MdTableCell"/>
            </w:pPr>
            <w:r>
              <w:t xml:space="preserve">Management</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Approve Arabic copy</w:t>
            </w:r>
          </w:p>
        </w:tc>
        <w:tc>
          <w:tcPr>
            <w:tcMar>
              <w:top w:type="dxa" w:w="80"/>
              <w:left w:type="dxa" w:w="120"/>
              <w:bottom w:type="dxa" w:w="80"/>
              <w:right w:type="dxa" w:w="120"/>
            </w:tcMar>
            <w:vAlign w:val="center"/>
          </w:tcPr>
          <w:p>
            <w:pPr>
              <w:pStyle w:val="MdTableCell"/>
            </w:pPr>
            <w:r>
              <w:t xml:space="preserve">Management</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Configure Meta Business access</w:t>
            </w:r>
          </w:p>
        </w:tc>
        <w:tc>
          <w:tcPr>
            <w:tcMar>
              <w:top w:type="dxa" w:w="80"/>
              <w:left w:type="dxa" w:w="120"/>
              <w:bottom w:type="dxa" w:w="80"/>
              <w:right w:type="dxa" w:w="120"/>
            </w:tcMar>
            <w:vAlign w:val="center"/>
          </w:tcPr>
          <w:p>
            <w:pPr>
              <w:pStyle w:val="MdTableCell"/>
            </w:pPr>
            <w:r>
              <w:t xml:space="preserve">Account owner</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Configure lead form and CRM routing</w:t>
            </w:r>
          </w:p>
        </w:tc>
        <w:tc>
          <w:tcPr>
            <w:tcMar>
              <w:top w:type="dxa" w:w="80"/>
              <w:left w:type="dxa" w:w="120"/>
              <w:bottom w:type="dxa" w:w="80"/>
              <w:right w:type="dxa" w:w="120"/>
            </w:tcMar>
            <w:vAlign w:val="center"/>
          </w:tcPr>
          <w:p>
            <w:pPr>
              <w:pStyle w:val="MdTableCell"/>
            </w:pPr>
            <w:r>
              <w:t xml:space="preserve">CRM owner</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Assign female and male follow-up/viewing staff</w:t>
            </w:r>
          </w:p>
        </w:tc>
        <w:tc>
          <w:tcPr>
            <w:tcMar>
              <w:top w:type="dxa" w:w="80"/>
              <w:left w:type="dxa" w:w="120"/>
              <w:bottom w:type="dxa" w:w="80"/>
              <w:right w:type="dxa" w:w="120"/>
            </w:tcMar>
            <w:vAlign w:val="center"/>
          </w:tcPr>
          <w:p>
            <w:pPr>
              <w:pStyle w:val="MdTableCell"/>
            </w:pPr>
            <w:r>
              <w:t xml:space="preserve">Sales lead</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Set approved monthly budget</w:t>
            </w:r>
          </w:p>
        </w:tc>
        <w:tc>
          <w:tcPr>
            <w:tcMar>
              <w:top w:type="dxa" w:w="80"/>
              <w:left w:type="dxa" w:w="120"/>
              <w:bottom w:type="dxa" w:w="80"/>
              <w:right w:type="dxa" w:w="120"/>
            </w:tcMar>
            <w:vAlign w:val="center"/>
          </w:tcPr>
          <w:p>
            <w:pPr>
              <w:pStyle w:val="MdTableCell"/>
            </w:pPr>
            <w:r>
              <w:t xml:space="preserve">Senior management</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 phone, WhatsApp, forms, and tracking</w:t>
            </w:r>
          </w:p>
        </w:tc>
        <w:tc>
          <w:tcPr>
            <w:tcMar>
              <w:top w:type="dxa" w:w="80"/>
              <w:left w:type="dxa" w:w="120"/>
              <w:bottom w:type="dxa" w:w="80"/>
              <w:right w:type="dxa" w:w="120"/>
            </w:tcMar>
            <w:vAlign w:val="center"/>
          </w:tcPr>
          <w:p>
            <w:pPr>
              <w:pStyle w:val="MdTableCell"/>
            </w:pPr>
            <w:r>
              <w:t xml:space="preserve">Marketing / CRM</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Launch test campaign</w:t>
            </w:r>
          </w:p>
        </w:tc>
        <w:tc>
          <w:tcPr>
            <w:tcMar>
              <w:top w:type="dxa" w:w="80"/>
              <w:left w:type="dxa" w:w="120"/>
              <w:bottom w:type="dxa" w:w="80"/>
              <w:right w:type="dxa" w:w="120"/>
            </w:tcMar>
            <w:vAlign w:val="center"/>
          </w:tcPr>
          <w:p>
            <w:pPr>
              <w:pStyle w:val="MdTableCell"/>
            </w:pPr>
            <w:r>
              <w:t xml:space="preserve">Authorized account owner</w:t>
            </w:r>
          </w:p>
        </w:tc>
        <w:tc>
          <w:tcPr>
            <w:tcBorders>
              <w:right w:val="none"/>
            </w:tcBorders>
            <w:tcMar>
              <w:top w:type="dxa" w:w="80"/>
              <w:left w:type="dxa" w:w="120"/>
              <w:bottom w:type="dxa" w:w="80"/>
              <w:right w:type="dxa" w:w="120"/>
            </w:tcMar>
            <w:vAlign w:val="center"/>
          </w:tcPr>
          <w:p>
            <w:pPr>
              <w:pStyle w:val="MdTableCell"/>
            </w:pPr>
            <w:r>
              <w:t xml:space="preserve">Pending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Review after first reporting period</w:t>
            </w:r>
          </w:p>
        </w:tc>
        <w:tc>
          <w:tcPr>
            <w:tcBorders>
              <w:bottom w:val="single" w:color="E1E4E8" w:sz="4"/>
            </w:tcBorders>
            <w:tcMar>
              <w:top w:type="dxa" w:w="80"/>
              <w:left w:type="dxa" w:w="120"/>
              <w:bottom w:type="dxa" w:w="80"/>
              <w:right w:type="dxa" w:w="120"/>
            </w:tcMar>
            <w:vAlign w:val="center"/>
          </w:tcPr>
          <w:p>
            <w:pPr>
              <w:pStyle w:val="MdTableCell"/>
            </w:pPr>
            <w:r>
              <w:t xml:space="preserve">Management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Pending</w:t>
            </w:r>
          </w:p>
        </w:tc>
      </w:tr>
    </w:tbl>
    <w:p>
      <w:pPr>
        <w:pStyle w:val="Heading2"/>
        <w:pStyle w:val="MdHeading2"/>
      </w:pPr>
      <w:r>
        <w:t xml:space="preserve">13. Approval request</w:t>
      </w:r>
    </w:p>
    <w:p>
      <w:pPr>
        <w:pStyle w:val="MdParagraph"/>
      </w:pPr>
      <w:r>
        <w:t xml:space="preserve">Request approval for the campaign architecture, audience categories, Arabic messaging, lead form, CRM process, staff assignments, commission wording, creative production process, and monthly budget values. Keep the cash budget blank until senior management confirms it.</w:t>
      </w:r>
    </w:p>
    <w:p>
      <w:pPr>
        <w:pStyle w:val="MdSpace"/>
        <w:spacing w:before="0" w:after="60"/>
      </w:pPr>
    </w:p>
    <w:p>
      <w:pPr>
        <w:pStyle w:val="MdParagraph"/>
      </w:pPr>
      <w:r>
        <w:t xml:space="preserve">The campaign should be launched only after unit and price confirmation. Publishing or spending requires a separate explicit approval from the authorized account owner.</w:t>
      </w:r>
    </w:p>
    <w:p>
      <w:pPr>
        <w:pStyle w:val="MdSpace"/>
        <w:spacing w:before="0" w:after="60"/>
      </w:pPr>
    </w:p>
    <w:p>
      <w:pPr>
        <w:pStyle w:val="Heading1"/>
        <w:pStyle w:val="MdHeading1"/>
      </w:pPr>
      <w:r>
        <w:t xml:space="preserve">مصدر مدمج: cairo_plaza_swot_market_value_analysis.md</w:t>
      </w:r>
    </w:p>
    <w:p>
      <w:pPr>
        <w:pStyle w:val="Heading1"/>
        <w:pStyle w:val="MdHeading1"/>
      </w:pPr>
      <w:r>
        <w:t xml:space="preserve">تحليل SWOT وقيمة المشروع وسوق المتر في المطرية</w:t>
      </w:r>
    </w:p>
    <w:p>
      <w:pPr>
        <w:pStyle w:val="MdParagraph"/>
      </w:pPr>
      <w:r>
        <w:rPr>
          <w:rStyle w:val="MdStrong"/>
          <w:b/>
          <w:bCs/>
        </w:rPr>
        <w:t xml:space="preserve">المشروع:</w:t>
      </w:r>
      <w:r>
        <w:t xml:space="preserve"> كايرو بلازا</w:t>
      </w:r>
      <w:r>
        <w:rPr>
          <w:rStyle w:val="MdBr"/>
        </w:rPr>
        <w:br/>
        <w:t xml:space="preserve"/>
      </w:r>
      <w:r>
        <w:rPr>
          <w:rStyle w:val="MdStrong"/>
          <w:b/>
          <w:bCs/>
        </w:rPr>
        <w:t xml:space="preserve">تاريخ التحليل:</w:t>
      </w:r>
      <w:r>
        <w:t xml:space="preserve"> 24 أغسطس 2026</w:t>
      </w:r>
      <w:r>
        <w:rPr>
          <w:rStyle w:val="MdBr"/>
        </w:rPr>
        <w:br/>
        <w:t xml:space="preserve"/>
      </w:r>
      <w:r>
        <w:rPr>
          <w:rStyle w:val="MdStrong"/>
          <w:b/>
          <w:bCs/>
        </w:rPr>
        <w:t xml:space="preserve">نطاق التحليل:</w:t>
      </w:r>
      <w:r>
        <w:t xml:space="preserve"> خطة التسويق والمبيعات، الوحدات المتاحة، الأرض، وسيناريو استكمال المشروع.</w:t>
      </w:r>
    </w:p>
    <w:p>
      <w:pPr>
        <w:pStyle w:val="MdSpace"/>
        <w:spacing w:before="0" w:after="60"/>
      </w:pPr>
    </w:p>
    <w:p>
      <w:pPr>
        <w:pStyle w:val="MdBlockquote"/>
      </w:pPr>
      <w:r>
        <w:rPr>
          <w:rStyle w:val="MdStrong"/>
          <w:b/>
          <w:bCs/>
        </w:rPr>
        <w:t xml:space="preserve">تنبيه مهني:</w:t>
      </w:r>
      <w:r>
        <w:t xml:space="preserve"> أنا لست مستشارًا ماليًا مرخصًا؛ هذا تحليل تخطيطي مبني على البيانات المقدمة وأسعار طلب معلنة، وليس تقييمًا عقاريًا أو ضمانًا للعائد. يجب تكليف مثمن وخبير قانوني وهندسي قبل اعتماد سعر بيع أو قرار استكمال أو تمويل.</w:t>
      </w:r>
    </w:p>
    <w:p>
      <w:pPr>
        <w:pStyle w:val="MdSpace"/>
        <w:spacing w:before="0" w:after="60"/>
      </w:pPr>
    </w:p>
    <w:p>
      <w:pPr>
        <w:pStyle w:val="Heading2"/>
        <w:pStyle w:val="MdHeading2"/>
      </w:pPr>
      <w:r>
        <w:t xml:space="preserve">1. الخلاصة التنفيذية</w:t>
      </w:r>
    </w:p>
    <w:p>
      <w:pPr>
        <w:pStyle w:val="MdParagraph"/>
      </w:pPr>
      <w:r>
        <w:t xml:space="preserve">المشروع لديه قاعدة تجارية قابلة للتسويق: مبنى قائم، وحدات إدارية وتجارية معلنة في الملفات المرفقة، وموقع قريب من حركة المطرية ومحطة المترو وفق وصف المشروع. لكن فرصة البيع لا تعتمد على الموقع وحده؛ بل على دقة المخزون، وضوح التسليم، سرعة المتابعة، قبول السوق للسعر، وقوة شبكة البروكرز.</w:t>
      </w:r>
    </w:p>
    <w:p>
      <w:pPr>
        <w:pStyle w:val="MdSpace"/>
        <w:spacing w:before="0" w:after="60"/>
      </w:pPr>
    </w:p>
    <w:p>
      <w:pPr>
        <w:pStyle w:val="MdParagraph"/>
      </w:pPr>
      <w:r>
        <w:t xml:space="preserve">الهدف التشغيلي الأنسب هو اعتماد خط أساس </w:t>
      </w:r>
      <w:r>
        <w:rPr>
          <w:rStyle w:val="MdStrong"/>
          <w:b/>
          <w:bCs/>
        </w:rPr>
        <w:t xml:space="preserve">H6</w:t>
      </w:r>
      <w:r>
        <w:t xml:space="preserve"> يساوي التسجيلات أو الحجوزات المعتمدة خلال آخر 6 أشهر، ثم استهداف </w:t>
      </w:r>
      <w:r>
        <w:rPr>
          <w:rStyle w:val="MdStrong"/>
          <w:b/>
          <w:bCs/>
        </w:rPr>
        <w:t xml:space="preserve">2 × H6</w:t>
      </w:r>
      <w:r>
        <w:t xml:space="preserve"> خلال الستة أشهر التالية. هذا الهدف يدعم السعي إلى بيع الوحدات المتاحة خلال النصف الأول من 2027، لكنه لا يساوي ضمانًا للبيع الكامل.</w:t>
      </w:r>
    </w:p>
    <w:p>
      <w:pPr>
        <w:pStyle w:val="MdSpace"/>
        <w:spacing w:before="0" w:after="60"/>
      </w:pPr>
    </w:p>
    <w:p>
      <w:pPr>
        <w:pStyle w:val="Heading2"/>
        <w:pStyle w:val="MdHeading2"/>
      </w:pPr>
      <w:r>
        <w:t xml:space="preserve">2. قيمة المشروع وفق البيانات الحالية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البند</w:t>
            </w:r>
          </w:p>
        </w:tc>
        <w:tc>
          <w:tcPr>
            <w:tcMar>
              <w:top w:type="dxa" w:w="100"/>
              <w:left w:type="dxa" w:w="120"/>
              <w:bottom w:type="dxa" w:w="100"/>
              <w:right w:type="dxa" w:w="120"/>
            </w:tcMar>
            <w:vAlign w:val="center"/>
          </w:tcPr>
          <w:p>
            <w:pPr>
              <w:pStyle w:val="MdTableHeader"/>
              <w:jc w:val="right"/>
            </w:pPr>
            <w:r>
              <w:t xml:space="preserve">المساحة</w:t>
            </w:r>
          </w:p>
        </w:tc>
        <w:tc>
          <w:tcPr>
            <w:tcBorders>
              <w:right w:val="none"/>
            </w:tcBorders>
            <w:tcMar>
              <w:top w:type="dxa" w:w="100"/>
              <w:left w:type="dxa" w:w="120"/>
              <w:bottom w:type="dxa" w:w="100"/>
              <w:right w:type="dxa" w:w="120"/>
            </w:tcMar>
            <w:vAlign w:val="center"/>
          </w:tcPr>
          <w:p>
            <w:pPr>
              <w:pStyle w:val="MdTableHeader"/>
              <w:jc w:val="right"/>
            </w:pPr>
            <w:r>
              <w:t xml:space="preserve">القيمة الحسابية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الأرض: القطع 2 و4 و6</w:t>
            </w:r>
          </w:p>
        </w:tc>
        <w:tc>
          <w:tcPr>
            <w:tcMar>
              <w:top w:type="dxa" w:w="80"/>
              <w:left w:type="dxa" w:w="120"/>
              <w:bottom w:type="dxa" w:w="80"/>
              <w:right w:type="dxa" w:w="120"/>
            </w:tcMar>
            <w:vAlign w:val="center"/>
          </w:tcPr>
          <w:p>
            <w:pPr>
              <w:pStyle w:val="MdTableCell"/>
              <w:jc w:val="right"/>
            </w:pPr>
            <w:r>
              <w:t xml:space="preserve">3,678.80 م²</w:t>
            </w:r>
          </w:p>
        </w:tc>
        <w:tc>
          <w:tcPr>
            <w:tcBorders>
              <w:right w:val="none"/>
            </w:tcBorders>
            <w:tcMar>
              <w:top w:type="dxa" w:w="80"/>
              <w:left w:type="dxa" w:w="120"/>
              <w:bottom w:type="dxa" w:w="80"/>
              <w:right w:type="dxa" w:w="120"/>
            </w:tcMar>
            <w:vAlign w:val="center"/>
          </w:tcPr>
          <w:p>
            <w:pPr>
              <w:pStyle w:val="MdTableCell"/>
              <w:jc w:val="right"/>
            </w:pPr>
            <w:r>
              <w:t xml:space="preserve">404,668,000 جنيه</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الوحدات المتاحة وفق ملفات أبريل 2026</w:t>
            </w:r>
          </w:p>
        </w:tc>
        <w:tc>
          <w:tcPr>
            <w:tcMar>
              <w:top w:type="dxa" w:w="80"/>
              <w:left w:type="dxa" w:w="120"/>
              <w:bottom w:type="dxa" w:w="80"/>
              <w:right w:type="dxa" w:w="120"/>
            </w:tcMar>
            <w:vAlign w:val="center"/>
          </w:tcPr>
          <w:p>
            <w:pPr>
              <w:pStyle w:val="MdTableCell"/>
              <w:jc w:val="right"/>
            </w:pPr>
            <w:r>
              <w:t xml:space="preserve">3,141.70 م²</w:t>
            </w:r>
          </w:p>
        </w:tc>
        <w:tc>
          <w:tcPr>
            <w:tcBorders>
              <w:right w:val="none"/>
            </w:tcBorders>
            <w:tcMar>
              <w:top w:type="dxa" w:w="80"/>
              <w:left w:type="dxa" w:w="120"/>
              <w:bottom w:type="dxa" w:w="80"/>
              <w:right w:type="dxa" w:w="120"/>
            </w:tcMar>
            <w:vAlign w:val="center"/>
          </w:tcPr>
          <w:p>
            <w:pPr>
              <w:pStyle w:val="MdTableCell"/>
              <w:jc w:val="right"/>
            </w:pPr>
            <w:r>
              <w:t xml:space="preserve">68,678,700 جنيه</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القيمة التجميعية الإرشادية الحالية</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473,346,700 جنيه</w:t>
            </w:r>
          </w:p>
        </w:tc>
      </w:tr>
    </w:tbl>
    <w:p>
      <w:pPr>
        <w:pStyle w:val="MdParagraph"/>
      </w:pPr>
      <w:r>
        <w:t xml:space="preserve">القيمة الحالية أعلاه تجمع قيمة الأرض حسب سعر 110,000 جنيه للمتر مع قيمة الوحدات كما وردت في الملفين. يجب التأكد من عدم احتساب قيمة الأرض والوحدات مرتين، لأن الوحدات المبنية قد تكون مرتبطة قانونيًا واقتصاديًا بالأرض.</w:t>
      </w:r>
    </w:p>
    <w:p>
      <w:pPr>
        <w:pStyle w:val="MdSpace"/>
        <w:spacing w:before="0" w:after="60"/>
      </w:pPr>
    </w:p>
    <w:p>
      <w:pPr>
        <w:pStyle w:val="Heading3"/>
        <w:pStyle w:val="MdHeading3"/>
      </w:pPr>
      <w:r>
        <w:t xml:space="preserve">قيمة المشروع إذا تم استكمال البناء على الأرض</w:t>
      </w:r>
    </w:p>
    <w:p>
      <w:pPr>
        <w:pStyle w:val="MdParagraph"/>
      </w:pPr>
      <w:r>
        <w:t xml:space="preserve">البيانات المقدمة تشير إلى مساحات بنائية تقريبية قدرها 7,357.60 م² تجاري، و36,788.00 م² إداري، و14,715.20 م² سكني، بإجمالي 58,860.80 م² فوق الأرض، إضافة إلى جراج/بدروم تقريبي 3,678.80 م². لا توجد في المصادر المفتوحة التي تمت مراجعتها عينة موثوقة كافية لتسعير كل استخدام على وجه الدقة بجوار المحطة، لذلك أستخدم نطاقًا تخطيطيًا لا تقييمًا.</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الاستخدام</w:t>
            </w:r>
          </w:p>
        </w:tc>
        <w:tc>
          <w:tcPr>
            <w:tcMar>
              <w:top w:type="dxa" w:w="100"/>
              <w:left w:type="dxa" w:w="120"/>
              <w:bottom w:type="dxa" w:w="100"/>
              <w:right w:type="dxa" w:w="120"/>
            </w:tcMar>
            <w:vAlign w:val="center"/>
          </w:tcPr>
          <w:p>
            <w:pPr>
              <w:pStyle w:val="MdTableHeader"/>
              <w:jc w:val="right"/>
            </w:pPr>
            <w:r>
              <w:t xml:space="preserve">المساحة</w:t>
            </w:r>
          </w:p>
        </w:tc>
        <w:tc>
          <w:tcPr>
            <w:tcMar>
              <w:top w:type="dxa" w:w="100"/>
              <w:left w:type="dxa" w:w="120"/>
              <w:bottom w:type="dxa" w:w="100"/>
              <w:right w:type="dxa" w:w="120"/>
            </w:tcMar>
            <w:vAlign w:val="center"/>
          </w:tcPr>
          <w:p>
            <w:pPr>
              <w:pStyle w:val="MdTableHeader"/>
              <w:jc w:val="right"/>
            </w:pPr>
            <w:r>
              <w:t xml:space="preserve">نطاق سعر تخطيطي للمتر</w:t>
            </w:r>
          </w:p>
        </w:tc>
        <w:tc>
          <w:tcPr>
            <w:tcBorders>
              <w:right w:val="none"/>
            </w:tcBorders>
            <w:tcMar>
              <w:top w:type="dxa" w:w="100"/>
              <w:left w:type="dxa" w:w="120"/>
              <w:bottom w:type="dxa" w:w="100"/>
              <w:right w:type="dxa" w:w="120"/>
            </w:tcMar>
            <w:vAlign w:val="center"/>
          </w:tcPr>
          <w:p>
            <w:pPr>
              <w:pStyle w:val="MdTableHeader"/>
              <w:jc w:val="right"/>
            </w:pPr>
            <w:r>
              <w:t xml:space="preserve">قيمة الاستخدام قبل التكاليف</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تجاري</w:t>
            </w:r>
          </w:p>
        </w:tc>
        <w:tc>
          <w:tcPr>
            <w:tcMar>
              <w:top w:type="dxa" w:w="80"/>
              <w:left w:type="dxa" w:w="120"/>
              <w:bottom w:type="dxa" w:w="80"/>
              <w:right w:type="dxa" w:w="120"/>
            </w:tcMar>
            <w:vAlign w:val="center"/>
          </w:tcPr>
          <w:p>
            <w:pPr>
              <w:pStyle w:val="MdTableCell"/>
              <w:jc w:val="right"/>
            </w:pPr>
            <w:r>
              <w:t xml:space="preserve">7,357.60 م²</w:t>
            </w:r>
          </w:p>
        </w:tc>
        <w:tc>
          <w:tcPr>
            <w:tcMar>
              <w:top w:type="dxa" w:w="80"/>
              <w:left w:type="dxa" w:w="120"/>
              <w:bottom w:type="dxa" w:w="80"/>
              <w:right w:type="dxa" w:w="120"/>
            </w:tcMar>
            <w:vAlign w:val="center"/>
          </w:tcPr>
          <w:p>
            <w:pPr>
              <w:pStyle w:val="MdTableCell"/>
              <w:jc w:val="right"/>
            </w:pPr>
            <w:r>
              <w:t xml:space="preserve">35,000–45,000 جنيه</w:t>
            </w:r>
          </w:p>
        </w:tc>
        <w:tc>
          <w:tcPr>
            <w:tcBorders>
              <w:right w:val="none"/>
            </w:tcBorders>
            <w:tcMar>
              <w:top w:type="dxa" w:w="80"/>
              <w:left w:type="dxa" w:w="120"/>
              <w:bottom w:type="dxa" w:w="80"/>
              <w:right w:type="dxa" w:w="120"/>
            </w:tcMar>
            <w:vAlign w:val="center"/>
          </w:tcPr>
          <w:p>
            <w:pPr>
              <w:pStyle w:val="MdTableCell"/>
              <w:jc w:val="right"/>
            </w:pPr>
            <w:r>
              <w:t xml:space="preserve">257,516,000–331,092,000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إداري</w:t>
            </w:r>
          </w:p>
        </w:tc>
        <w:tc>
          <w:tcPr>
            <w:tcMar>
              <w:top w:type="dxa" w:w="80"/>
              <w:left w:type="dxa" w:w="120"/>
              <w:bottom w:type="dxa" w:w="80"/>
              <w:right w:type="dxa" w:w="120"/>
            </w:tcMar>
            <w:vAlign w:val="center"/>
          </w:tcPr>
          <w:p>
            <w:pPr>
              <w:pStyle w:val="MdTableCell"/>
              <w:jc w:val="right"/>
            </w:pPr>
            <w:r>
              <w:t xml:space="preserve">36,788.00 م²</w:t>
            </w:r>
          </w:p>
        </w:tc>
        <w:tc>
          <w:tcPr>
            <w:tcMar>
              <w:top w:type="dxa" w:w="80"/>
              <w:left w:type="dxa" w:w="120"/>
              <w:bottom w:type="dxa" w:w="80"/>
              <w:right w:type="dxa" w:w="120"/>
            </w:tcMar>
            <w:vAlign w:val="center"/>
          </w:tcPr>
          <w:p>
            <w:pPr>
              <w:pStyle w:val="MdTableCell"/>
              <w:jc w:val="right"/>
            </w:pPr>
            <w:r>
              <w:t xml:space="preserve">15,000–26,000 جنيه</w:t>
            </w:r>
          </w:p>
        </w:tc>
        <w:tc>
          <w:tcPr>
            <w:tcBorders>
              <w:right w:val="none"/>
            </w:tcBorders>
            <w:tcMar>
              <w:top w:type="dxa" w:w="80"/>
              <w:left w:type="dxa" w:w="120"/>
              <w:bottom w:type="dxa" w:w="80"/>
              <w:right w:type="dxa" w:w="120"/>
            </w:tcMar>
            <w:vAlign w:val="center"/>
          </w:tcPr>
          <w:p>
            <w:pPr>
              <w:pStyle w:val="MdTableCell"/>
              <w:jc w:val="right"/>
            </w:pPr>
            <w:r>
              <w:t xml:space="preserve">551,820,000–956,488,000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سكني</w:t>
            </w:r>
          </w:p>
        </w:tc>
        <w:tc>
          <w:tcPr>
            <w:tcMar>
              <w:top w:type="dxa" w:w="80"/>
              <w:left w:type="dxa" w:w="120"/>
              <w:bottom w:type="dxa" w:w="80"/>
              <w:right w:type="dxa" w:w="120"/>
            </w:tcMar>
            <w:vAlign w:val="center"/>
          </w:tcPr>
          <w:p>
            <w:pPr>
              <w:pStyle w:val="MdTableCell"/>
              <w:jc w:val="right"/>
            </w:pPr>
            <w:r>
              <w:t xml:space="preserve">14,715.20 م²</w:t>
            </w:r>
          </w:p>
        </w:tc>
        <w:tc>
          <w:tcPr>
            <w:tcMar>
              <w:top w:type="dxa" w:w="80"/>
              <w:left w:type="dxa" w:w="120"/>
              <w:bottom w:type="dxa" w:w="80"/>
              <w:right w:type="dxa" w:w="120"/>
            </w:tcMar>
            <w:vAlign w:val="center"/>
          </w:tcPr>
          <w:p>
            <w:pPr>
              <w:pStyle w:val="MdTableCell"/>
              <w:jc w:val="right"/>
            </w:pPr>
            <w:r>
              <w:t xml:space="preserve">8,900 جنيه كمؤشر عام معلن للمطرية</w:t>
            </w:r>
          </w:p>
        </w:tc>
        <w:tc>
          <w:tcPr>
            <w:tcBorders>
              <w:right w:val="none"/>
            </w:tcBorders>
            <w:tcMar>
              <w:top w:type="dxa" w:w="80"/>
              <w:left w:type="dxa" w:w="120"/>
              <w:bottom w:type="dxa" w:w="80"/>
              <w:right w:type="dxa" w:w="120"/>
            </w:tcMar>
            <w:vAlign w:val="center"/>
          </w:tcPr>
          <w:p>
            <w:pPr>
              <w:pStyle w:val="MdTableCell"/>
              <w:jc w:val="right"/>
            </w:pPr>
            <w:r>
              <w:t xml:space="preserve">130,965,280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قيمة المباني فوق الأرض</w:t>
            </w:r>
          </w:p>
        </w:tc>
        <w:tc>
          <w:tcPr>
            <w:tcMar>
              <w:top w:type="dxa" w:w="80"/>
              <w:left w:type="dxa" w:w="120"/>
              <w:bottom w:type="dxa" w:w="80"/>
              <w:right w:type="dxa" w:w="120"/>
            </w:tcMar>
            <w:vAlign w:val="center"/>
          </w:tcPr>
          <w:p>
            <w:pPr>
              <w:pStyle w:val="MdTableCell"/>
              <w:jc w:val="right"/>
            </w:pPr>
            <w:r>
              <w:rPr>
                <w:rStyle w:val="MdStrong"/>
                <w:b/>
                <w:bCs/>
              </w:rPr>
              <w:t xml:space="preserve">58,860.80 م²</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rPr>
                <w:rStyle w:val="MdStrong"/>
                <w:b/>
                <w:bCs/>
              </w:rPr>
              <w:t xml:space="preserve">940,301,280–1,418,545,280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الأرض</w:t>
            </w:r>
          </w:p>
        </w:tc>
        <w:tc>
          <w:tcPr>
            <w:tcMar>
              <w:top w:type="dxa" w:w="80"/>
              <w:left w:type="dxa" w:w="120"/>
              <w:bottom w:type="dxa" w:w="80"/>
              <w:right w:type="dxa" w:w="120"/>
            </w:tcMar>
            <w:vAlign w:val="center"/>
          </w:tcPr>
          <w:p>
            <w:pPr>
              <w:pStyle w:val="MdTableCell"/>
              <w:jc w:val="right"/>
            </w:pPr>
            <w:r>
              <w:t xml:space="preserve">3,678.80 م²</w:t>
            </w:r>
          </w:p>
        </w:tc>
        <w:tc>
          <w:tcPr>
            <w:tcMar>
              <w:top w:type="dxa" w:w="80"/>
              <w:left w:type="dxa" w:w="120"/>
              <w:bottom w:type="dxa" w:w="80"/>
              <w:right w:type="dxa" w:w="120"/>
            </w:tcMar>
            <w:vAlign w:val="center"/>
          </w:tcPr>
          <w:p>
            <w:pPr>
              <w:pStyle w:val="MdTableCell"/>
              <w:jc w:val="right"/>
            </w:pPr>
            <w:r>
              <w:t xml:space="preserve">110,000 جنيه</w:t>
            </w:r>
          </w:p>
        </w:tc>
        <w:tc>
          <w:tcPr>
            <w:tcBorders>
              <w:right w:val="none"/>
            </w:tcBorders>
            <w:tcMar>
              <w:top w:type="dxa" w:w="80"/>
              <w:left w:type="dxa" w:w="120"/>
              <w:bottom w:type="dxa" w:w="80"/>
              <w:right w:type="dxa" w:w="120"/>
            </w:tcMar>
            <w:vAlign w:val="center"/>
          </w:tcPr>
          <w:p>
            <w:pPr>
              <w:pStyle w:val="MdTableCell"/>
              <w:jc w:val="right"/>
            </w:pPr>
            <w:r>
              <w:t xml:space="preserve">404,668,000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قيمة المشروع الإجمالية الإرشادية عند الاستكمال</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rPr>
                <w:rStyle w:val="MdStrong"/>
                <w:b/>
                <w:bCs/>
              </w:rPr>
              <w:t xml:space="preserve">1,344,969,280–1,823,213,280 جنيه</w:t>
            </w:r>
          </w:p>
        </w:tc>
      </w:tr>
    </w:tbl>
    <w:p>
      <w:pPr>
        <w:pStyle w:val="MdBlockquote"/>
      </w:pPr>
      <w:r>
        <w:rPr>
          <w:rStyle w:val="MdStrong"/>
          <w:b/>
          <w:bCs/>
        </w:rPr>
        <w:t xml:space="preserve">النتيجة التقريبية:</w:t>
      </w:r>
      <w:r>
        <w:t xml:space="preserve"> إذا اكتمل المشروع وكانت المساحات قابلة للبيع أو التأجير وفق الرخص، فقد تقع قيمة الأصل الإجمالية الإرشادية في نطاق </w:t>
      </w:r>
      <w:r>
        <w:rPr>
          <w:rStyle w:val="MdStrong"/>
          <w:b/>
          <w:bCs/>
        </w:rPr>
        <w:t xml:space="preserve">1.345 إلى 1.823 مليار جنيه</w:t>
      </w:r>
      <w:r>
        <w:t xml:space="preserve"> قبل خصم تكلفة البناء والتشطيب والتمويل والرسوم والضرائب وفترات الشغور والخصومات والعمولات.</w:t>
      </w:r>
    </w:p>
    <w:p>
      <w:pPr>
        <w:pStyle w:val="MdSpace"/>
        <w:spacing w:before="0" w:after="60"/>
      </w:pPr>
    </w:p>
    <w:p>
      <w:pPr>
        <w:pStyle w:val="MdParagraph"/>
      </w:pPr>
      <w:r>
        <w:t xml:space="preserve">هذه ليست قيمة صافي الربح أو قيمة التطوير، ولا يجوز مقارنتها مباشرة بسعر البيع الحالي قبل إعداد نموذج جدوى يتضمن تكلفة الاستكمال، الجدول الزمني، التدفقات النقدية، ومعدلات البيع أو الإشغال.</w:t>
      </w:r>
    </w:p>
    <w:p>
      <w:pPr>
        <w:pStyle w:val="MdSpace"/>
        <w:spacing w:before="0" w:after="60"/>
      </w:pPr>
    </w:p>
    <w:p>
      <w:pPr>
        <w:pStyle w:val="Heading2"/>
        <w:pStyle w:val="MdHeading2"/>
      </w:pPr>
      <w:r>
        <w:t xml:space="preserve">3. أسعار المتر المعلنة في المطرية ومحيط المترو</w:t>
      </w:r>
    </w:p>
    <w:p>
      <w:pPr>
        <w:pStyle w:val="MdParagraph"/>
      </w:pPr>
      <w:r>
        <w:t xml:space="preserve">المصادر المفتوحة التي أمكن الوصول إليها هي أسعار طلب في إعلانات، وليست أسعار تنفيذ موثقة. على عقارماب ظهرت أمثلة لمحلات في المطرية من نحو </w:t>
      </w:r>
      <w:r>
        <w:rPr>
          <w:rStyle w:val="MdStrong"/>
          <w:b/>
          <w:bCs/>
        </w:rPr>
        <w:t xml:space="preserve">15,000 جنيه/م²</w:t>
      </w:r>
      <w:r>
        <w:t xml:space="preserve"> لمحل 250 م² بجوار مترو المطرية، إلى </w:t>
      </w:r>
      <w:r>
        <w:rPr>
          <w:rStyle w:val="MdStrong"/>
          <w:b/>
          <w:bCs/>
        </w:rPr>
        <w:t xml:space="preserve">35,000 جنيه/م²</w:t>
      </w:r>
      <w:r>
        <w:t xml:space="preserve"> لمحل 68 م² بشارع الخارجة بجوار المترو، و</w:t>
      </w:r>
      <w:r>
        <w:rPr>
          <w:rStyle w:val="MdStrong"/>
          <w:b/>
          <w:bCs/>
        </w:rPr>
        <w:t xml:space="preserve">40,000–41,666 جنيه/م²</w:t>
      </w:r>
      <w:r>
        <w:t xml:space="preserve"> لمحلات صغيرة في شوارع ومولات قريبة، مع أمثلة أعلى تصل إلى </w:t>
      </w:r>
      <w:r>
        <w:rPr>
          <w:rStyle w:val="MdStrong"/>
          <w:b/>
          <w:bCs/>
        </w:rPr>
        <w:t xml:space="preserve">80,000–92,592 جنيه/م²</w:t>
      </w:r>
      <w:r>
        <w:t xml:space="preserve"> للمساحات الصغيرة أو المواقع الأقوى.</w:t>
      </w:r>
      <w:hyperlink w:history="1" r:id="rIdvvxokorjckkamtx1ium96">
        <w:r>
          <w:rPr>
            <w:rStyle w:val="MdLink"/>
          </w:rPr>
          <w:t xml:space="preserve">1</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نوع المقارنة</w:t>
            </w:r>
          </w:p>
        </w:tc>
        <w:tc>
          <w:tcPr>
            <w:tcMar>
              <w:top w:type="dxa" w:w="100"/>
              <w:left w:type="dxa" w:w="120"/>
              <w:bottom w:type="dxa" w:w="100"/>
              <w:right w:type="dxa" w:w="120"/>
            </w:tcMar>
            <w:vAlign w:val="center"/>
          </w:tcPr>
          <w:p>
            <w:pPr>
              <w:pStyle w:val="MdTableHeader"/>
              <w:jc w:val="right"/>
            </w:pPr>
            <w:r>
              <w:t xml:space="preserve">أمثلة سعر طلب معلنة</w:t>
            </w:r>
          </w:p>
        </w:tc>
        <w:tc>
          <w:tcPr>
            <w:tcBorders>
              <w:right w:val="none"/>
            </w:tcBorders>
            <w:tcMar>
              <w:top w:type="dxa" w:w="100"/>
              <w:left w:type="dxa" w:w="120"/>
              <w:bottom w:type="dxa" w:w="100"/>
              <w:right w:type="dxa" w:w="120"/>
            </w:tcMar>
            <w:vAlign w:val="center"/>
          </w:tcPr>
          <w:p>
            <w:pPr>
              <w:pStyle w:val="MdTableHeader"/>
            </w:pPr>
            <w:r>
              <w:t xml:space="preserve">القراءة العملية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كبير / موقع ثانوي أو بدروم</w:t>
            </w:r>
          </w:p>
        </w:tc>
        <w:tc>
          <w:tcPr>
            <w:tcMar>
              <w:top w:type="dxa" w:w="80"/>
              <w:left w:type="dxa" w:w="120"/>
              <w:bottom w:type="dxa" w:w="80"/>
              <w:right w:type="dxa" w:w="120"/>
            </w:tcMar>
            <w:vAlign w:val="center"/>
          </w:tcPr>
          <w:p>
            <w:pPr>
              <w:pStyle w:val="MdTableCell"/>
              <w:jc w:val="right"/>
            </w:pPr>
            <w:r>
              <w:t xml:space="preserve">15,000–27,222 جنيه/م²</w:t>
            </w:r>
          </w:p>
        </w:tc>
        <w:tc>
          <w:tcPr>
            <w:tcBorders>
              <w:right w:val="none"/>
            </w:tcBorders>
            <w:tcMar>
              <w:top w:type="dxa" w:w="80"/>
              <w:left w:type="dxa" w:w="120"/>
              <w:bottom w:type="dxa" w:w="80"/>
              <w:right w:type="dxa" w:w="120"/>
            </w:tcMar>
            <w:vAlign w:val="center"/>
          </w:tcPr>
          <w:p>
            <w:pPr>
              <w:pStyle w:val="MdTableCell"/>
            </w:pPr>
            <w:r>
              <w:t xml:space="preserve">لا يصلح مباشرة لتسعير واجهة أرضية مميزة.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 بجوار المترو أو شارع رئيسي</w:t>
            </w:r>
          </w:p>
        </w:tc>
        <w:tc>
          <w:tcPr>
            <w:tcMar>
              <w:top w:type="dxa" w:w="80"/>
              <w:left w:type="dxa" w:w="120"/>
              <w:bottom w:type="dxa" w:w="80"/>
              <w:right w:type="dxa" w:w="120"/>
            </w:tcMar>
            <w:vAlign w:val="center"/>
          </w:tcPr>
          <w:p>
            <w:pPr>
              <w:pStyle w:val="MdTableCell"/>
              <w:jc w:val="right"/>
            </w:pPr>
            <w:r>
              <w:t xml:space="preserve">نحو 35,000 جنيه/م² في مثال 68 م²</w:t>
            </w:r>
          </w:p>
        </w:tc>
        <w:tc>
          <w:tcPr>
            <w:tcBorders>
              <w:right w:val="none"/>
            </w:tcBorders>
            <w:tcMar>
              <w:top w:type="dxa" w:w="80"/>
              <w:left w:type="dxa" w:w="120"/>
              <w:bottom w:type="dxa" w:w="80"/>
              <w:right w:type="dxa" w:w="120"/>
            </w:tcMar>
            <w:vAlign w:val="center"/>
          </w:tcPr>
          <w:p>
            <w:pPr>
              <w:pStyle w:val="MdTableCell"/>
            </w:pPr>
            <w:r>
              <w:t xml:space="preserve">أقرب للمقارنة الأولية للمحلات الأرضية، مع اختلاف التشطيب والواجهة.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محلات صغيرة في مول أو شارع حيوي</w:t>
            </w:r>
          </w:p>
        </w:tc>
        <w:tc>
          <w:tcPr>
            <w:tcMar>
              <w:top w:type="dxa" w:w="80"/>
              <w:left w:type="dxa" w:w="120"/>
              <w:bottom w:type="dxa" w:w="80"/>
              <w:right w:type="dxa" w:w="120"/>
            </w:tcMar>
            <w:vAlign w:val="center"/>
          </w:tcPr>
          <w:p>
            <w:pPr>
              <w:pStyle w:val="MdTableCell"/>
              <w:jc w:val="right"/>
            </w:pPr>
            <w:r>
              <w:t xml:space="preserve">نحو 40,000–41,666 جنيه/م²</w:t>
            </w:r>
          </w:p>
        </w:tc>
        <w:tc>
          <w:tcPr>
            <w:tcBorders>
              <w:right w:val="none"/>
            </w:tcBorders>
            <w:tcMar>
              <w:top w:type="dxa" w:w="80"/>
              <w:left w:type="dxa" w:w="120"/>
              <w:bottom w:type="dxa" w:w="80"/>
              <w:right w:type="dxa" w:w="120"/>
            </w:tcMar>
            <w:vAlign w:val="center"/>
          </w:tcPr>
          <w:p>
            <w:pPr>
              <w:pStyle w:val="MdTableCell"/>
            </w:pPr>
            <w:r>
              <w:t xml:space="preserve">مؤشر أعلى للمساحات الصغيرة والمواقع التجارية الأفضل.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أمثلة طلب مرتفع لمساحات صغيرة</w:t>
            </w:r>
          </w:p>
        </w:tc>
        <w:tc>
          <w:tcPr>
            <w:tcMar>
              <w:top w:type="dxa" w:w="80"/>
              <w:left w:type="dxa" w:w="120"/>
              <w:bottom w:type="dxa" w:w="80"/>
              <w:right w:type="dxa" w:w="120"/>
            </w:tcMar>
            <w:vAlign w:val="center"/>
          </w:tcPr>
          <w:p>
            <w:pPr>
              <w:pStyle w:val="MdTableCell"/>
              <w:jc w:val="right"/>
            </w:pPr>
            <w:r>
              <w:t xml:space="preserve">80,000–92,592 جنيه/م²</w:t>
            </w:r>
          </w:p>
        </w:tc>
        <w:tc>
          <w:tcPr>
            <w:tcBorders>
              <w:right w:val="none"/>
            </w:tcBorders>
            <w:tcMar>
              <w:top w:type="dxa" w:w="80"/>
              <w:left w:type="dxa" w:w="120"/>
              <w:bottom w:type="dxa" w:w="80"/>
              <w:right w:type="dxa" w:w="120"/>
            </w:tcMar>
            <w:vAlign w:val="center"/>
          </w:tcPr>
          <w:p>
            <w:pPr>
              <w:pStyle w:val="MdTableCell"/>
            </w:pPr>
            <w:r>
              <w:t xml:space="preserve">يجب عدم تعميمها؛ غالبًا تتأثر بصغر المساحة والموقع والتجهيز.</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متوسط العقارات السكنية في المطرية</w:t>
            </w:r>
          </w:p>
        </w:tc>
        <w:tc>
          <w:tcPr>
            <w:tcBorders>
              <w:bottom w:val="single" w:color="E1E4E8" w:sz="4"/>
            </w:tcBorders>
            <w:tcMar>
              <w:top w:type="dxa" w:w="80"/>
              <w:left w:type="dxa" w:w="120"/>
              <w:bottom w:type="dxa" w:w="80"/>
              <w:right w:type="dxa" w:w="120"/>
            </w:tcMar>
            <w:vAlign w:val="center"/>
          </w:tcPr>
          <w:p>
            <w:pPr>
              <w:pStyle w:val="MdTableCell"/>
              <w:jc w:val="right"/>
            </w:pPr>
            <w:r>
              <w:t xml:space="preserve">8,900 جنيه/م²</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متوسط معلن عام للعقارات، وليس سعرًا إداريًا أو تجاريًا.</w:t>
            </w:r>
          </w:p>
        </w:tc>
      </w:tr>
    </w:tbl>
    <w:p>
      <w:pPr>
        <w:pStyle w:val="MdParagraph"/>
      </w:pPr>
      <w:r>
        <w:t xml:space="preserve">يوجد أيضًا إعلان لمكاتب إدارية أمام محطة مترو المطرية يذكر مساحات من 45 إلى 100 م² واستلامًا فوريًا، لكن الصفحة المستخرجة تعرض سعرًا إجماليًا قدره 20,000 جنيه ولا تقدم سعر متر واضحًا؛ لذلك لا أستخدمه كسعر مقارنة موثوق للمكاتب.</w:t>
      </w:r>
      <w:hyperlink w:history="1" r:id="rId2qzqcyd-qa6qyk2qlj7ul">
        <w:r>
          <w:rPr>
            <w:rStyle w:val="MdLink"/>
          </w:rPr>
          <w:t xml:space="preserve">2</w:t>
        </w:r>
      </w:hyperlink>
    </w:p>
    <w:p>
      <w:pPr>
        <w:pStyle w:val="MdSpace"/>
        <w:spacing w:before="0" w:after="60"/>
      </w:pPr>
    </w:p>
    <w:p>
      <w:pPr>
        <w:pStyle w:val="Heading3"/>
        <w:pStyle w:val="MdHeading3"/>
      </w:pPr>
      <w:r>
        <w:t xml:space="preserve">القراءة السعرية للمشروع</w:t>
      </w:r>
    </w:p>
    <w:p>
      <w:pPr>
        <w:pStyle w:val="MdParagraph"/>
      </w:pPr>
      <w:r>
        <w:t xml:space="preserve">أسعار الوحدات التجارية في ملف المشروع، بين </w:t>
      </w:r>
      <w:r>
        <w:rPr>
          <w:rStyle w:val="MdStrong"/>
          <w:b/>
          <w:bCs/>
        </w:rPr>
        <w:t xml:space="preserve">32,000 و55,000 جنيه/م²</w:t>
      </w:r>
      <w:r>
        <w:t xml:space="preserve"> تقريبًا بحسب الوحدة، تقع داخل أو أعلى نطاق أسعار الطلب المرصودة للمحلات في المنطقة. هذا قد يكون مبررًا للوحدات الأرضية ذات الواجهة والموقع والمرخصة، لكنه يحتاج إلى إثبات عملي من خلال المعاينات والحجوزات. أما الوحدات الإدارية في الملف، فتتراوح تقريبًا بين </w:t>
      </w:r>
      <w:r>
        <w:rPr>
          <w:rStyle w:val="MdStrong"/>
          <w:b/>
          <w:bCs/>
        </w:rPr>
        <w:t xml:space="preserve">13,000 و26,000 جنيه/م²</w:t>
      </w:r>
      <w:r>
        <w:t xml:space="preserve">، وهي تحتاج مقارنة منفصلة حسب التشطيب، الدور، الإطلالة، المصعد، الترخيص، التسليم، وخطة السداد.</w:t>
      </w:r>
    </w:p>
    <w:p>
      <w:pPr>
        <w:pStyle w:val="MdSpace"/>
        <w:spacing w:before="0" w:after="60"/>
      </w:pPr>
    </w:p>
    <w:p>
      <w:pPr>
        <w:pStyle w:val="Heading2"/>
        <w:pStyle w:val="MdHeading2"/>
      </w:pPr>
      <w:r>
        <w:t xml:space="preserve">4. تحليل SWOT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المحور</w:t>
            </w:r>
          </w:p>
        </w:tc>
        <w:tc>
          <w:tcPr>
            <w:tcBorders>
              <w:right w:val="none"/>
            </w:tcBorders>
            <w:tcMar>
              <w:top w:type="dxa" w:w="100"/>
              <w:left w:type="dxa" w:w="120"/>
              <w:bottom w:type="dxa" w:w="100"/>
              <w:right w:type="dxa" w:w="120"/>
            </w:tcMar>
            <w:vAlign w:val="center"/>
          </w:tcPr>
          <w:p>
            <w:pPr>
              <w:pStyle w:val="MdTableHeader"/>
            </w:pPr>
            <w:r>
              <w:t xml:space="preserve">التحليل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نقاط القوة</w:t>
            </w:r>
          </w:p>
        </w:tc>
        <w:tc>
          <w:tcPr>
            <w:tcBorders>
              <w:right w:val="none"/>
            </w:tcBorders>
            <w:tcMar>
              <w:top w:type="dxa" w:w="80"/>
              <w:left w:type="dxa" w:w="120"/>
              <w:bottom w:type="dxa" w:w="80"/>
              <w:right w:type="dxa" w:w="120"/>
            </w:tcMar>
            <w:vAlign w:val="center"/>
          </w:tcPr>
          <w:p>
            <w:pPr>
              <w:pStyle w:val="MdTableCell"/>
            </w:pPr>
            <w:r>
              <w:t xml:space="preserve">مبنى قائم، تنوع إداري وتجاري، قرب معلن من محطة المترو، وجود مخزون وحدات محدد، وإمكانية تسويق الوحدات للبراندات والعيادات والصيدليات والمطاعم والمكاتب.</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نقاط الضعف</w:t>
            </w:r>
          </w:p>
        </w:tc>
        <w:tc>
          <w:tcPr>
            <w:tcBorders>
              <w:right w:val="none"/>
            </w:tcBorders>
            <w:tcMar>
              <w:top w:type="dxa" w:w="80"/>
              <w:left w:type="dxa" w:w="120"/>
              <w:bottom w:type="dxa" w:w="80"/>
              <w:right w:type="dxa" w:w="120"/>
            </w:tcMar>
            <w:vAlign w:val="center"/>
          </w:tcPr>
          <w:p>
            <w:pPr>
              <w:pStyle w:val="MdTableCell"/>
            </w:pPr>
            <w:r>
              <w:t xml:space="preserve">بيانات الوحدات مؤرخة وتحتاج تأكيدًا، بعض ربط الأرقام بالمساحات يحتاج مراجعة، وجود تأخير تسليم يؤثر على الثقة، وعدم توافر رقم H6 في ملف التحليل.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الفرص</w:t>
            </w:r>
          </w:p>
        </w:tc>
        <w:tc>
          <w:tcPr>
            <w:tcBorders>
              <w:right w:val="none"/>
            </w:tcBorders>
            <w:tcMar>
              <w:top w:type="dxa" w:w="80"/>
              <w:left w:type="dxa" w:w="120"/>
              <w:bottom w:type="dxa" w:w="80"/>
              <w:right w:type="dxa" w:w="120"/>
            </w:tcMar>
            <w:vAlign w:val="center"/>
          </w:tcPr>
          <w:p>
            <w:pPr>
              <w:pStyle w:val="MdTableCell"/>
            </w:pPr>
            <w:r>
              <w:t xml:space="preserve">شبكة بروكرز، استهداف أصحاب القرار والأطباء، التسويق القائم على المعاينة، إعادة تنشيط العملاء السابقين، وبناء CRM يربط التسجيلات بالحجوزات والتحصيل.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التهديدات</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حساسية العملاء للتسليم، منافسة المحلات والمكاتب القريبة، تفاوت الأسعار المعلنة، صعوبة بيع المساحات الصغيرة بسعر مرتفع، وتكلفة الاستكمال والتمويل إذا تم اتخاذ قرار تطوير الأرض.</w:t>
            </w:r>
          </w:p>
        </w:tc>
      </w:tr>
    </w:tbl>
    <w:p>
      <w:pPr>
        <w:pStyle w:val="Heading2"/>
        <w:pStyle w:val="MdHeading2"/>
      </w:pPr>
      <w:r>
        <w:t xml:space="preserve">5. تقدير احتمال نجاح الخطة</w:t>
      </w:r>
    </w:p>
    <w:p>
      <w:pPr>
        <w:pStyle w:val="MdParagraph"/>
      </w:pPr>
      <w:r>
        <w:t xml:space="preserve">لا يمكن إعطاء احتمال علمي دقيق دون بيانات H6، ميزانية معتمدة، عدد أفراد الفريق، نسبة الوحدات المؤكدة، وسجل التسليم الفعلي. لذلك أقدم نطاقًا إداريًا مشروطًا وليس توقعًا مضمونًا.</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السيناريو</w:t>
            </w:r>
          </w:p>
        </w:tc>
        <w:tc>
          <w:tcPr>
            <w:tcMar>
              <w:top w:type="dxa" w:w="100"/>
              <w:left w:type="dxa" w:w="120"/>
              <w:bottom w:type="dxa" w:w="100"/>
              <w:right w:type="dxa" w:w="120"/>
            </w:tcMar>
            <w:vAlign w:val="center"/>
          </w:tcPr>
          <w:p>
            <w:pPr>
              <w:pStyle w:val="MdTableHeader"/>
              <w:jc w:val="right"/>
            </w:pPr>
            <w:r>
              <w:t xml:space="preserve">احتمال تخطي H6 وتحقيق التارجت</w:t>
            </w:r>
          </w:p>
        </w:tc>
        <w:tc>
          <w:tcPr>
            <w:tcBorders>
              <w:right w:val="none"/>
            </w:tcBorders>
            <w:tcMar>
              <w:top w:type="dxa" w:w="100"/>
              <w:left w:type="dxa" w:w="120"/>
              <w:bottom w:type="dxa" w:w="100"/>
              <w:right w:type="dxa" w:w="120"/>
            </w:tcMar>
            <w:vAlign w:val="center"/>
          </w:tcPr>
          <w:p>
            <w:pPr>
              <w:pStyle w:val="MdTableHeader"/>
            </w:pPr>
            <w:r>
              <w:t xml:space="preserve">شرط تحقق السيناريو</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محافظ</w:t>
            </w:r>
          </w:p>
        </w:tc>
        <w:tc>
          <w:tcPr>
            <w:tcMar>
              <w:top w:type="dxa" w:w="80"/>
              <w:left w:type="dxa" w:w="120"/>
              <w:bottom w:type="dxa" w:w="80"/>
              <w:right w:type="dxa" w:w="120"/>
            </w:tcMar>
            <w:vAlign w:val="center"/>
          </w:tcPr>
          <w:p>
            <w:pPr>
              <w:pStyle w:val="MdTableCell"/>
              <w:jc w:val="right"/>
            </w:pPr>
            <w:r>
              <w:t xml:space="preserve">30%–40%</w:t>
            </w:r>
          </w:p>
        </w:tc>
        <w:tc>
          <w:tcPr>
            <w:tcBorders>
              <w:right w:val="none"/>
            </w:tcBorders>
            <w:tcMar>
              <w:top w:type="dxa" w:w="80"/>
              <w:left w:type="dxa" w:w="120"/>
              <w:bottom w:type="dxa" w:w="80"/>
              <w:right w:type="dxa" w:w="120"/>
            </w:tcMar>
            <w:vAlign w:val="center"/>
          </w:tcPr>
          <w:p>
            <w:pPr>
              <w:pStyle w:val="MdTableCell"/>
            </w:pPr>
            <w:r>
              <w:t xml:space="preserve">استمرار ضعف الثقة أو عدم اكتمال البيانات أو بطء التسليم والمتابعة.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أساسي</w:t>
            </w:r>
          </w:p>
        </w:tc>
        <w:tc>
          <w:tcPr>
            <w:tcMar>
              <w:top w:type="dxa" w:w="80"/>
              <w:left w:type="dxa" w:w="120"/>
              <w:bottom w:type="dxa" w:w="80"/>
              <w:right w:type="dxa" w:w="120"/>
            </w:tcMar>
            <w:vAlign w:val="center"/>
          </w:tcPr>
          <w:p>
            <w:pPr>
              <w:pStyle w:val="MdTableCell"/>
              <w:jc w:val="right"/>
            </w:pPr>
            <w:r>
              <w:t xml:space="preserve">50%–60%</w:t>
            </w:r>
          </w:p>
        </w:tc>
        <w:tc>
          <w:tcPr>
            <w:tcBorders>
              <w:right w:val="none"/>
            </w:tcBorders>
            <w:tcMar>
              <w:top w:type="dxa" w:w="80"/>
              <w:left w:type="dxa" w:w="120"/>
              <w:bottom w:type="dxa" w:w="80"/>
              <w:right w:type="dxa" w:w="120"/>
            </w:tcMar>
            <w:vAlign w:val="center"/>
          </w:tcPr>
          <w:p>
            <w:pPr>
              <w:pStyle w:val="MdTableCell"/>
            </w:pPr>
            <w:r>
              <w:t xml:space="preserve">تأكيد المخزون، تشغيل CRM، تفعيل البروكرز، انتظام المعاينات، وتحديد ميزانية كافية من الإدارة.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متفائل</w:t>
            </w:r>
          </w:p>
        </w:tc>
        <w:tc>
          <w:tcPr>
            <w:tcBorders>
              <w:bottom w:val="single" w:color="E1E4E8" w:sz="4"/>
            </w:tcBorders>
            <w:tcMar>
              <w:top w:type="dxa" w:w="80"/>
              <w:left w:type="dxa" w:w="120"/>
              <w:bottom w:type="dxa" w:w="80"/>
              <w:right w:type="dxa" w:w="120"/>
            </w:tcMar>
            <w:vAlign w:val="center"/>
          </w:tcPr>
          <w:p>
            <w:pPr>
              <w:pStyle w:val="MdTableCell"/>
              <w:jc w:val="right"/>
            </w:pPr>
            <w:r>
              <w:t xml:space="preserve">65%–75%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بيانات مؤكدة، متابعة سريعة، شبكة بروكرز نشطة، حلول واضحة للتسليم، وأسعار متوافقة مع المعاينات والحجوزات.</w:t>
            </w:r>
          </w:p>
        </w:tc>
      </w:tr>
    </w:tbl>
    <w:p>
      <w:pPr>
        <w:pStyle w:val="MdParagraph"/>
      </w:pPr>
      <w:r>
        <w:rPr>
          <w:rStyle w:val="MdStrong"/>
          <w:b/>
          <w:bCs/>
        </w:rPr>
        <w:t xml:space="preserve">تقديري المركزي الحالي:</w:t>
      </w:r>
      <w:r>
        <w:t xml:space="preserve"> احتمال تحقيق أو تجاوز هدف </w:t>
      </w:r>
      <w:r>
        <w:rPr>
          <w:rStyle w:val="MdStrong"/>
          <w:b/>
          <w:bCs/>
        </w:rPr>
        <w:t xml:space="preserve">2×H6</w:t>
      </w:r>
      <w:r>
        <w:t xml:space="preserve"> يقع تقريبًا عند </w:t>
      </w:r>
      <w:r>
        <w:rPr>
          <w:rStyle w:val="MdStrong"/>
          <w:b/>
          <w:bCs/>
        </w:rPr>
        <w:t xml:space="preserve">55%</w:t>
      </w:r>
      <w:r>
        <w:t xml:space="preserve"> إذا تم تنفيذ المتطلبات الأساسية خلال المرحلة الأولى. أما احتمال بيع جميع الوحدات المتاحة خلال النصف الأول من 2027 فهو أقل يقينًا، وأقدره تخطيطيًا في نطاق </w:t>
      </w:r>
      <w:r>
        <w:rPr>
          <w:rStyle w:val="MdStrong"/>
          <w:b/>
          <w:bCs/>
        </w:rPr>
        <w:t xml:space="preserve">40%–60%</w:t>
      </w:r>
      <w:r>
        <w:t xml:space="preserve"> إلى أن تظهر نتائج أول 60–90 يومًا. هذه النسبة ليست ضمانًا، ويجب تحديثها بعد إدخال H6 والنتائج الفعلية.</w:t>
      </w:r>
    </w:p>
    <w:p>
      <w:pPr>
        <w:pStyle w:val="MdSpace"/>
        <w:spacing w:before="0" w:after="60"/>
      </w:pPr>
    </w:p>
    <w:p>
      <w:pPr>
        <w:pStyle w:val="Heading2"/>
        <w:pStyle w:val="MdHeading2"/>
      </w:pPr>
      <w:r>
        <w:t xml:space="preserve">6. شروط رفع احتمال النجاح</w:t>
      </w:r>
    </w:p>
    <w:p>
      <w:pPr>
        <w:pStyle w:val="MdParagraph"/>
      </w:pPr>
      <w:r>
        <w:t xml:space="preserve">أولًا، لا يبدأ الإعلان الموسع إلا بعد اعتماد كشف الوحدات والأسعار والحالات والتسليم. ثانيًا، يجب تشغيل نظام CRM بسيط منذ اليوم الأول، مع تسجيل المصدر والمسؤول والموعد التالي لكل عميل. ثالثًا، يجب اعتماد سياسة بروكرز واضحة: 6% من إجمالي قيمة التعاقد إذا سدد العميل أكثر من 75%، ومن المبالغ المسددة فعليًا إذا كانت نسبة السداد أقل من 75%. رابعًا، يجب قياس الحجوزات المعتمدة لا الرسائل فقط، ومقارنة الأداء بـH6 كل أسبوع وشهر.</w:t>
      </w:r>
    </w:p>
    <w:p>
      <w:pPr>
        <w:pStyle w:val="MdSpace"/>
        <w:spacing w:before="0" w:after="60"/>
      </w:pPr>
    </w:p>
    <w:p>
      <w:pPr>
        <w:pStyle w:val="Heading2"/>
        <w:pStyle w:val="MdHeading2"/>
      </w:pPr>
      <w:r>
        <w:t xml:space="preserve">7. التوصية التنفيذية</w:t>
      </w:r>
    </w:p>
    <w:p>
      <w:pPr>
        <w:pStyle w:val="MdParagraph"/>
      </w:pPr>
      <w:r>
        <w:t xml:space="preserve">أوصي باعتماد الخطة كبرنامج تحقق وبيع لمدة ستة أشهر، لا كالتزام ببيع مضمون. خلال المرحلة الأولى يتم تأكيد البيانات وبناء النظام وتشغيل الفريق، ثم تقرر الإدارة في نهاية ديسمبر 2026 ما إذا كانت النتائج تدعم زيادة التسويق أو تعديل الأسعار تدريجيًا. أما استكمال التشطيبات أو عدم بيع الأرض أو نقل المكتب، فهي مقترحات مستقبلية تحتاج دراسة جدوى مستقلة وقرارًا منفصلًا.</w:t>
      </w:r>
    </w:p>
    <w:p>
      <w:pPr>
        <w:pStyle w:val="MdSpace"/>
        <w:spacing w:before="0" w:after="60"/>
      </w:pPr>
    </w:p>
    <w:p>
      <w:pPr>
        <w:pStyle w:val="Heading2"/>
        <w:pStyle w:val="MdHeading2"/>
      </w:pPr>
      <w:r>
        <w:t xml:space="preserve">References</w:t>
      </w:r>
    </w:p>
    <w:p>
      <w:pPr>
        <w:pStyle w:val="Heading1"/>
        <w:pStyle w:val="MdHeading1"/>
      </w:pPr>
      <w:r>
        <w:t xml:space="preserve">مصدر مدمج: broker_agreement_weekly_report_board_qa.md</w:t>
      </w:r>
    </w:p>
    <w:p>
      <w:pPr>
        <w:pStyle w:val="Heading1"/>
        <w:pStyle w:val="MdHeading1"/>
      </w:pPr>
      <w:r>
        <w:t xml:space="preserve">نماذج تنفيذ خطة التسويق والمبيعات</w:t>
      </w:r>
    </w:p>
    <w:p>
      <w:pPr>
        <w:pStyle w:val="MdParagraph"/>
      </w:pPr>
      <w:r>
        <w:rPr>
          <w:rStyle w:val="MdStrong"/>
          <w:b/>
          <w:bCs/>
        </w:rPr>
        <w:t xml:space="preserve">المشروع:</w:t>
      </w:r>
      <w:r>
        <w:t xml:space="preserve"> كايرو بلازا</w:t>
      </w:r>
      <w:r>
        <w:rPr>
          <w:rStyle w:val="MdBr"/>
        </w:rPr>
        <w:br/>
        <w:t xml:space="preserve"/>
      </w:r>
      <w:r>
        <w:rPr>
          <w:rStyle w:val="MdStrong"/>
          <w:b/>
          <w:bCs/>
        </w:rPr>
        <w:t xml:space="preserve">الحالة:</w:t>
      </w:r>
      <w:r>
        <w:t xml:space="preserve"> مسودة تشغيلية — للمراجعة والاعتماد القانوني والإداري قبل التوقيع أو التطبيق</w:t>
      </w:r>
    </w:p>
    <w:p>
      <w:pPr>
        <w:pStyle w:val="MdSpace"/>
        <w:spacing w:before="0" w:after="60"/>
      </w:pPr>
    </w:p>
    <w:p>
      <w:pPr>
        <w:pStyle w:val="MdBlockquote"/>
      </w:pPr>
      <w:r>
        <w:rPr>
          <w:rStyle w:val="MdStrong"/>
          <w:b/>
          <w:bCs/>
        </w:rPr>
        <w:t xml:space="preserve">تنبيه قانوني:</w:t>
      </w:r>
      <w:r>
        <w:t xml:space="preserve"> أنا لست محاميًا؛ ما يلي مسودة عمل وليست استشارة قانونية نهائية. يجب أن يراجعها محامٍ مصري مختص، وأن تُستكمل بيانات الشركة والبروكر والوحدة والضرائب والتراخيص قبل استخدامها.</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النموذج الأول: اتفاقية تسويق ووساطة عقارية</w:t>
      </w:r>
    </w:p>
    <w:p>
      <w:pPr>
        <w:pStyle w:val="Heading2"/>
        <w:pStyle w:val="MdHeading2"/>
      </w:pPr>
      <w:r>
        <w:t xml:space="preserve">اتفاقية تعاون وتسويق ووساطة عقارية</w:t>
      </w:r>
    </w:p>
    <w:p>
      <w:pPr>
        <w:pStyle w:val="MdParagraph"/>
      </w:pPr>
      <w:r>
        <w:t xml:space="preserve">إنه في يوم ........ الموافق ../../....، تم الاتفاق بين كل من:</w:t>
      </w:r>
    </w:p>
    <w:p>
      <w:pPr>
        <w:pStyle w:val="MdSpace"/>
        <w:spacing w:before="0" w:after="60"/>
      </w:pPr>
    </w:p>
    <w:p>
      <w:pPr>
        <w:pStyle w:val="MdParagraph"/>
      </w:pPr>
      <w:r>
        <w:rPr>
          <w:rStyle w:val="MdStrong"/>
          <w:b/>
          <w:bCs/>
        </w:rPr>
        <w:t xml:space="preserve">أولًا: الطرف الأول — الشركة/المطور</w:t>
      </w:r>
      <w:r>
        <w:rPr>
          <w:rStyle w:val="MdBr"/>
        </w:rPr>
        <w:br/>
        <w:t xml:space="preserve"/>
      </w:r>
      <w:r>
        <w:t xml:space="preserve">الاسم القانوني: ........................................................</w:t>
      </w:r>
      <w:r>
        <w:rPr>
          <w:rStyle w:val="MdBr"/>
        </w:rPr>
        <w:br/>
        <w:t xml:space="preserve"/>
      </w:r>
      <w:r>
        <w:t xml:space="preserve">السجل التجاري: ........................................................</w:t>
      </w:r>
      <w:r>
        <w:rPr>
          <w:rStyle w:val="MdBr"/>
        </w:rPr>
        <w:br/>
        <w:t xml:space="preserve"/>
      </w:r>
      <w:r>
        <w:t xml:space="preserve">البطاقة الضريبية: ........................................................</w:t>
      </w:r>
      <w:r>
        <w:rPr>
          <w:rStyle w:val="MdBr"/>
        </w:rPr>
        <w:br/>
        <w:t xml:space="preserve"/>
      </w:r>
      <w:r>
        <w:t xml:space="preserve">العنوان: ........................................................</w:t>
      </w:r>
      <w:r>
        <w:rPr>
          <w:rStyle w:val="MdBr"/>
        </w:rPr>
        <w:br/>
        <w:t xml:space="preserve"/>
      </w:r>
      <w:r>
        <w:t xml:space="preserve">ويمثله في التوقيع: ........................................................ بصفته ........................................................</w:t>
      </w:r>
    </w:p>
    <w:p>
      <w:pPr>
        <w:pStyle w:val="MdSpace"/>
        <w:spacing w:before="0" w:after="60"/>
      </w:pPr>
    </w:p>
    <w:p>
      <w:pPr>
        <w:pStyle w:val="MdParagraph"/>
      </w:pPr>
      <w:r>
        <w:rPr>
          <w:rStyle w:val="MdStrong"/>
          <w:b/>
          <w:bCs/>
        </w:rPr>
        <w:t xml:space="preserve">ثانيًا: الطرف الثاني — البروكر/شركة الوساطة</w:t>
      </w:r>
      <w:r>
        <w:rPr>
          <w:rStyle w:val="MdBr"/>
        </w:rPr>
        <w:br/>
        <w:t xml:space="preserve"/>
      </w:r>
      <w:r>
        <w:t xml:space="preserve">الاسم/الاسم التجاري: ........................................................</w:t>
      </w:r>
      <w:r>
        <w:rPr>
          <w:rStyle w:val="MdBr"/>
        </w:rPr>
        <w:br/>
        <w:t xml:space="preserve"/>
      </w:r>
      <w:r>
        <w:t xml:space="preserve">الرقم القومي/السجل التجاري: ........................................................</w:t>
      </w:r>
      <w:r>
        <w:rPr>
          <w:rStyle w:val="MdBr"/>
        </w:rPr>
        <w:br/>
        <w:t xml:space="preserve"/>
      </w:r>
      <w:r>
        <w:t xml:space="preserve">البطاقة الضريبية إن وجدت: ........................................................</w:t>
      </w:r>
      <w:r>
        <w:rPr>
          <w:rStyle w:val="MdBr"/>
        </w:rPr>
        <w:br/>
        <w:t xml:space="preserve"/>
      </w:r>
      <w:r>
        <w:t xml:space="preserve">العنوان ورقم الهاتف والبريد الإلكتروني: ........................................................</w:t>
      </w:r>
    </w:p>
    <w:p>
      <w:pPr>
        <w:pStyle w:val="MdSpace"/>
        <w:spacing w:before="0" w:after="60"/>
      </w:pPr>
    </w:p>
    <w:p>
      <w:pPr>
        <w:pStyle w:val="MdParagraph"/>
      </w:pPr>
      <w:r>
        <w:t xml:space="preserve">ويشار إلى الطرفين مجتمعين بـ"الطرفين".</w:t>
      </w:r>
    </w:p>
    <w:p>
      <w:pPr>
        <w:pStyle w:val="MdSpace"/>
        <w:spacing w:before="0" w:after="60"/>
      </w:pPr>
    </w:p>
    <w:p>
      <w:pPr>
        <w:pStyle w:val="Heading2"/>
        <w:pStyle w:val="MdHeading2"/>
      </w:pPr>
      <w:r>
        <w:t xml:space="preserve">المادة 1: موضوع الاتفاقية</w:t>
      </w:r>
    </w:p>
    <w:p>
      <w:pPr>
        <w:pStyle w:val="MdParagraph"/>
      </w:pPr>
      <w:r>
        <w:t xml:space="preserve">يفوض الطرف الأول الطرف الثاني، على أساس غير حصري ما لم ينص ملحق مكتوب على خلاف ذلك، في تعريف العملاء المحتملين بالمشروع والوحدات المعتمدة، وترتيب التواصل والمعاينات، ونقل بيانات العميل وفق القانون والسياسات المعتمدة، والمساعدة في الوصول إلى التعاقد. لا يملك البروكر صلاحية تعديل الأسعار أو منح خصومات أو استلام أموال أو توقيع عقود باسم الطرف الأول إلا بتفويض كتابي مستقل.</w:t>
      </w:r>
    </w:p>
    <w:p>
      <w:pPr>
        <w:pStyle w:val="MdSpace"/>
        <w:spacing w:before="0" w:after="60"/>
      </w:pPr>
    </w:p>
    <w:p>
      <w:pPr>
        <w:pStyle w:val="Heading2"/>
        <w:pStyle w:val="MdHeading2"/>
      </w:pPr>
      <w:r>
        <w:t xml:space="preserve">المادة 2: نطاق العمل</w:t>
      </w:r>
    </w:p>
    <w:p>
      <w:pPr>
        <w:pStyle w:val="MdParagraph"/>
      </w:pPr>
      <w:r>
        <w:t xml:space="preserve">يلتزم البروكر بتقديم بيانات صحيحة عن العميل، وتسجيل مصدر العميل قبل التواصل أو المعاينة، وعدم تقديم وعود تتعلق بالتسليم أو العائد أو الخصم غير موجودة في المستندات المعتمدة. كما يلتزم باستخدام المواد التسويقية المعتمدة، والحفاظ على سرية بيانات العملاء والأسعار والملفات السابقة، وعدم إعادة بيع أو تحويل العميل إلى مشروع آخر دون موافقة الطرف الأول.</w:t>
      </w:r>
    </w:p>
    <w:p>
      <w:pPr>
        <w:pStyle w:val="MdSpace"/>
        <w:spacing w:before="0" w:after="60"/>
      </w:pPr>
    </w:p>
    <w:p>
      <w:pPr>
        <w:pStyle w:val="Heading2"/>
        <w:pStyle w:val="MdHeading2"/>
      </w:pPr>
      <w:r>
        <w:t xml:space="preserve">المادة 3: اعتماد العميل ومصدره</w:t>
      </w:r>
    </w:p>
    <w:p>
      <w:pPr>
        <w:pStyle w:val="MdParagraph"/>
      </w:pPr>
      <w:r>
        <w:t xml:space="preserve">لا يستحق البروكر عمولة إلا إذا كان العميل مسجلًا باسمه في نظام الشركة قبل أن يكون مسجلًا بواسطة بروكر آخر أو مصدر مباشر موثق. يعتمد الطرف الأول مصدر العميل وفق أول تسجيل مكتمل يتضمن الاسم ورقم الهاتف واحتياج العميل وتاريخ التسجيل. وفي حالة النزاع، يرجع الطرفان إلى سجل النظام والمراسلات والمعاينة الموثقة.</w:t>
      </w:r>
    </w:p>
    <w:p>
      <w:pPr>
        <w:pStyle w:val="MdSpace"/>
        <w:spacing w:before="0" w:after="60"/>
      </w:pPr>
    </w:p>
    <w:p>
      <w:pPr>
        <w:pStyle w:val="Heading2"/>
        <w:pStyle w:val="MdHeading2"/>
      </w:pPr>
      <w:r>
        <w:t xml:space="preserve">المادة 4: الوحدة وقيمة التعاقد</w:t>
      </w:r>
    </w:p>
    <w:p>
      <w:pPr>
        <w:pStyle w:val="MdParagraph"/>
      </w:pPr>
      <w:r>
        <w:t xml:space="preserve">رقم الوحدة: ........................................................</w:t>
      </w:r>
      <w:r>
        <w:rPr>
          <w:rStyle w:val="MdBr"/>
        </w:rPr>
        <w:br/>
        <w:t xml:space="preserve"/>
      </w:r>
      <w:r>
        <w:t xml:space="preserve">البرج/الدور: ........................................................</w:t>
      </w:r>
      <w:r>
        <w:rPr>
          <w:rStyle w:val="MdBr"/>
        </w:rPr>
        <w:br/>
        <w:t xml:space="preserve"/>
      </w:r>
      <w:r>
        <w:t xml:space="preserve">المساحة: ........................................................</w:t>
      </w:r>
      <w:r>
        <w:rPr>
          <w:rStyle w:val="MdBr"/>
        </w:rPr>
        <w:br/>
        <w:t xml:space="preserve"/>
      </w:r>
      <w:r>
        <w:t xml:space="preserve">النشاط: ........................................................</w:t>
      </w:r>
      <w:r>
        <w:rPr>
          <w:rStyle w:val="MdBr"/>
        </w:rPr>
        <w:br/>
        <w:t xml:space="preserve"/>
      </w:r>
      <w:r>
        <w:t xml:space="preserve">السعر المعتمد: ........................................................</w:t>
      </w:r>
      <w:r>
        <w:rPr>
          <w:rStyle w:val="MdBr"/>
        </w:rPr>
        <w:br/>
        <w:t xml:space="preserve"/>
      </w:r>
      <w:r>
        <w:t xml:space="preserve">قيمة التعاقد النهائية: ........................................................</w:t>
      </w:r>
      <w:r>
        <w:rPr>
          <w:rStyle w:val="MdBr"/>
        </w:rPr>
        <w:br/>
        <w:t xml:space="preserve"/>
      </w:r>
      <w:r>
        <w:t xml:space="preserve">خطة السداد المعتمدة: ........................................................</w:t>
      </w:r>
      <w:r>
        <w:rPr>
          <w:rStyle w:val="MdBr"/>
        </w:rPr>
        <w:br/>
        <w:t xml:space="preserve"/>
      </w:r>
      <w:r>
        <w:t xml:space="preserve">اسم العميل: ........................................................</w:t>
      </w:r>
    </w:p>
    <w:p>
      <w:pPr>
        <w:pStyle w:val="MdSpace"/>
        <w:spacing w:before="0" w:after="60"/>
      </w:pPr>
    </w:p>
    <w:p>
      <w:pPr>
        <w:pStyle w:val="MdParagraph"/>
      </w:pPr>
      <w:r>
        <w:t xml:space="preserve">لا يعتد بأي سعر أو مساحة أو حالة تشطيب إلا بعد مطابقتها مع كشف الوحدات المعتمد من الإدارة.</w:t>
      </w:r>
    </w:p>
    <w:p>
      <w:pPr>
        <w:pStyle w:val="MdSpace"/>
        <w:spacing w:before="0" w:after="60"/>
      </w:pPr>
    </w:p>
    <w:p>
      <w:pPr>
        <w:pStyle w:val="Heading2"/>
        <w:pStyle w:val="MdHeading2"/>
      </w:pPr>
      <w:r>
        <w:t xml:space="preserve">المادة 5: سياسة عمولة البروكرز</w:t>
      </w:r>
    </w:p>
    <w:p>
      <w:pPr>
        <w:pStyle w:val="MdParagraph"/>
      </w:pPr>
      <w:r>
        <w:t xml:space="preserve">تطبق السياسة التالية بعد اعتمادها كتابةً من الإدارة العليا وتحديد ما إذا كانت النسبة شاملة أو غير شاملة للضرائب والخصومات:</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حالة السداد</w:t>
            </w:r>
          </w:p>
        </w:tc>
        <w:tc>
          <w:tcPr>
            <w:tcMar>
              <w:top w:type="dxa" w:w="100"/>
              <w:left w:type="dxa" w:w="120"/>
              <w:bottom w:type="dxa" w:w="100"/>
              <w:right w:type="dxa" w:w="120"/>
            </w:tcMar>
            <w:vAlign w:val="center"/>
          </w:tcPr>
          <w:p>
            <w:pPr>
              <w:pStyle w:val="MdTableHeader"/>
            </w:pPr>
            <w:r>
              <w:t xml:space="preserve">أساس احتساب العمولة</w:t>
            </w:r>
          </w:p>
        </w:tc>
        <w:tc>
          <w:tcPr>
            <w:tcBorders>
              <w:right w:val="none"/>
            </w:tcBorders>
            <w:tcMar>
              <w:top w:type="dxa" w:w="100"/>
              <w:left w:type="dxa" w:w="120"/>
              <w:bottom w:type="dxa" w:w="100"/>
              <w:right w:type="dxa" w:w="120"/>
            </w:tcMar>
            <w:vAlign w:val="center"/>
          </w:tcPr>
          <w:p>
            <w:pPr>
              <w:pStyle w:val="MdTableHeader"/>
              <w:jc w:val="right"/>
            </w:pPr>
            <w:r>
              <w:t xml:space="preserve">النسبة المقترحة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سداد العميل أكثر من 75% من قيمة الوحدة</w:t>
            </w:r>
          </w:p>
        </w:tc>
        <w:tc>
          <w:tcPr>
            <w:tcMar>
              <w:top w:type="dxa" w:w="80"/>
              <w:left w:type="dxa" w:w="120"/>
              <w:bottom w:type="dxa" w:w="80"/>
              <w:right w:type="dxa" w:w="120"/>
            </w:tcMar>
            <w:vAlign w:val="center"/>
          </w:tcPr>
          <w:p>
            <w:pPr>
              <w:pStyle w:val="MdTableCell"/>
            </w:pPr>
            <w:r>
              <w:t xml:space="preserve">إجمالي قيمة التعاقد المعتمد</w:t>
            </w:r>
          </w:p>
        </w:tc>
        <w:tc>
          <w:tcPr>
            <w:tcBorders>
              <w:right w:val="none"/>
            </w:tcBorders>
            <w:tcMar>
              <w:top w:type="dxa" w:w="80"/>
              <w:left w:type="dxa" w:w="120"/>
              <w:bottom w:type="dxa" w:w="80"/>
              <w:right w:type="dxa" w:w="120"/>
            </w:tcMar>
            <w:vAlign w:val="center"/>
          </w:tcPr>
          <w:p>
            <w:pPr>
              <w:pStyle w:val="MdTableCell"/>
              <w:jc w:val="right"/>
            </w:pPr>
            <w:r>
              <w:t xml:space="preserve">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سداد العميل 75% أو أقل</w:t>
            </w:r>
          </w:p>
        </w:tc>
        <w:tc>
          <w:tcPr>
            <w:tcMar>
              <w:top w:type="dxa" w:w="80"/>
              <w:left w:type="dxa" w:w="120"/>
              <w:bottom w:type="dxa" w:w="80"/>
              <w:right w:type="dxa" w:w="120"/>
            </w:tcMar>
            <w:vAlign w:val="center"/>
          </w:tcPr>
          <w:p>
            <w:pPr>
              <w:pStyle w:val="MdTableCell"/>
            </w:pPr>
            <w:r>
              <w:t xml:space="preserve">المبالغ المسددة فعليًا فقط</w:t>
            </w:r>
          </w:p>
        </w:tc>
        <w:tc>
          <w:tcPr>
            <w:tcBorders>
              <w:right w:val="none"/>
            </w:tcBorders>
            <w:tcMar>
              <w:top w:type="dxa" w:w="80"/>
              <w:left w:type="dxa" w:w="120"/>
              <w:bottom w:type="dxa" w:w="80"/>
              <w:right w:type="dxa" w:w="120"/>
            </w:tcMar>
            <w:vAlign w:val="center"/>
          </w:tcPr>
          <w:p>
            <w:pPr>
              <w:pStyle w:val="MdTableCell"/>
              <w:jc w:val="right"/>
            </w:pPr>
            <w:r>
              <w:t xml:space="preserve">4% من المسدد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بديل إداري إن قررت الإدارة</w:t>
            </w:r>
          </w:p>
        </w:tc>
        <w:tc>
          <w:tcPr>
            <w:tcBorders>
              <w:bottom w:val="single" w:color="E1E4E8" w:sz="4"/>
            </w:tcBorders>
            <w:tcMar>
              <w:top w:type="dxa" w:w="80"/>
              <w:left w:type="dxa" w:w="120"/>
              <w:bottom w:type="dxa" w:w="80"/>
              <w:right w:type="dxa" w:w="120"/>
            </w:tcMar>
            <w:vAlign w:val="center"/>
          </w:tcPr>
          <w:p>
            <w:pPr>
              <w:pStyle w:val="MdTableCell"/>
            </w:pPr>
            <w:r>
              <w:t xml:space="preserve">المبالغ المسددة فعليًا فقط</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6% من المسدد</w:t>
            </w:r>
          </w:p>
        </w:tc>
      </w:tr>
    </w:tbl>
    <w:p>
      <w:pPr>
        <w:pStyle w:val="MdParagraph"/>
      </w:pPr>
      <w:r>
        <w:rPr>
          <w:rStyle w:val="MdStrong"/>
          <w:b/>
          <w:bCs/>
        </w:rPr>
        <w:t xml:space="preserve">النص التنفيذي المقترح:</w:t>
      </w:r>
      <w:r>
        <w:t xml:space="preserve"> يستحق البروكر عمولة بنسبة 6% من إجمالي قيمة التعاقد فقط عند تجاوز سداد العميل نسبة 75% من قيمة الوحدة. وإذا لم يتجاوز السداد نسبة 75%، تستحق العمولة بنسبة 4% من المبالغ المسددة فعليًا، ما لم تعتمد الإدارة العليا كتابةً تطبيق نسبة 6% من المسدد في حالة محددة.</w:t>
      </w:r>
    </w:p>
    <w:p>
      <w:pPr>
        <w:pStyle w:val="MdSpace"/>
        <w:spacing w:before="0" w:after="60"/>
      </w:pPr>
    </w:p>
    <w:p>
      <w:pPr>
        <w:pStyle w:val="MdParagraph"/>
      </w:pPr>
      <w:r>
        <w:t xml:space="preserve">لا تُحسب العمولة على مبالغ غير محصلة أو شيكات غير محصلة أو حجوزات ملغاة. وإذا أُلغيت الصفقة أو رُدت مبالغ للعميل بسبب يرجع إلى العميل أو الصفقة، تعالج العمولة وفق ما يحدده القانون وقرار الإدارة، ويجوز إجراء مقاصة من عمولات لاحقة بعد إخطار البروكر كتابةً.</w:t>
      </w:r>
    </w:p>
    <w:p>
      <w:pPr>
        <w:pStyle w:val="MdSpace"/>
        <w:spacing w:before="0" w:after="60"/>
      </w:pPr>
    </w:p>
    <w:p>
      <w:pPr>
        <w:pStyle w:val="Heading3"/>
        <w:pStyle w:val="MdHeading3"/>
      </w:pPr>
      <w:r>
        <w:t xml:space="preserve">مثال توضيحي غير ملزم</w:t>
      </w:r>
    </w:p>
    <w:p>
      <w:pPr>
        <w:pStyle w:val="MdParagraph"/>
      </w:pPr>
      <w:r>
        <w:t xml:space="preserve">إذا كانت قيمة التعاقد 10,000,000 جنيه:</w:t>
      </w:r>
    </w:p>
    <w:p>
      <w:pPr>
        <w:pStyle w:val="MdSpace"/>
        <w:spacing w:before="0" w:after="60"/>
      </w:pPr>
    </w:p>
    <w:p>
      <w:pPr>
        <w:pStyle w:val="MdListItem"/>
        <w:numPr>
          <w:ilvl w:val="0"/>
          <w:numId w:val="2"/>
        </w:numPr>
      </w:pPr>
      <w:r>
        <w:t xml:space="preserve">عند سداد 80%، تكون عمولة 6% من إجمالي التعاقد = 600,000 جنيه، وفق استحقاقها الفعلي والمستندات المعتمدة.</w:t>
      </w:r>
    </w:p>
    <w:p>
      <w:pPr>
        <w:pStyle w:val="MdListItem"/>
        <w:numPr>
          <w:ilvl w:val="0"/>
          <w:numId w:val="2"/>
        </w:numPr>
      </w:pPr>
      <w:r>
        <w:t xml:space="preserve">عند سداد 60%، يكون أساس العمولة هو 6,000,000 جنيه المسددة فعليًا؛ وبنسبة 4% تكون العمولة 240,000 جنيه.</w:t>
      </w:r>
    </w:p>
    <w:p>
      <w:pPr>
        <w:pStyle w:val="MdSpace"/>
        <w:spacing w:before="0" w:after="60"/>
      </w:pPr>
    </w:p>
    <w:p>
      <w:pPr>
        <w:pStyle w:val="MdParagraph"/>
      </w:pPr>
      <w:r>
        <w:t xml:space="preserve">هذا المثال للتوضيح فقط، ولا يغير ما يرد في العقد أو قرار الإدارة.</w:t>
      </w:r>
    </w:p>
    <w:p>
      <w:pPr>
        <w:pStyle w:val="MdSpace"/>
        <w:spacing w:before="0" w:after="60"/>
      </w:pPr>
    </w:p>
    <w:p>
      <w:pPr>
        <w:pStyle w:val="Heading2"/>
        <w:pStyle w:val="MdHeading2"/>
      </w:pPr>
      <w:r>
        <w:t xml:space="preserve">المادة 6: توقيت استحقاق وصرف العمولة</w:t>
      </w:r>
    </w:p>
    <w:p>
      <w:pPr>
        <w:pStyle w:val="MdParagraph"/>
      </w:pPr>
      <w:r>
        <w:t xml:space="preserve">تثبت العمولة بعد تحقق مصدر العميل، توقيع التعاقد، اعتماد الصفقة، وتحقق شرط السداد الوارد في المادة 5. تصرف العمولة خلال ........ يوم عمل من تاريخ اعتماد الاستحقاق وبعد تقديم المستندات المطلوبة. لا يعد الوعد أو التسجيل أو المعاينة وحده استحقاقًا للعمولة.</w:t>
      </w:r>
    </w:p>
    <w:p>
      <w:pPr>
        <w:pStyle w:val="MdSpace"/>
        <w:spacing w:before="0" w:after="60"/>
      </w:pPr>
    </w:p>
    <w:p>
      <w:pPr>
        <w:pStyle w:val="Heading2"/>
        <w:pStyle w:val="MdHeading2"/>
      </w:pPr>
      <w:r>
        <w:t xml:space="preserve">المادة 7: التزامات الطرف الأول</w:t>
      </w:r>
    </w:p>
    <w:p>
      <w:pPr>
        <w:pStyle w:val="MdParagraph"/>
      </w:pPr>
      <w:r>
        <w:t xml:space="preserve">يلتزم الطرف الأول بتزويد البروكر بالبيانات المعتمدة المتاحة، وتحديث حالة الوحدات والأسعار، وإخطاره بحالة الصفقة، ومراجعة طلب العمولة خلال مدة معقولة. ولا يضمن الطرف الأول توافر وحدة أو استمرار سعر أو موعد تسليم ما لم يرد ذلك في مستند رسمي معتمد.</w:t>
      </w:r>
    </w:p>
    <w:p>
      <w:pPr>
        <w:pStyle w:val="MdSpace"/>
        <w:spacing w:before="0" w:after="60"/>
      </w:pPr>
    </w:p>
    <w:p>
      <w:pPr>
        <w:pStyle w:val="Heading2"/>
        <w:pStyle w:val="MdHeading2"/>
      </w:pPr>
      <w:r>
        <w:t xml:space="preserve">المادة 8: السرية وحماية البيانات</w:t>
      </w:r>
    </w:p>
    <w:p>
      <w:pPr>
        <w:pStyle w:val="MdParagraph"/>
      </w:pPr>
      <w:r>
        <w:t xml:space="preserve">يلتزم الطرفان بعدم إفشاء بيانات العملاء أو الأسعار أو ملفات البيع والتحصيل السابقة إلا للموظفين المخولين وبقدر الحاجة. لا يسمح للبروكر باستخدام بيانات العملاء في حملات أخرى دون موافقة لازمة. تظل ملفات البيع والتحصيل ملكًا للطرف الأول، وتخضع صلاحية الاطلاع عليها لموافقة الإدارة ونظام الصلاحيات.</w:t>
      </w:r>
    </w:p>
    <w:p>
      <w:pPr>
        <w:pStyle w:val="MdSpace"/>
        <w:spacing w:before="0" w:after="60"/>
      </w:pPr>
    </w:p>
    <w:p>
      <w:pPr>
        <w:pStyle w:val="Heading2"/>
        <w:pStyle w:val="MdHeading2"/>
      </w:pPr>
      <w:r>
        <w:t xml:space="preserve">المادة 9: مدة الاتفاق وإنهاؤها</w:t>
      </w:r>
    </w:p>
    <w:p>
      <w:pPr>
        <w:pStyle w:val="MdParagraph"/>
      </w:pPr>
      <w:r>
        <w:t xml:space="preserve">تبدأ الاتفاقية من ../../.... وتنتهي في ../../....، وتجدد بموافقة مكتوبة. يجوز لأي طرف إنهاؤها بإخطار مدته ........ يومًا، مع بقاء الحقوق المستحقة عن الصفقات المعتمدة قبل الإنهاء خاضعة لهذا العقد، وبشرط عدم وجود مخالفة أو تضليل أو تسريب بيانات.</w:t>
      </w:r>
    </w:p>
    <w:p>
      <w:pPr>
        <w:pStyle w:val="MdSpace"/>
        <w:spacing w:before="0" w:after="60"/>
      </w:pPr>
    </w:p>
    <w:p>
      <w:pPr>
        <w:pStyle w:val="Heading2"/>
        <w:pStyle w:val="MdHeading2"/>
      </w:pPr>
      <w:r>
        <w:t xml:space="preserve">المادة 10: عدم التفويض والامتثال</w:t>
      </w:r>
    </w:p>
    <w:p>
      <w:pPr>
        <w:pStyle w:val="MdParagraph"/>
      </w:pPr>
      <w:r>
        <w:t xml:space="preserve">لا يجوز للبروكر تفويض العمل لبروكر فرعي أو تحصيل مبالغ أو توقيع مستندات باسم الشركة إلا بتفويض كتابي. ويلتزم الطرفان بالقوانين واللوائح والضرائب والاشتراطات الخاصة بالتسويق والوساطة العقارية.</w:t>
      </w:r>
    </w:p>
    <w:p>
      <w:pPr>
        <w:pStyle w:val="MdSpace"/>
        <w:spacing w:before="0" w:after="60"/>
      </w:pPr>
    </w:p>
    <w:p>
      <w:pPr>
        <w:pStyle w:val="Heading2"/>
        <w:pStyle w:val="MdHeading2"/>
      </w:pPr>
      <w:r>
        <w:t xml:space="preserve">المادة 11: تسوية النزاعات</w:t>
      </w:r>
    </w:p>
    <w:p>
      <w:pPr>
        <w:pStyle w:val="MdParagraph"/>
      </w:pPr>
      <w:r>
        <w:t xml:space="preserve">يسعى الطرفان إلى التسوية الودية خلال ........ يومًا من الإخطار بالنزاع، ثم يكون الاختصاص للجهة القضائية المختصة في ........................................................، ما لم يتفق الطرفان كتابةً على وسيلة أخرى.</w:t>
      </w:r>
    </w:p>
    <w:p>
      <w:pPr>
        <w:pStyle w:val="MdSpace"/>
        <w:spacing w:before="0" w:after="60"/>
      </w:pPr>
    </w:p>
    <w:p>
      <w:pPr>
        <w:pStyle w:val="Heading2"/>
        <w:pStyle w:val="MdHeading2"/>
      </w:pPr>
      <w:r>
        <w:t xml:space="preserve">التوقيعات</w:t>
      </w:r>
    </w:p>
    <w:p>
      <w:pPr>
        <w:pStyle w:val="MdParagraph"/>
      </w:pPr>
      <w:r>
        <w:t xml:space="preserve">الطرف الأول: ........................................................</w:t>
      </w:r>
      <w:r>
        <w:rPr>
          <w:rStyle w:val="MdBr"/>
        </w:rPr>
        <w:br/>
        <w:t xml:space="preserve"/>
      </w:r>
      <w:r>
        <w:t xml:space="preserve">الاسم والصفة: ........................................................</w:t>
      </w:r>
      <w:r>
        <w:rPr>
          <w:rStyle w:val="MdBr"/>
        </w:rPr>
        <w:br/>
        <w:t xml:space="preserve"/>
      </w:r>
      <w:r>
        <w:t xml:space="preserve">التوقيع والختم: ........................................................</w:t>
      </w:r>
    </w:p>
    <w:p>
      <w:pPr>
        <w:pStyle w:val="MdSpace"/>
        <w:spacing w:before="0" w:after="60"/>
      </w:pPr>
    </w:p>
    <w:p>
      <w:pPr>
        <w:pStyle w:val="MdParagraph"/>
      </w:pPr>
      <w:r>
        <w:t xml:space="preserve">الطرف الثاني: ........................................................</w:t>
      </w:r>
      <w:r>
        <w:rPr>
          <w:rStyle w:val="MdBr"/>
        </w:rPr>
        <w:br/>
        <w:t xml:space="preserve"/>
      </w:r>
      <w:r>
        <w:t xml:space="preserve">الاسم والصفة: ........................................................</w:t>
      </w:r>
      <w:r>
        <w:rPr>
          <w:rStyle w:val="MdBr"/>
        </w:rPr>
        <w:br/>
        <w:t xml:space="preserve"/>
      </w:r>
      <w:r>
        <w:t xml:space="preserve">التوقيع: ........................................................</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النموذج الثاني: التقرير الأسبوعي لمدير المبيعات</w:t>
      </w:r>
    </w:p>
    <w:p>
      <w:pPr>
        <w:pStyle w:val="MdParagraph"/>
      </w:pPr>
      <w:r>
        <w:rPr>
          <w:rStyle w:val="MdStrong"/>
          <w:b/>
          <w:bCs/>
        </w:rPr>
        <w:t xml:space="preserve">الأسبوع من:</w:t>
      </w:r>
      <w:r>
        <w:t xml:space="preserve"> ../../.... </w:t>
      </w:r>
      <w:r>
        <w:rPr>
          <w:rStyle w:val="MdStrong"/>
          <w:b/>
          <w:bCs/>
        </w:rPr>
        <w:t xml:space="preserve">إلى:</w:t>
      </w:r>
      <w:r>
        <w:t xml:space="preserve"> ../../....</w:t>
      </w:r>
      <w:r>
        <w:rPr>
          <w:rStyle w:val="MdBr"/>
        </w:rPr>
        <w:br/>
        <w:t xml:space="preserve"/>
      </w:r>
      <w:r>
        <w:rPr>
          <w:rStyle w:val="MdStrong"/>
          <w:b/>
          <w:bCs/>
        </w:rPr>
        <w:t xml:space="preserve">إعداد:</w:t>
      </w:r>
      <w:r>
        <w:t xml:space="preserve"> ........................................................</w:t>
      </w:r>
      <w:r>
        <w:rPr>
          <w:rStyle w:val="MdBr"/>
        </w:rPr>
        <w:br/>
        <w:t xml:space="preserve"/>
      </w:r>
      <w:r>
        <w:rPr>
          <w:rStyle w:val="MdStrong"/>
          <w:b/>
          <w:bCs/>
        </w:rPr>
        <w:t xml:space="preserve">اعتماد:</w:t>
      </w:r>
      <w:r>
        <w:t xml:space="preserve"> ........................................................</w:t>
      </w:r>
    </w:p>
    <w:p>
      <w:pPr>
        <w:pStyle w:val="MdSpace"/>
        <w:spacing w:before="0" w:after="60"/>
      </w:pPr>
    </w:p>
    <w:p>
      <w:pPr>
        <w:pStyle w:val="Heading2"/>
        <w:pStyle w:val="MdHeading2"/>
      </w:pPr>
      <w:r>
        <w:t xml:space="preserve">1. لوحة الأداء الرئيسية</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المؤشر</w:t>
            </w:r>
          </w:p>
        </w:tc>
        <w:tc>
          <w:tcPr>
            <w:tcMar>
              <w:top w:type="dxa" w:w="100"/>
              <w:left w:type="dxa" w:w="120"/>
              <w:bottom w:type="dxa" w:w="100"/>
              <w:right w:type="dxa" w:w="120"/>
            </w:tcMar>
            <w:vAlign w:val="center"/>
          </w:tcPr>
          <w:p>
            <w:pPr>
              <w:pStyle w:val="MdTableHeader"/>
              <w:jc w:val="right"/>
            </w:pPr>
            <w:r>
              <w:t xml:space="preserve">الأسبوع الحالي</w:t>
            </w:r>
          </w:p>
        </w:tc>
        <w:tc>
          <w:tcPr>
            <w:tcMar>
              <w:top w:type="dxa" w:w="100"/>
              <w:left w:type="dxa" w:w="120"/>
              <w:bottom w:type="dxa" w:w="100"/>
              <w:right w:type="dxa" w:w="120"/>
            </w:tcMar>
            <w:vAlign w:val="center"/>
          </w:tcPr>
          <w:p>
            <w:pPr>
              <w:pStyle w:val="MdTableHeader"/>
              <w:jc w:val="right"/>
            </w:pPr>
            <w:r>
              <w:t xml:space="preserve">الأسبوع السابق</w:t>
            </w:r>
          </w:p>
        </w:tc>
        <w:tc>
          <w:tcPr>
            <w:tcMar>
              <w:top w:type="dxa" w:w="100"/>
              <w:left w:type="dxa" w:w="120"/>
              <w:bottom w:type="dxa" w:w="100"/>
              <w:right w:type="dxa" w:w="120"/>
            </w:tcMar>
            <w:vAlign w:val="center"/>
          </w:tcPr>
          <w:p>
            <w:pPr>
              <w:pStyle w:val="MdTableHeader"/>
              <w:jc w:val="right"/>
            </w:pPr>
            <w:r>
              <w:t xml:space="preserve">التغير</w:t>
            </w:r>
          </w:p>
        </w:tc>
        <w:tc>
          <w:tcPr>
            <w:tcMar>
              <w:top w:type="dxa" w:w="100"/>
              <w:left w:type="dxa" w:w="120"/>
              <w:bottom w:type="dxa" w:w="100"/>
              <w:right w:type="dxa" w:w="120"/>
            </w:tcMar>
            <w:vAlign w:val="center"/>
          </w:tcPr>
          <w:p>
            <w:pPr>
              <w:pStyle w:val="MdTableHeader"/>
              <w:jc w:val="right"/>
            </w:pPr>
            <w:r>
              <w:t xml:space="preserve">التارجت</w:t>
            </w:r>
          </w:p>
        </w:tc>
        <w:tc>
          <w:tcPr>
            <w:tcBorders>
              <w:right w:val="none"/>
            </w:tcBorders>
            <w:tcMar>
              <w:top w:type="dxa" w:w="100"/>
              <w:left w:type="dxa" w:w="120"/>
              <w:bottom w:type="dxa" w:w="100"/>
              <w:right w:type="dxa" w:w="120"/>
            </w:tcMar>
            <w:vAlign w:val="center"/>
          </w:tcPr>
          <w:p>
            <w:pPr>
              <w:pStyle w:val="MdTableHeader"/>
              <w:jc w:val="right"/>
            </w:pPr>
            <w:r>
              <w:t xml:space="preserve">نسبة الإنجاز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التسجيلات الجديدة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العملاء المؤهلون</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المعاينات المنفذة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العروض المرسلة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الحجوزات المعتمدة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قيمة الحجوزات</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المبالغ المسددة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الوحدات المباعة/المغلقة</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MdParagraph"/>
      </w:pPr>
      <w:r>
        <w:rPr>
          <w:rStyle w:val="MdStrong"/>
          <w:b/>
          <w:bCs/>
        </w:rPr>
        <w:t xml:space="preserve">معادلة نسبة الإنجاز:</w:t>
      </w:r>
      <w:r>
        <w:t xml:space="preserve"> الإنجاز الفعلي ÷ التارجت للفترة × 100.</w:t>
      </w:r>
    </w:p>
    <w:p>
      <w:pPr>
        <w:pStyle w:val="MdSpace"/>
        <w:spacing w:before="0" w:after="60"/>
      </w:pPr>
    </w:p>
    <w:p>
      <w:pPr>
        <w:pStyle w:val="Heading2"/>
        <w:pStyle w:val="MdHeading2"/>
      </w:pPr>
      <w:r>
        <w:t xml:space="preserve">2. التارجت نصف السنوي</w:t>
      </w:r>
    </w:p>
    <w:p>
      <w:pPr>
        <w:pStyle w:val="MdParagraph"/>
      </w:pPr>
      <w:r>
        <w:t xml:space="preserve">يحدد المدير خط الأساس </w:t>
      </w:r>
      <w:r>
        <w:rPr>
          <w:rStyle w:val="MdStrong"/>
          <w:b/>
          <w:bCs/>
        </w:rPr>
        <w:t xml:space="preserve">H6</w:t>
      </w:r>
      <w:r>
        <w:t xml:space="preserve"> = إجمالي التسجيلات أو الحجوزات المعتمدة خلال آخر 6 أشهر قبل فترة القياس.</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البند</w:t>
            </w:r>
          </w:p>
        </w:tc>
        <w:tc>
          <w:tcPr>
            <w:tcBorders>
              <w:right w:val="none"/>
            </w:tcBorders>
            <w:tcMar>
              <w:top w:type="dxa" w:w="100"/>
              <w:left w:type="dxa" w:w="120"/>
              <w:bottom w:type="dxa" w:w="100"/>
              <w:right w:type="dxa" w:w="120"/>
            </w:tcMar>
            <w:vAlign w:val="center"/>
          </w:tcPr>
          <w:p>
            <w:pPr>
              <w:pStyle w:val="MdTableHeader"/>
              <w:jc w:val="right"/>
            </w:pPr>
            <w:r>
              <w:t xml:space="preserve">الرقم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H6 — خط الأساس لآخر 6 أشهر</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التارجت للـ6 أشهر القادمة = 2 × H6</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المنجز حتى هذا الأسبوع</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المتبقي لتحقيق التارجت</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عدد الأسابيع المتبقية</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المطلوب أسبوعيًا من الآن</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نسبة الإنجاز من التارجت نصف السنوي</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MdParagraph"/>
      </w:pPr>
      <w:r>
        <w:t xml:space="preserve">إذا كان المقصود بالحجوزات هو الحجوزات المعتمدة، فلا تدخل الطلبات غير المكتملة أو التكرارات في الرقم.</w:t>
      </w:r>
    </w:p>
    <w:p>
      <w:pPr>
        <w:pStyle w:val="MdSpace"/>
        <w:spacing w:before="0" w:after="60"/>
      </w:pPr>
    </w:p>
    <w:p>
      <w:pPr>
        <w:pStyle w:val="Heading2"/>
        <w:pStyle w:val="MdHeading2"/>
      </w:pPr>
      <w:r>
        <w:t xml:space="preserve">3. أداء القنوات</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المصدر</w:t>
            </w:r>
          </w:p>
        </w:tc>
        <w:tc>
          <w:tcPr>
            <w:tcMar>
              <w:top w:type="dxa" w:w="100"/>
              <w:left w:type="dxa" w:w="120"/>
              <w:bottom w:type="dxa" w:w="100"/>
              <w:right w:type="dxa" w:w="120"/>
            </w:tcMar>
            <w:vAlign w:val="center"/>
          </w:tcPr>
          <w:p>
            <w:pPr>
              <w:pStyle w:val="MdTableHeader"/>
              <w:jc w:val="right"/>
            </w:pPr>
            <w:r>
              <w:t xml:space="preserve">تسجيلات</w:t>
            </w:r>
          </w:p>
        </w:tc>
        <w:tc>
          <w:tcPr>
            <w:tcMar>
              <w:top w:type="dxa" w:w="100"/>
              <w:left w:type="dxa" w:w="120"/>
              <w:bottom w:type="dxa" w:w="100"/>
              <w:right w:type="dxa" w:w="120"/>
            </w:tcMar>
            <w:vAlign w:val="center"/>
          </w:tcPr>
          <w:p>
            <w:pPr>
              <w:pStyle w:val="MdTableHeader"/>
              <w:jc w:val="right"/>
            </w:pPr>
            <w:r>
              <w:t xml:space="preserve">مؤهلون</w:t>
            </w:r>
          </w:p>
        </w:tc>
        <w:tc>
          <w:tcPr>
            <w:tcMar>
              <w:top w:type="dxa" w:w="100"/>
              <w:left w:type="dxa" w:w="120"/>
              <w:bottom w:type="dxa" w:w="100"/>
              <w:right w:type="dxa" w:w="120"/>
            </w:tcMar>
            <w:vAlign w:val="center"/>
          </w:tcPr>
          <w:p>
            <w:pPr>
              <w:pStyle w:val="MdTableHeader"/>
              <w:jc w:val="right"/>
            </w:pPr>
            <w:r>
              <w:t xml:space="preserve">معاينات</w:t>
            </w:r>
          </w:p>
        </w:tc>
        <w:tc>
          <w:tcPr>
            <w:tcMar>
              <w:top w:type="dxa" w:w="100"/>
              <w:left w:type="dxa" w:w="120"/>
              <w:bottom w:type="dxa" w:w="100"/>
              <w:right w:type="dxa" w:w="120"/>
            </w:tcMar>
            <w:vAlign w:val="center"/>
          </w:tcPr>
          <w:p>
            <w:pPr>
              <w:pStyle w:val="MdTableHeader"/>
              <w:jc w:val="right"/>
            </w:pPr>
            <w:r>
              <w:t xml:space="preserve">حجوزات</w:t>
            </w:r>
          </w:p>
        </w:tc>
        <w:tc>
          <w:tcPr>
            <w:tcMar>
              <w:top w:type="dxa" w:w="100"/>
              <w:left w:type="dxa" w:w="120"/>
              <w:bottom w:type="dxa" w:w="100"/>
              <w:right w:type="dxa" w:w="120"/>
            </w:tcMar>
            <w:vAlign w:val="center"/>
          </w:tcPr>
          <w:p>
            <w:pPr>
              <w:pStyle w:val="MdTableHeader"/>
              <w:jc w:val="right"/>
            </w:pPr>
            <w:r>
              <w:t xml:space="preserve">قيمة الحجوزات</w:t>
            </w:r>
          </w:p>
        </w:tc>
        <w:tc>
          <w:tcPr>
            <w:tcBorders>
              <w:right w:val="none"/>
            </w:tcBorders>
            <w:tcMar>
              <w:top w:type="dxa" w:w="100"/>
              <w:left w:type="dxa" w:w="120"/>
              <w:bottom w:type="dxa" w:w="100"/>
              <w:right w:type="dxa" w:w="120"/>
            </w:tcMar>
            <w:vAlign w:val="center"/>
          </w:tcPr>
          <w:p>
            <w:pPr>
              <w:pStyle w:val="MdTableHeader"/>
              <w:jc w:val="right"/>
            </w:pPr>
            <w:r>
              <w:t xml:space="preserve">نسبة التحويل إلى حجز</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بروكرز</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Ads</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 / WhatsApp</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LinkedIn</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زيارات مباشرة</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عملاء سابقون</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w:t>
            </w:r>
          </w:p>
        </w:tc>
      </w:tr>
    </w:tbl>
    <w:p>
      <w:pPr>
        <w:pStyle w:val="Heading2"/>
        <w:pStyle w:val="MdHeading2"/>
      </w:pPr>
      <w:r>
        <w:t xml:space="preserve">4. حالة المخزون</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الفئة</w:t>
            </w:r>
          </w:p>
        </w:tc>
        <w:tc>
          <w:tcPr>
            <w:tcMar>
              <w:top w:type="dxa" w:w="100"/>
              <w:left w:type="dxa" w:w="120"/>
              <w:bottom w:type="dxa" w:w="100"/>
              <w:right w:type="dxa" w:w="120"/>
            </w:tcMar>
            <w:vAlign w:val="center"/>
          </w:tcPr>
          <w:p>
            <w:pPr>
              <w:pStyle w:val="MdTableHeader"/>
              <w:jc w:val="right"/>
            </w:pPr>
            <w:r>
              <w:t xml:space="preserve">متاح في بداية الأسبوع</w:t>
            </w:r>
          </w:p>
        </w:tc>
        <w:tc>
          <w:tcPr>
            <w:tcMar>
              <w:top w:type="dxa" w:w="100"/>
              <w:left w:type="dxa" w:w="120"/>
              <w:bottom w:type="dxa" w:w="100"/>
              <w:right w:type="dxa" w:w="120"/>
            </w:tcMar>
            <w:vAlign w:val="center"/>
          </w:tcPr>
          <w:p>
            <w:pPr>
              <w:pStyle w:val="MdTableHeader"/>
              <w:jc w:val="right"/>
            </w:pPr>
            <w:r>
              <w:t xml:space="preserve">محجوز</w:t>
            </w:r>
          </w:p>
        </w:tc>
        <w:tc>
          <w:tcPr>
            <w:tcMar>
              <w:top w:type="dxa" w:w="100"/>
              <w:left w:type="dxa" w:w="120"/>
              <w:bottom w:type="dxa" w:w="100"/>
              <w:right w:type="dxa" w:w="120"/>
            </w:tcMar>
            <w:vAlign w:val="center"/>
          </w:tcPr>
          <w:p>
            <w:pPr>
              <w:pStyle w:val="MdTableHeader"/>
              <w:jc w:val="right"/>
            </w:pPr>
            <w:r>
              <w:t xml:space="preserve">مباع/متعاقد</w:t>
            </w:r>
          </w:p>
        </w:tc>
        <w:tc>
          <w:tcPr>
            <w:tcMar>
              <w:top w:type="dxa" w:w="100"/>
              <w:left w:type="dxa" w:w="120"/>
              <w:bottom w:type="dxa" w:w="100"/>
              <w:right w:type="dxa" w:w="120"/>
            </w:tcMar>
            <w:vAlign w:val="center"/>
          </w:tcPr>
          <w:p>
            <w:pPr>
              <w:pStyle w:val="MdTableHeader"/>
              <w:jc w:val="right"/>
            </w:pPr>
            <w:r>
              <w:t xml:space="preserve">عاد للمخزون</w:t>
            </w:r>
          </w:p>
        </w:tc>
        <w:tc>
          <w:tcPr>
            <w:tcMar>
              <w:top w:type="dxa" w:w="100"/>
              <w:left w:type="dxa" w:w="120"/>
              <w:bottom w:type="dxa" w:w="100"/>
              <w:right w:type="dxa" w:w="120"/>
            </w:tcMar>
            <w:vAlign w:val="center"/>
          </w:tcPr>
          <w:p>
            <w:pPr>
              <w:pStyle w:val="MdTableHeader"/>
              <w:jc w:val="right"/>
            </w:pPr>
            <w:r>
              <w:t xml:space="preserve">متاح في نهاية الأسبوع</w:t>
            </w:r>
          </w:p>
        </w:tc>
        <w:tc>
          <w:tcPr>
            <w:tcBorders>
              <w:right w:val="none"/>
            </w:tcBorders>
            <w:tcMar>
              <w:top w:type="dxa" w:w="100"/>
              <w:left w:type="dxa" w:w="120"/>
              <w:bottom w:type="dxa" w:w="100"/>
              <w:right w:type="dxa" w:w="120"/>
            </w:tcMar>
            <w:vAlign w:val="center"/>
          </w:tcPr>
          <w:p>
            <w:pPr>
              <w:pStyle w:val="MdTableHeader"/>
              <w:jc w:val="right"/>
            </w:pPr>
            <w:r>
              <w:t xml:space="preserve">يحتاج تأكيد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إداري</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تجاري أرضي</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Mar>
              <w:top w:type="dxa" w:w="80"/>
              <w:left w:type="dxa" w:w="120"/>
              <w:bottom w:type="dxa" w:w="80"/>
              <w:right w:type="dxa" w:w="120"/>
            </w:tcMar>
            <w:vAlign w:val="center"/>
          </w:tcPr>
          <w:p>
            <w:pPr>
              <w:pStyle w:val="MdTableCell"/>
              <w:jc w:val="right"/>
            </w:pPr>
            <w:r>
              <w:t xml:space="preserve">........</w:t>
            </w:r>
          </w:p>
        </w:tc>
        <w:tc>
          <w:tcPr>
            <w:tcBorders>
              <w:right w:val="none"/>
            </w:tcBorders>
            <w:tcMar>
              <w:top w:type="dxa" w:w="80"/>
              <w:left w:type="dxa" w:w="120"/>
              <w:bottom w:type="dxa" w:w="80"/>
              <w:right w:type="dxa" w:w="120"/>
            </w:tcMar>
            <w:vAlign w:val="center"/>
          </w:tcPr>
          <w:p>
            <w:pPr>
              <w:pStyle w:val="MdTableCell"/>
              <w:jc w:val="right"/>
            </w:pPr>
            <w:r>
              <w:t xml:space="preserve">نعم/لا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تجاري أول</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tcBorders>
            <w:tcMar>
              <w:top w:type="dxa" w:w="80"/>
              <w:left w:type="dxa" w:w="120"/>
              <w:bottom w:type="dxa" w:w="80"/>
              <w:right w:type="dxa" w:w="120"/>
            </w:tcMar>
            <w:vAlign w:val="center"/>
          </w:tcPr>
          <w:p>
            <w:pPr>
              <w:pStyle w:val="MdTableCell"/>
              <w:jc w:val="righ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نعم/لا</w:t>
            </w:r>
          </w:p>
        </w:tc>
      </w:tr>
    </w:tbl>
    <w:p>
      <w:pPr>
        <w:pStyle w:val="Heading2"/>
        <w:pStyle w:val="MdHeading2"/>
      </w:pPr>
      <w:r>
        <w:t xml:space="preserve">5. أهم الفرص وخطة الأسبوع التالي</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العميل/الشركة</w:t>
            </w:r>
          </w:p>
        </w:tc>
        <w:tc>
          <w:tcPr>
            <w:tcMar>
              <w:top w:type="dxa" w:w="100"/>
              <w:left w:type="dxa" w:w="120"/>
              <w:bottom w:type="dxa" w:w="100"/>
              <w:right w:type="dxa" w:w="120"/>
            </w:tcMar>
            <w:vAlign w:val="center"/>
          </w:tcPr>
          <w:p>
            <w:pPr>
              <w:pStyle w:val="MdTableHeader"/>
            </w:pPr>
            <w:r>
              <w:t xml:space="preserve">النشاط</w:t>
            </w:r>
          </w:p>
        </w:tc>
        <w:tc>
          <w:tcPr>
            <w:tcMar>
              <w:top w:type="dxa" w:w="100"/>
              <w:left w:type="dxa" w:w="120"/>
              <w:bottom w:type="dxa" w:w="100"/>
              <w:right w:type="dxa" w:w="120"/>
            </w:tcMar>
            <w:vAlign w:val="center"/>
          </w:tcPr>
          <w:p>
            <w:pPr>
              <w:pStyle w:val="MdTableHeader"/>
            </w:pPr>
            <w:r>
              <w:t xml:space="preserve">الوحدة المقترحة</w:t>
            </w:r>
          </w:p>
        </w:tc>
        <w:tc>
          <w:tcPr>
            <w:tcMar>
              <w:top w:type="dxa" w:w="100"/>
              <w:left w:type="dxa" w:w="120"/>
              <w:bottom w:type="dxa" w:w="100"/>
              <w:right w:type="dxa" w:w="120"/>
            </w:tcMar>
            <w:vAlign w:val="center"/>
          </w:tcPr>
          <w:p>
            <w:pPr>
              <w:pStyle w:val="MdTableHeader"/>
            </w:pPr>
            <w:r>
              <w:t xml:space="preserve">المرحلة الحالية</w:t>
            </w:r>
          </w:p>
        </w:tc>
        <w:tc>
          <w:tcPr>
            <w:tcMar>
              <w:top w:type="dxa" w:w="100"/>
              <w:left w:type="dxa" w:w="120"/>
              <w:bottom w:type="dxa" w:w="100"/>
              <w:right w:type="dxa" w:w="120"/>
            </w:tcMar>
            <w:vAlign w:val="center"/>
          </w:tcPr>
          <w:p>
            <w:pPr>
              <w:pStyle w:val="MdTableHeader"/>
            </w:pPr>
            <w:r>
              <w:t xml:space="preserve">العائق</w:t>
            </w:r>
          </w:p>
        </w:tc>
        <w:tc>
          <w:tcPr>
            <w:tcMar>
              <w:top w:type="dxa" w:w="100"/>
              <w:left w:type="dxa" w:w="120"/>
              <w:bottom w:type="dxa" w:w="100"/>
              <w:right w:type="dxa" w:w="120"/>
            </w:tcMar>
            <w:vAlign w:val="center"/>
          </w:tcPr>
          <w:p>
            <w:pPr>
              <w:pStyle w:val="MdTableHeader"/>
            </w:pPr>
            <w:r>
              <w:t xml:space="preserve">الإجراء التالي</w:t>
            </w:r>
          </w:p>
        </w:tc>
        <w:tc>
          <w:tcPr>
            <w:tcMar>
              <w:top w:type="dxa" w:w="100"/>
              <w:left w:type="dxa" w:w="120"/>
              <w:bottom w:type="dxa" w:w="100"/>
              <w:right w:type="dxa" w:w="120"/>
            </w:tcMar>
            <w:vAlign w:val="center"/>
          </w:tcPr>
          <w:p>
            <w:pPr>
              <w:pStyle w:val="MdTableHeader"/>
            </w:pPr>
            <w:r>
              <w:t xml:space="preserve">المسؤول</w:t>
            </w:r>
          </w:p>
        </w:tc>
        <w:tc>
          <w:tcPr>
            <w:tcBorders>
              <w:right w:val="none"/>
            </w:tcBorders>
            <w:tcMar>
              <w:top w:type="dxa" w:w="100"/>
              <w:left w:type="dxa" w:w="120"/>
              <w:bottom w:type="dxa" w:w="100"/>
              <w:right w:type="dxa" w:w="120"/>
            </w:tcMar>
            <w:vAlign w:val="center"/>
          </w:tcPr>
          <w:p>
            <w:pPr>
              <w:pStyle w:val="MdTableHeader"/>
            </w:pPr>
            <w:r>
              <w:t xml:space="preserve">الموعد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2"/>
        <w:pStyle w:val="MdHeading2"/>
      </w:pPr>
      <w:r>
        <w:t xml:space="preserve">6. المخاطر والقرارات المطلوبة</w:t>
      </w:r>
    </w:p>
    <w:p>
      <w:pPr>
        <w:pStyle w:val="MdParagraph"/>
      </w:pPr>
      <w:r>
        <w:t xml:space="preserve">تتضمن المراجعة أي تأخير في الرد أو التسليم، تضارب في حالة الوحدة، اعتراض على السعر، نقص مستند، أو شكوى عميل. لا تُخفى المشكلة؛ بل تسجل مع أثرها والإجراء التصحيحي المطلوب.</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المشكلة</w:t>
            </w:r>
          </w:p>
        </w:tc>
        <w:tc>
          <w:tcPr>
            <w:tcMar>
              <w:top w:type="dxa" w:w="100"/>
              <w:left w:type="dxa" w:w="120"/>
              <w:bottom w:type="dxa" w:w="100"/>
              <w:right w:type="dxa" w:w="120"/>
            </w:tcMar>
            <w:vAlign w:val="center"/>
          </w:tcPr>
          <w:p>
            <w:pPr>
              <w:pStyle w:val="MdTableHeader"/>
            </w:pPr>
            <w:r>
              <w:t xml:space="preserve">الأثر</w:t>
            </w:r>
          </w:p>
        </w:tc>
        <w:tc>
          <w:tcPr>
            <w:tcMar>
              <w:top w:type="dxa" w:w="100"/>
              <w:left w:type="dxa" w:w="120"/>
              <w:bottom w:type="dxa" w:w="100"/>
              <w:right w:type="dxa" w:w="120"/>
            </w:tcMar>
            <w:vAlign w:val="center"/>
          </w:tcPr>
          <w:p>
            <w:pPr>
              <w:pStyle w:val="MdTableHeader"/>
            </w:pPr>
            <w:r>
              <w:t xml:space="preserve">الإجراء المقترح</w:t>
            </w:r>
          </w:p>
        </w:tc>
        <w:tc>
          <w:tcPr>
            <w:tcMar>
              <w:top w:type="dxa" w:w="100"/>
              <w:left w:type="dxa" w:w="120"/>
              <w:bottom w:type="dxa" w:w="100"/>
              <w:right w:type="dxa" w:w="120"/>
            </w:tcMar>
            <w:vAlign w:val="center"/>
          </w:tcPr>
          <w:p>
            <w:pPr>
              <w:pStyle w:val="MdTableHeader"/>
            </w:pPr>
            <w:r>
              <w:t xml:space="preserve">قرار الإدارة المطلوب</w:t>
            </w:r>
          </w:p>
        </w:tc>
        <w:tc>
          <w:tcPr>
            <w:tcBorders>
              <w:right w:val="none"/>
            </w:tcBorders>
            <w:tcMar>
              <w:top w:type="dxa" w:w="100"/>
              <w:left w:type="dxa" w:w="120"/>
              <w:bottom w:type="dxa" w:w="100"/>
              <w:right w:type="dxa" w:w="120"/>
            </w:tcMar>
            <w:vAlign w:val="center"/>
          </w:tcPr>
          <w:p>
            <w:pPr>
              <w:pStyle w:val="MdTableHeader"/>
            </w:pPr>
            <w:r>
              <w:t xml:space="preserve">الموعد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t>
            </w:r>
          </w:p>
        </w:tc>
      </w:tr>
    </w:tbl>
    <w:p>
      <w:pPr>
        <w:pStyle w:val="Heading2"/>
        <w:pStyle w:val="MdHeading2"/>
      </w:pPr>
      <w:r>
        <w:t xml:space="preserve">7. اعتماد التقرير</w:t>
      </w:r>
    </w:p>
    <w:p>
      <w:pPr>
        <w:pStyle w:val="MdParagraph"/>
      </w:pPr>
      <w:r>
        <w:t xml:space="preserve">توقيع مدير المبيعات: ........................................................</w:t>
      </w:r>
      <w:r>
        <w:rPr>
          <w:rStyle w:val="MdBr"/>
        </w:rPr>
        <w:br/>
        <w:t xml:space="preserve"/>
      </w:r>
      <w:r>
        <w:t xml:space="preserve">توقيع مسؤول CRM: ........................................................</w:t>
      </w:r>
      <w:r>
        <w:rPr>
          <w:rStyle w:val="MdBr"/>
        </w:rPr>
        <w:br/>
        <w:t xml:space="preserve"/>
      </w:r>
      <w:r>
        <w:t xml:space="preserve">ملاحظات الإدارة العليا: ........................................................</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النموذج الثالث: أسئلة مجلس الإدارة والردود النموذجية</w:t>
      </w:r>
    </w:p>
    <w:p>
      <w:pPr>
        <w:pStyle w:val="Heading2"/>
        <w:pStyle w:val="MdHeading2"/>
      </w:pPr>
      <w:r>
        <w:t xml:space="preserve">1. ما الهدف الرقمي للخطة؟</w:t>
      </w:r>
    </w:p>
    <w:p>
      <w:pPr>
        <w:pStyle w:val="MdParagraph"/>
      </w:pPr>
      <w:r>
        <w:t xml:space="preserve">الهدف هو مضاعفة عدد التسجيلات أو الحجوزات المعتمدة خلال آخر 6 أشهر في الـ6 أشهر التالية. نعتمد الرقم الفعلي H6 من ملفات الشركة، ولا نضع رقمًا تقديريًا بدلًا منه. الهدف قابل للقياس وليس ضمانًا للبيع.</w:t>
      </w:r>
    </w:p>
    <w:p>
      <w:pPr>
        <w:pStyle w:val="MdSpace"/>
        <w:spacing w:before="0" w:after="60"/>
      </w:pPr>
    </w:p>
    <w:p>
      <w:pPr>
        <w:pStyle w:val="Heading2"/>
        <w:pStyle w:val="MdHeading2"/>
      </w:pPr>
      <w:r>
        <w:t xml:space="preserve">2. لماذا لا نذكر رقمًا ثابتًا لميزانية التسويق؟</w:t>
      </w:r>
    </w:p>
    <w:p>
      <w:pPr>
        <w:pStyle w:val="MdParagraph"/>
      </w:pPr>
      <w:r>
        <w:t xml:space="preserve">لأن الإدارة العليا هي التي تعتمد النطاق المالي بعد مراجعة السيولة والأولويات. الخطة تحدد القنوات ومؤشرات القياس، بينما يظل الرقم مفتوحًا حتى لا يتم الالتزام بإنفاق غير معتمد.</w:t>
      </w:r>
    </w:p>
    <w:p>
      <w:pPr>
        <w:pStyle w:val="MdSpace"/>
        <w:spacing w:before="0" w:after="60"/>
      </w:pPr>
    </w:p>
    <w:p>
      <w:pPr>
        <w:pStyle w:val="Heading2"/>
        <w:pStyle w:val="MdHeading2"/>
      </w:pPr>
      <w:r>
        <w:t xml:space="preserve">3. لماذا نحتاج نظام شركة وليس ملف Excel؟</w:t>
      </w:r>
    </w:p>
    <w:p>
      <w:pPr>
        <w:pStyle w:val="MdParagraph"/>
      </w:pPr>
      <w:r>
        <w:t xml:space="preserve">لأن المشروع يحتاج ربط الوحدات والعملاء والتسجيلات والمعاينات والحجوزات والعقود والتحصيل والتقارير، مع سجل للصلاحيات والتعديلات. يمكن أن يبدأ النظام بإصدار بسيط منظم ثم يتوسع، لكن يجب أن تكون البيانات موحدة من البداية.</w:t>
      </w:r>
    </w:p>
    <w:p>
      <w:pPr>
        <w:pStyle w:val="MdSpace"/>
        <w:spacing w:before="0" w:after="60"/>
      </w:pPr>
    </w:p>
    <w:p>
      <w:pPr>
        <w:pStyle w:val="Heading2"/>
        <w:pStyle w:val="MdHeading2"/>
      </w:pPr>
      <w:r>
        <w:t xml:space="preserve">4. هل سيطلع فريق المبيعات على كل ملفات السنوات السابقة والتحصيل؟</w:t>
      </w:r>
    </w:p>
    <w:p>
      <w:pPr>
        <w:pStyle w:val="MdParagraph"/>
      </w:pPr>
      <w:r>
        <w:t xml:space="preserve">الاطلاع يكون وفق موافقة الإدارة ومبدأ الحاجة إلى المعرفة. مسؤول التطوير والمبيعات يرى ما يلزم لإدارة العملاء والحجوزات، بينما بيانات التحصيل تكون للمالية أو من تفوضه الإدارة. لا تعني صلاحية الاطلاع صلاحية التعديل أو الصرف.</w:t>
      </w:r>
    </w:p>
    <w:p>
      <w:pPr>
        <w:pStyle w:val="MdSpace"/>
        <w:spacing w:before="0" w:after="60"/>
      </w:pPr>
    </w:p>
    <w:p>
      <w:pPr>
        <w:pStyle w:val="Heading2"/>
        <w:pStyle w:val="MdHeading2"/>
      </w:pPr>
      <w:r>
        <w:t xml:space="preserve">5. لماذا عمولة البروكرز 6%؟</w:t>
      </w:r>
    </w:p>
    <w:p>
      <w:pPr>
        <w:pStyle w:val="MdParagraph"/>
      </w:pPr>
      <w:r>
        <w:t xml:space="preserve">لأن البروكر قناة مؤثرة في الوصول إلى العملاء، لكن العمولة لا تصرف بصورة عمياء. عند تجاوز سداد العميل 75% تستحق 6% من إجمالي التعاقد. وإذا كان السداد 75% أو أقل، تحسب 4% من المبالغ المسددة فعليًا، مع ترك أي بديل إداري لاعتماد مكتوب.</w:t>
      </w:r>
    </w:p>
    <w:p>
      <w:pPr>
        <w:pStyle w:val="MdSpace"/>
        <w:spacing w:before="0" w:after="60"/>
      </w:pPr>
    </w:p>
    <w:p>
      <w:pPr>
        <w:pStyle w:val="Heading2"/>
        <w:pStyle w:val="MdHeading2"/>
      </w:pPr>
      <w:r>
        <w:t xml:space="preserve">6. هل نسبة 80% من مبيعات المطورين تأتي من البروكرز؟</w:t>
      </w:r>
    </w:p>
    <w:p>
      <w:pPr>
        <w:pStyle w:val="MdParagraph"/>
      </w:pPr>
      <w:r>
        <w:t xml:space="preserve">تُعامل النسبة كافتراض تخطيطي مقدم من الإدارة، وليست نتيجة تحقق مستقل للمشروع. النظام سيقيس فعليًا مصدر كل تسجيل وحجز، وبعد فترة كافية يمكن تثبيت النسبة أو تعديلها.</w:t>
      </w:r>
    </w:p>
    <w:p>
      <w:pPr>
        <w:pStyle w:val="MdSpace"/>
        <w:spacing w:before="0" w:after="60"/>
      </w:pPr>
    </w:p>
    <w:p>
      <w:pPr>
        <w:pStyle w:val="Heading2"/>
        <w:pStyle w:val="MdHeading2"/>
      </w:pPr>
      <w:r>
        <w:t xml:space="preserve">7. كيف نعرف أن الحملة ناجحة؟</w:t>
      </w:r>
    </w:p>
    <w:p>
      <w:pPr>
        <w:pStyle w:val="MdParagraph"/>
      </w:pPr>
      <w:r>
        <w:t xml:space="preserve">لا نقيس النجاح بعدد الرسائل فقط. نتابع التسجيلات المؤهلة، المعاينات، العروض، الحجوزات المعتمدة، قيمة الحجز، والتحصيل، ثم نقارنها بخط الأساس H6 وبالأداء الأسبوعي.</w:t>
      </w:r>
    </w:p>
    <w:p>
      <w:pPr>
        <w:pStyle w:val="MdSpace"/>
        <w:spacing w:before="0" w:after="60"/>
      </w:pPr>
    </w:p>
    <w:p>
      <w:pPr>
        <w:pStyle w:val="Heading2"/>
        <w:pStyle w:val="MdHeading2"/>
      </w:pPr>
      <w:r>
        <w:t xml:space="preserve">8. هل بيع الوحدات بالكامل في النصف الأول من 2027 مضمون؟</w:t>
      </w:r>
    </w:p>
    <w:p>
      <w:pPr>
        <w:pStyle w:val="MdParagraph"/>
      </w:pPr>
      <w:r>
        <w:t xml:space="preserve">لا. هو هدف تجاري نعمل للوصول إليه، ويتأثر بتأكيد المخزون، الأسعار، التسليم، المتابعة، التمويل، والطلب الفعلي. لا نعرضه في الإعلان كضمان.</w:t>
      </w:r>
    </w:p>
    <w:p>
      <w:pPr>
        <w:pStyle w:val="MdSpace"/>
        <w:spacing w:before="0" w:after="60"/>
      </w:pPr>
    </w:p>
    <w:p>
      <w:pPr>
        <w:pStyle w:val="Heading2"/>
        <w:pStyle w:val="MdHeading2"/>
      </w:pPr>
      <w:r>
        <w:t xml:space="preserve">9. ما أول تعيينات مطلوبة؟</w:t>
      </w:r>
    </w:p>
    <w:p>
      <w:pPr>
        <w:pStyle w:val="MdParagraph"/>
      </w:pPr>
      <w:r>
        <w:t xml:space="preserve">نبدأ بالحد الأدنى: مسؤول تطوير الأعمال والمبيعات، مسؤول مبيعات وتأجير تجاري، مسؤول تسويق رقمي، ومنسق CRM وبيانات. يضاف التحصيل أو أفراد مبيعات إضافيون عند ظهور ضغط موثق في عدد العملاء أو المعاينات أو الحجوزات.</w:t>
      </w:r>
    </w:p>
    <w:p>
      <w:pPr>
        <w:pStyle w:val="MdSpace"/>
        <w:spacing w:before="0" w:after="60"/>
      </w:pPr>
    </w:p>
    <w:p>
      <w:pPr>
        <w:pStyle w:val="Heading2"/>
        <w:pStyle w:val="MdHeading2"/>
      </w:pPr>
      <w:r>
        <w:t xml:space="preserve">10. لماذا لا ننقل مكتب البيع فورًا؟</w:t>
      </w:r>
    </w:p>
    <w:p>
      <w:pPr>
        <w:pStyle w:val="MdParagraph"/>
      </w:pPr>
      <w:r>
        <w:t xml:space="preserve">لأن نقل المكتب قرار مستقبلي يحتاج مقارنة تكلفة الفرصة، ووضوح حركة العملاء، وتوافر وحدة مناسبة. يعرض بعد ظهور نتائج المرحلة الأولى، وليس ضمن الالتزام الفوري.</w:t>
      </w:r>
    </w:p>
    <w:p>
      <w:pPr>
        <w:pStyle w:val="MdSpace"/>
        <w:spacing w:before="0" w:after="60"/>
      </w:pPr>
    </w:p>
    <w:p>
      <w:pPr>
        <w:pStyle w:val="Heading2"/>
        <w:pStyle w:val="MdHeading2"/>
      </w:pPr>
      <w:r>
        <w:t xml:space="preserve">11. هل نرفع الأسعار 10% من البداية؟</w:t>
      </w:r>
    </w:p>
    <w:p>
      <w:pPr>
        <w:pStyle w:val="MdParagraph"/>
      </w:pPr>
      <w:r>
        <w:t xml:space="preserve">لا. الزيادة ليست تلقائية. تدرس تدريجيًا بعد المرحلة الأولى، وبعد مقارنة الحجوزات، والأسعار المنافسة، وتكلفة التسويق والعمولات، وبقرار مستقل من الإدارة.</w:t>
      </w:r>
    </w:p>
    <w:p>
      <w:pPr>
        <w:pStyle w:val="MdSpace"/>
        <w:spacing w:before="0" w:after="60"/>
      </w:pPr>
    </w:p>
    <w:p>
      <w:pPr>
        <w:pStyle w:val="Heading2"/>
        <w:pStyle w:val="MdHeading2"/>
      </w:pPr>
      <w:r>
        <w:t xml:space="preserve">12. ماذا لو كانت وحدات الملف غير متاحة؟</w:t>
      </w:r>
    </w:p>
    <w:p>
      <w:pPr>
        <w:pStyle w:val="MdParagraph"/>
      </w:pPr>
      <w:r>
        <w:t xml:space="preserve">يوقف النشر فورًا للوحدة محل الشك، ويصدر كشف محدث من الإدارة. لا يجوز تسويق رقم أو سعر أو تشطيب قبل تأكيده، لأن تضارب المعلومات يضر بالثقة أكثر من تأخير الإعلان.</w:t>
      </w:r>
    </w:p>
    <w:p>
      <w:pPr>
        <w:pStyle w:val="MdSpace"/>
        <w:spacing w:before="0" w:after="60"/>
      </w:pPr>
    </w:p>
    <w:p>
      <w:pPr>
        <w:pStyle w:val="Heading2"/>
        <w:pStyle w:val="MdHeading2"/>
      </w:pPr>
      <w:r>
        <w:t xml:space="preserve">13. ما الإجراء إذا تأخر التسليم أو ظهرت شكوى؟</w:t>
      </w:r>
    </w:p>
    <w:p>
      <w:pPr>
        <w:pStyle w:val="MdParagraph"/>
      </w:pPr>
      <w:r>
        <w:t xml:space="preserve">تسجل الحالة داخليًا، ويرد الفريق بمعلومة معتمدة دون وعود غير موثقة. يجب أن تكون معالجة التسليم جزءًا من قرار الإدارة والتشغيل، لأن التسويق وحده لا يعالج مشكلة تنفيذية.</w:t>
      </w:r>
    </w:p>
    <w:p>
      <w:pPr>
        <w:pStyle w:val="MdSpace"/>
        <w:spacing w:before="0" w:after="60"/>
      </w:pPr>
    </w:p>
    <w:p>
      <w:pPr>
        <w:pStyle w:val="Heading2"/>
        <w:pStyle w:val="MdHeading2"/>
      </w:pPr>
      <w:r>
        <w:t xml:space="preserve">14. متى نوقف قناة إعلانية أو نزيدها؟</w:t>
      </w:r>
    </w:p>
    <w:p>
      <w:pPr>
        <w:pStyle w:val="MdParagraph"/>
      </w:pPr>
      <w:r>
        <w:t xml:space="preserve">بعد فترة قياس متفق عليها، وبناء على تكلفة العميل المؤهل، ونسبة المعاينة، ونسبة التحويل إلى حجز، وليس على عدد التفاعلات فقط. تزيد القناة التي تثبت جودة الحجز، وتراجع القناة التي تحقق استفسارات بلا تحويل.</w:t>
      </w:r>
    </w:p>
    <w:p>
      <w:pPr>
        <w:pStyle w:val="MdSpace"/>
        <w:spacing w:before="0" w:after="60"/>
      </w:pPr>
    </w:p>
    <w:p>
      <w:pPr>
        <w:pStyle w:val="Heading2"/>
        <w:pStyle w:val="MdHeading2"/>
      </w:pPr>
      <w:r>
        <w:t xml:space="preserve">15. ما المطلوب من المجلس اليوم؟</w:t>
      </w:r>
    </w:p>
    <w:p>
      <w:pPr>
        <w:pStyle w:val="MdParagraph"/>
      </w:pPr>
      <w:r>
        <w:t xml:space="preserve">اعتماد خط الأساس H6 وتعريف التسجيل والحجز، اعتماد النظام والصلاحيات، تأكيد الوحدات والأسعار، اعتماد سياسة البروكرز، اعتماد الوظائف من حيث المبدأ، وتحديد نطاق ميزانية التسويق. أما التوسع والتشطيبات وعدم بيع الأرض فهي قرارات مستقبلية مشروطة بالنتائج.</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قائمة تحقق قبل الاجتماع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البند</w:t>
            </w:r>
          </w:p>
        </w:tc>
        <w:tc>
          <w:tcPr>
            <w:tcBorders>
              <w:right w:val="none"/>
            </w:tcBorders>
            <w:tcMar>
              <w:top w:type="dxa" w:w="100"/>
              <w:left w:type="dxa" w:w="120"/>
              <w:bottom w:type="dxa" w:w="100"/>
              <w:right w:type="dxa" w:w="120"/>
            </w:tcMar>
            <w:vAlign w:val="center"/>
          </w:tcPr>
          <w:p>
            <w:pPr>
              <w:pStyle w:val="MdTableHeader"/>
            </w:pPr>
            <w:r>
              <w:t xml:space="preserve">مكتمل؟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إدخال H6 من ملفات آخر 6 أشهر</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تأكيد كشف الوحدات والأسعار</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نسبة البروكرز وصياغة السداد</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تحديد مستخدمي النظام ومستوياتهم</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تجهيز تقرير أسبوعي تجريبي</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تعيين مسؤول عرض كل قرار</w:t>
            </w:r>
          </w:p>
        </w:tc>
        <w:tc>
          <w:tcPr>
            <w:tcBorders>
              <w:right w:val="none"/>
            </w:tcBorders>
            <w:tcMar>
              <w:top w:type="dxa" w:w="80"/>
              <w:left w:type="dxa" w:w="120"/>
              <w:bottom w:type="dxa" w:w="80"/>
              <w:right w:type="dxa" w:w="120"/>
            </w:tcMar>
            <w:vAlign w:val="center"/>
          </w:tcPr>
          <w:p>
            <w:pPr>
              <w:pStyle w:val="MdTableCell"/>
            </w:pPr>
            <w:r>
              <w:t xml:space="preserve">نعم/لا</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مراجعة العقد من محامٍ</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نعم/لا</w:t>
            </w:r>
          </w:p>
        </w:tc>
      </w:tr>
    </w:tbl>
    <w:p>
      <w:pPr>
        <w:pStyle w:val="MdParagraph"/>
      </w:pPr>
      <w:r>
        <w:rPr>
          <w:rStyle w:val="MdStrong"/>
          <w:b/>
          <w:bCs/>
        </w:rPr>
        <w:t xml:space="preserve">نهاية المسودة — لا تستخدم للتوقيع قبل المراجعة القانونية والإدارية.</w:t>
      </w:r>
    </w:p>
    <w:p>
      <w:pPr>
        <w:pStyle w:val="MdSpace"/>
        <w:spacing w:before="0" w:after="60"/>
      </w:pPr>
    </w:p>
    <w:p>
      <w:pPr>
        <w:pStyle w:val="Heading1"/>
        <w:pStyle w:val="MdHeading1"/>
      </w:pPr>
      <w:r>
        <w:t xml:space="preserve">مصدر مدمج: board_presentation_script_updated.md</w:t>
      </w:r>
    </w:p>
    <w:p>
      <w:pPr>
        <w:pStyle w:val="Heading1"/>
        <w:pStyle w:val="MdHeading1"/>
      </w:pPr>
      <w:r>
        <w:t xml:space="preserve">سيناريو الإلقاء التفصيلي أمام مجلس الإدارة</w:t>
      </w:r>
    </w:p>
    <w:p>
      <w:pPr>
        <w:pStyle w:val="MdParagraph"/>
      </w:pPr>
      <w:r>
        <w:rPr>
          <w:rStyle w:val="MdStrong"/>
          <w:b/>
          <w:bCs/>
        </w:rPr>
        <w:t xml:space="preserve">الموضوع:</w:t>
      </w:r>
      <w:r>
        <w:t xml:space="preserve"> اعتماد خطة التسويق والمبيعات والتشغيل — مشروع كايرو بلازا</w:t>
      </w:r>
      <w:r>
        <w:rPr>
          <w:rStyle w:val="MdBr"/>
        </w:rPr>
        <w:br/>
        <w:t xml:space="preserve"/>
      </w:r>
      <w:r>
        <w:rPr>
          <w:rStyle w:val="MdStrong"/>
          <w:b/>
          <w:bCs/>
        </w:rPr>
        <w:t xml:space="preserve">مدة العرض المقترحة:</w:t>
      </w:r>
      <w:r>
        <w:t xml:space="preserve"> 20–25 دقيقة، يليها 15 دقيقة للنقاش</w:t>
      </w:r>
      <w:r>
        <w:rPr>
          <w:rStyle w:val="MdBr"/>
        </w:rPr>
        <w:br/>
        <w:t xml:space="preserve"/>
      </w:r>
      <w:r>
        <w:rPr>
          <w:rStyle w:val="MdStrong"/>
          <w:b/>
          <w:bCs/>
        </w:rPr>
        <w:t xml:space="preserve">الحضور المستهدف:</w:t>
      </w:r>
      <w:r>
        <w:t xml:space="preserve"> الإدارة العليا، رئيس مجلس الإدارة، مسؤول المشروع، المسؤول المالي والإداري من داخل المطور</w:t>
      </w:r>
    </w:p>
    <w:p>
      <w:pPr>
        <w:pStyle w:val="MdSpace"/>
        <w:spacing w:before="0" w:after="60"/>
      </w:pPr>
    </w:p>
    <w:p>
      <w:pPr>
        <w:pStyle w:val="MdBlockquote"/>
      </w:pPr>
      <w:r>
        <w:rPr>
          <w:rStyle w:val="MdStrong"/>
          <w:b/>
          <w:bCs/>
        </w:rPr>
        <w:t xml:space="preserve">قاعدة الإلقاء:</w:t>
      </w:r>
      <w:r>
        <w:t xml:space="preserve"> لا يتم تقديم أي رقم كتوقع مضمون. القيمة والأسعار والتارجت أرقام تخطيطية أو مستخرجة من الملفات المقدمة، وتحتاج إلى تأكيد واعتماد الإدارة قبل استخدامها تجاريًا.</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أولًا: توزيع الأدوار داخل الاجتماع</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الدور</w:t>
            </w:r>
          </w:p>
        </w:tc>
        <w:tc>
          <w:tcPr>
            <w:tcBorders>
              <w:right w:val="none"/>
            </w:tcBorders>
            <w:tcMar>
              <w:top w:type="dxa" w:w="100"/>
              <w:left w:type="dxa" w:w="120"/>
              <w:bottom w:type="dxa" w:w="100"/>
              <w:right w:type="dxa" w:w="120"/>
            </w:tcMar>
            <w:vAlign w:val="center"/>
          </w:tcPr>
          <w:p>
            <w:pPr>
              <w:pStyle w:val="MdTableHeader"/>
            </w:pPr>
            <w:r>
              <w:t xml:space="preserve">المسؤولية أثناء الاجتماع</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مقدم العرض / مسؤول تطوير الأعمال</w:t>
            </w:r>
          </w:p>
        </w:tc>
        <w:tc>
          <w:tcPr>
            <w:tcBorders>
              <w:right w:val="none"/>
            </w:tcBorders>
            <w:tcMar>
              <w:top w:type="dxa" w:w="80"/>
              <w:left w:type="dxa" w:w="120"/>
              <w:bottom w:type="dxa" w:w="80"/>
              <w:right w:type="dxa" w:w="120"/>
            </w:tcMar>
            <w:vAlign w:val="center"/>
          </w:tcPr>
          <w:p>
            <w:pPr>
              <w:pStyle w:val="MdTableCell"/>
            </w:pPr>
            <w:r>
              <w:t xml:space="preserve">عرض الخطة، الأهداف، المخزون، الهيكل، المبيعات، والتقارير المطلوبة.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المشروع من داخل المطور</w:t>
            </w:r>
          </w:p>
        </w:tc>
        <w:tc>
          <w:tcPr>
            <w:tcBorders>
              <w:right w:val="none"/>
            </w:tcBorders>
            <w:tcMar>
              <w:top w:type="dxa" w:w="80"/>
              <w:left w:type="dxa" w:w="120"/>
              <w:bottom w:type="dxa" w:w="80"/>
              <w:right w:type="dxa" w:w="120"/>
            </w:tcMar>
            <w:vAlign w:val="center"/>
          </w:tcPr>
          <w:p>
            <w:pPr>
              <w:pStyle w:val="MdTableCell"/>
            </w:pPr>
            <w:r>
              <w:t xml:space="preserve">تأكيد حالة التنفيذ، التسليم، التشطيبات، وإمكانية المعاينات.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المسؤول المالي والإداري من داخل المطور</w:t>
            </w:r>
          </w:p>
        </w:tc>
        <w:tc>
          <w:tcPr>
            <w:tcBorders>
              <w:right w:val="none"/>
            </w:tcBorders>
            <w:tcMar>
              <w:top w:type="dxa" w:w="80"/>
              <w:left w:type="dxa" w:w="120"/>
              <w:bottom w:type="dxa" w:w="80"/>
              <w:right w:type="dxa" w:w="120"/>
            </w:tcMar>
            <w:vAlign w:val="center"/>
          </w:tcPr>
          <w:p>
            <w:pPr>
              <w:pStyle w:val="MdTableCell"/>
            </w:pPr>
            <w:r>
              <w:t xml:space="preserve">تأكيد التحصيلات، المبالغ المسددة، المستحقات، ضوابط الصرف، وأثر العمولات والتسويق على التدفقات النقدية.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موظفة المتابعة والبيع والمعاينات</w:t>
            </w:r>
          </w:p>
        </w:tc>
        <w:tc>
          <w:tcPr>
            <w:tcBorders>
              <w:right w:val="none"/>
            </w:tcBorders>
            <w:tcMar>
              <w:top w:type="dxa" w:w="80"/>
              <w:left w:type="dxa" w:w="120"/>
              <w:bottom w:type="dxa" w:w="80"/>
              <w:right w:type="dxa" w:w="120"/>
            </w:tcMar>
            <w:vAlign w:val="center"/>
          </w:tcPr>
          <w:p>
            <w:pPr>
              <w:pStyle w:val="MdTableCell"/>
            </w:pPr>
            <w:r>
              <w:t xml:space="preserve">إدارة الاتصالات، المواعيد، المعاينات، وتحديث النتائج اليومية.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موظف المتابعة والبيع والمعاينات</w:t>
            </w:r>
          </w:p>
        </w:tc>
        <w:tc>
          <w:tcPr>
            <w:tcBorders>
              <w:right w:val="none"/>
            </w:tcBorders>
            <w:tcMar>
              <w:top w:type="dxa" w:w="80"/>
              <w:left w:type="dxa" w:w="120"/>
              <w:bottom w:type="dxa" w:w="80"/>
              <w:right w:type="dxa" w:w="120"/>
            </w:tcMar>
            <w:vAlign w:val="center"/>
          </w:tcPr>
          <w:p>
            <w:pPr>
              <w:pStyle w:val="MdTableCell"/>
            </w:pPr>
            <w:r>
              <w:t xml:space="preserve">متابعة العملاء، المعاينات، العروض، والبروكرز والقطاعات التجارية.</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الإدارة العليا</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اعتماد الأسعار، العمولات، النظام، الصلاحيات، الوظائف، ونطاق الميزانية.</w:t>
            </w:r>
          </w:p>
        </w:tc>
      </w:tr>
    </w:tbl>
    <w:p>
      <w:pPr>
        <w:pStyle w:val="Heading2"/>
        <w:pStyle w:val="MdHeading2"/>
      </w:pPr>
      <w:r>
        <w:t xml:space="preserve">ثانيًا: الهيكل التنظيمي المقترح للتنفيذ</w:t>
      </w:r>
    </w:p>
    <w:p>
      <w:pPr>
        <w:pStyle w:val="MdParagraph"/>
      </w:pPr>
      <w:r>
        <w:t xml:space="preserve">يبدأ الفريق بأربعة أدوار تشغيلية أساسية، مع الاستفادة من الموارد الداخلية لدى المطور بدل إنشاء هيكل كبير منذ البداية: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الوظيفة</w:t>
            </w:r>
          </w:p>
        </w:tc>
        <w:tc>
          <w:tcPr>
            <w:tcMar>
              <w:top w:type="dxa" w:w="100"/>
              <w:left w:type="dxa" w:w="120"/>
              <w:bottom w:type="dxa" w:w="100"/>
              <w:right w:type="dxa" w:w="120"/>
            </w:tcMar>
            <w:vAlign w:val="center"/>
          </w:tcPr>
          <w:p>
            <w:pPr>
              <w:pStyle w:val="MdTableHeader"/>
            </w:pPr>
            <w:r>
              <w:t xml:space="preserve">نطاق المسؤولية</w:t>
            </w:r>
          </w:p>
        </w:tc>
        <w:tc>
          <w:tcPr>
            <w:tcBorders>
              <w:right w:val="none"/>
            </w:tcBorders>
            <w:tcMar>
              <w:top w:type="dxa" w:w="100"/>
              <w:left w:type="dxa" w:w="120"/>
              <w:bottom w:type="dxa" w:w="100"/>
              <w:right w:type="dxa" w:w="120"/>
            </w:tcMar>
            <w:vAlign w:val="center"/>
          </w:tcPr>
          <w:p>
            <w:pPr>
              <w:pStyle w:val="MdTableHeader"/>
            </w:pPr>
            <w:r>
              <w:t xml:space="preserve">ما لا يدخل في صلاحيتها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مسؤول المشروع</w:t>
            </w:r>
          </w:p>
        </w:tc>
        <w:tc>
          <w:tcPr>
            <w:tcMar>
              <w:top w:type="dxa" w:w="80"/>
              <w:left w:type="dxa" w:w="120"/>
              <w:bottom w:type="dxa" w:w="80"/>
              <w:right w:type="dxa" w:w="120"/>
            </w:tcMar>
            <w:vAlign w:val="center"/>
          </w:tcPr>
          <w:p>
            <w:pPr>
              <w:pStyle w:val="MdTableCell"/>
            </w:pPr>
            <w:r>
              <w:t xml:space="preserve">التنسيق مع الإدارة والمطور، حالة الوحدات، المعاينات، التسليم، التشطيبات، وحل العوائق</w:t>
            </w:r>
          </w:p>
        </w:tc>
        <w:tc>
          <w:tcPr>
            <w:tcBorders>
              <w:right w:val="none"/>
            </w:tcBorders>
            <w:tcMar>
              <w:top w:type="dxa" w:w="80"/>
              <w:left w:type="dxa" w:w="120"/>
              <w:bottom w:type="dxa" w:w="80"/>
              <w:right w:type="dxa" w:w="120"/>
            </w:tcMar>
            <w:vAlign w:val="center"/>
          </w:tcPr>
          <w:p>
            <w:pPr>
              <w:pStyle w:val="MdTableCell"/>
            </w:pPr>
            <w:r>
              <w:t xml:space="preserve">لا يعتمد أسعارًا أو خصومات أو صرفًا منفردًا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موظفة المتابعة والبيع والمعاينات</w:t>
            </w:r>
          </w:p>
        </w:tc>
        <w:tc>
          <w:tcPr>
            <w:tcMar>
              <w:top w:type="dxa" w:w="80"/>
              <w:left w:type="dxa" w:w="120"/>
              <w:bottom w:type="dxa" w:w="80"/>
              <w:right w:type="dxa" w:w="120"/>
            </w:tcMar>
            <w:vAlign w:val="center"/>
          </w:tcPr>
          <w:p>
            <w:pPr>
              <w:pStyle w:val="MdTableCell"/>
            </w:pPr>
            <w:r>
              <w:t xml:space="preserve">استقبال العملاء، تأكيد الاحتياج، جدولة المعاينات، تحديث CRM، المتابعة اليومية</w:t>
            </w:r>
          </w:p>
        </w:tc>
        <w:tc>
          <w:tcPr>
            <w:tcBorders>
              <w:right w:val="none"/>
            </w:tcBorders>
            <w:tcMar>
              <w:top w:type="dxa" w:w="80"/>
              <w:left w:type="dxa" w:w="120"/>
              <w:bottom w:type="dxa" w:w="80"/>
              <w:right w:type="dxa" w:w="120"/>
            </w:tcMar>
            <w:vAlign w:val="center"/>
          </w:tcPr>
          <w:p>
            <w:pPr>
              <w:pStyle w:val="MdTableCell"/>
            </w:pPr>
            <w:r>
              <w:t xml:space="preserve">لا تغير سعرًا ولا تقدم وعدًا غير معتمد</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موظف المتابعة والبيع والمعاينات</w:t>
            </w:r>
          </w:p>
        </w:tc>
        <w:tc>
          <w:tcPr>
            <w:tcMar>
              <w:top w:type="dxa" w:w="80"/>
              <w:left w:type="dxa" w:w="120"/>
              <w:bottom w:type="dxa" w:w="80"/>
              <w:right w:type="dxa" w:w="120"/>
            </w:tcMar>
            <w:vAlign w:val="center"/>
          </w:tcPr>
          <w:p>
            <w:pPr>
              <w:pStyle w:val="MdTableCell"/>
            </w:pPr>
            <w:r>
              <w:t xml:space="preserve">متابعة العملاء والبروكرز، تجهيز العروض، المعاينات، وتوثيق مراحل الحجز</w:t>
            </w:r>
          </w:p>
        </w:tc>
        <w:tc>
          <w:tcPr>
            <w:tcBorders>
              <w:right w:val="none"/>
            </w:tcBorders>
            <w:tcMar>
              <w:top w:type="dxa" w:w="80"/>
              <w:left w:type="dxa" w:w="120"/>
              <w:bottom w:type="dxa" w:w="80"/>
              <w:right w:type="dxa" w:w="120"/>
            </w:tcMar>
            <w:vAlign w:val="center"/>
          </w:tcPr>
          <w:p>
            <w:pPr>
              <w:pStyle w:val="MdTableCell"/>
            </w:pPr>
            <w:r>
              <w:t xml:space="preserve">لا يعتمد خصمًا أو عقدًا أو تحصيلًا</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المسؤول المالي والإداري من داخل المطور</w:t>
            </w:r>
          </w:p>
        </w:tc>
        <w:tc>
          <w:tcPr>
            <w:tcMar>
              <w:top w:type="dxa" w:w="80"/>
              <w:left w:type="dxa" w:w="120"/>
              <w:bottom w:type="dxa" w:w="80"/>
              <w:right w:type="dxa" w:w="120"/>
            </w:tcMar>
            <w:vAlign w:val="center"/>
          </w:tcPr>
          <w:p>
            <w:pPr>
              <w:pStyle w:val="MdTableCell"/>
            </w:pPr>
            <w:r>
              <w:t xml:space="preserve">مراجعة البيع والتحصيل والمسدد والمتبقي، اعتماد القيود والتقارير المالية، وتنظيم المستندات</w:t>
            </w:r>
          </w:p>
        </w:tc>
        <w:tc>
          <w:tcPr>
            <w:tcBorders>
              <w:right w:val="none"/>
            </w:tcBorders>
            <w:tcMar>
              <w:top w:type="dxa" w:w="80"/>
              <w:left w:type="dxa" w:w="120"/>
              <w:bottom w:type="dxa" w:w="80"/>
              <w:right w:type="dxa" w:w="120"/>
            </w:tcMar>
            <w:vAlign w:val="center"/>
          </w:tcPr>
          <w:p>
            <w:pPr>
              <w:pStyle w:val="MdTableCell"/>
            </w:pPr>
            <w:r>
              <w:t xml:space="preserve">لا يحذف بيانات أو يغير عقدًا دون مستند واعتماد</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مسؤول تطوير الأعمال والتسويق والمبيعات</w:t>
            </w:r>
          </w:p>
        </w:tc>
        <w:tc>
          <w:tcPr>
            <w:tcBorders>
              <w:bottom w:val="single" w:color="E1E4E8" w:sz="4"/>
            </w:tcBorders>
            <w:tcMar>
              <w:top w:type="dxa" w:w="80"/>
              <w:left w:type="dxa" w:w="120"/>
              <w:bottom w:type="dxa" w:w="80"/>
              <w:right w:type="dxa" w:w="120"/>
            </w:tcMar>
            <w:vAlign w:val="center"/>
          </w:tcPr>
          <w:p>
            <w:pPr>
              <w:pStyle w:val="MdTableCell"/>
            </w:pPr>
            <w:r>
              <w:t xml:space="preserve">قيادة الخطة، متابعة الوحدات المباعة والحجوزات والتحصيلات والأعداد والتواريخ، ورفع التقارير</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يطلع ويتابع، لكنه لا يصرف أو يعدل القيود المالية منفردًا</w:t>
            </w:r>
          </w:p>
        </w:tc>
      </w:tr>
    </w:tbl>
    <w:p>
      <w:pPr>
        <w:pStyle w:val="MdHr"/>
        <w:pBdr>
          <w:bottom w:val="single" w:color="auto" w:sz="6" w:space="1"/>
        </w:pBdr>
      </w:pPr>
    </w:p>
    <w:p>
      <w:pPr>
        <w:pStyle w:val="MdSpace"/>
        <w:spacing w:before="0" w:after="60"/>
      </w:pPr>
    </w:p>
    <w:p>
      <w:pPr>
        <w:pStyle w:val="Heading1"/>
        <w:pStyle w:val="MdHeading1"/>
      </w:pPr>
      <w:r>
        <w:t xml:space="preserve">ثالثًا: النص الإلقائي حسب تسلسل الشرائح</w:t>
      </w:r>
    </w:p>
    <w:p>
      <w:pPr>
        <w:pStyle w:val="Heading2"/>
        <w:pStyle w:val="MdHeading2"/>
      </w:pPr>
      <w:r>
        <w:t xml:space="preserve">1. الافتتاح — دقيقة واحدة</w:t>
      </w:r>
    </w:p>
    <w:p>
      <w:pPr>
        <w:pStyle w:val="MdParagraph"/>
      </w:pPr>
      <w:r>
        <w:rPr>
          <w:rStyle w:val="MdStrong"/>
          <w:b/>
          <w:bCs/>
        </w:rPr>
        <w:t xml:space="preserve">النص المقترح:</w:t>
      </w:r>
    </w:p>
    <w:p>
      <w:pPr>
        <w:pStyle w:val="MdSpace"/>
        <w:spacing w:before="0" w:after="60"/>
      </w:pPr>
    </w:p>
    <w:p>
      <w:pPr>
        <w:pStyle w:val="MdParagraph"/>
      </w:pPr>
      <w:r>
        <w:t xml:space="preserve">"السيد المهندس/ محمد البدري، السيد رئيس مجلس الإدارة، والسادة الحضور، أشكركم على إتاحة الفرصة لعرض خطة التسويق والمبيعات والتشغيل الخاصة بمشروع كايرو بلازا.</w:t>
      </w:r>
    </w:p>
    <w:p>
      <w:pPr>
        <w:pStyle w:val="MdSpace"/>
        <w:spacing w:before="0" w:after="60"/>
      </w:pPr>
    </w:p>
    <w:p>
      <w:pPr>
        <w:pStyle w:val="MdParagraph"/>
      </w:pPr>
      <w:r>
        <w:t xml:space="preserve">الهدف من العرض اليوم ليس طلب إنفاق مفتوح، وليس تقديم وعود غير مؤكدة. الهدف هو اعتماد إطار عمل منظم: نؤكد الوحدات والأسعار، ننشئ نظام متابعة واضح، نحدد المسؤوليات، نربط التسويق بالمبيعات والتحصيل، ثم نقيس النتيجة بصفة أسبوعية ونرفعها للإدارة لاتخاذ القرار."</w:t>
      </w:r>
    </w:p>
    <w:p>
      <w:pPr>
        <w:pStyle w:val="MdSpace"/>
        <w:spacing w:before="0" w:after="60"/>
      </w:pPr>
    </w:p>
    <w:p>
      <w:pPr>
        <w:pStyle w:val="MdParagraph"/>
      </w:pPr>
      <w:r>
        <w:rPr>
          <w:rStyle w:val="MdStrong"/>
          <w:b/>
          <w:bCs/>
        </w:rPr>
        <w:t xml:space="preserve">الانتقال:</w:t>
      </w:r>
    </w:p>
    <w:p>
      <w:pPr>
        <w:pStyle w:val="MdSpace"/>
        <w:spacing w:before="0" w:after="60"/>
      </w:pPr>
    </w:p>
    <w:p>
      <w:pPr>
        <w:pStyle w:val="MdParagraph"/>
      </w:pPr>
      <w:r>
        <w:t xml:space="preserve">"سأبدأ بالقيمة والمخزون، ثم أوضح الهيكل المطلوب، وبعد ذلك التارجت والسياسة التجارية وما نحتاجه من قرارات اليوم."</w:t>
      </w:r>
    </w:p>
    <w:p>
      <w:pPr>
        <w:pStyle w:val="MdSpace"/>
        <w:spacing w:before="0" w:after="60"/>
      </w:pPr>
    </w:p>
    <w:p>
      <w:pPr>
        <w:pStyle w:val="Heading2"/>
        <w:pStyle w:val="MdHeading2"/>
      </w:pPr>
      <w:r>
        <w:t xml:space="preserve">2. قيمة المشروع والمخزون — دقيقتان</w:t>
      </w:r>
    </w:p>
    <w:p>
      <w:pPr>
        <w:pStyle w:val="MdParagraph"/>
      </w:pPr>
      <w:r>
        <w:rPr>
          <w:rStyle w:val="MdStrong"/>
          <w:b/>
          <w:bCs/>
        </w:rPr>
        <w:t xml:space="preserve">النص المقترح:</w:t>
      </w:r>
    </w:p>
    <w:p>
      <w:pPr>
        <w:pStyle w:val="MdSpace"/>
        <w:spacing w:before="0" w:after="60"/>
      </w:pPr>
    </w:p>
    <w:p>
      <w:pPr>
        <w:pStyle w:val="MdParagraph"/>
      </w:pPr>
      <w:r>
        <w:t xml:space="preserve">"وفق البيانات المقدمة والمرفقات، تبلغ قيمة الأرض حسابيًا 404,668,000 جنيه. وتبلغ قيمة الوحدات المتاحة وفق كشوف أبريل 2026 مبلغ 68,678,700 جنيه. وبذلك تبلغ القيمة التجميعية الإرشادية للأرض والوحدات 473,346,700 جنيه.</w:t>
      </w:r>
    </w:p>
    <w:p>
      <w:pPr>
        <w:pStyle w:val="MdSpace"/>
        <w:spacing w:before="0" w:after="60"/>
      </w:pPr>
    </w:p>
    <w:p>
      <w:pPr>
        <w:pStyle w:val="MdParagraph"/>
      </w:pPr>
      <w:r>
        <w:t xml:space="preserve">أؤكد أن هذا جمع حسابي للبيانات المقدمة، وليس تقييمًا نهائيًا أو سعرًا ملزمًا للبيع. كما يجب أن تؤكد الإدارة أن قيمة الأرض والوحدات لا يتم احتسابها مرتين، وأن كل وحدة ما زالت متاحة وبنفس السعر والحالة قبل عرضها على أي عميل."</w:t>
      </w:r>
    </w:p>
    <w:p>
      <w:pPr>
        <w:pStyle w:val="MdSpace"/>
        <w:spacing w:before="0" w:after="60"/>
      </w:pPr>
    </w:p>
    <w:p>
      <w:pPr>
        <w:pStyle w:val="MdParagraph"/>
      </w:pPr>
      <w:r>
        <w:rPr>
          <w:rStyle w:val="MdStrong"/>
          <w:b/>
          <w:bCs/>
        </w:rPr>
        <w:t xml:space="preserve">نقطة ضبط:</w:t>
      </w:r>
    </w:p>
    <w:p>
      <w:pPr>
        <w:pStyle w:val="MdSpace"/>
        <w:spacing w:before="0" w:after="60"/>
      </w:pPr>
    </w:p>
    <w:p>
      <w:pPr>
        <w:pStyle w:val="MdParagraph"/>
      </w:pPr>
      <w:r>
        <w:t xml:space="preserve">"أي رقم يتغير بعد مراجعة المخزون أو العقود يتم تحديثه في النظام، ولا يسمح الفريق بتداول نسخة قديمة."</w:t>
      </w:r>
    </w:p>
    <w:p>
      <w:pPr>
        <w:pStyle w:val="MdSpace"/>
        <w:spacing w:before="0" w:after="60"/>
      </w:pPr>
    </w:p>
    <w:p>
      <w:pPr>
        <w:pStyle w:val="Heading2"/>
        <w:pStyle w:val="MdHeading2"/>
      </w:pPr>
      <w:r>
        <w:t xml:space="preserve">3. الوحدات والأسعار — دقيقتان</w:t>
      </w:r>
    </w:p>
    <w:p>
      <w:pPr>
        <w:pStyle w:val="MdParagraph"/>
      </w:pPr>
      <w:r>
        <w:rPr>
          <w:rStyle w:val="MdStrong"/>
          <w:b/>
          <w:bCs/>
        </w:rPr>
        <w:t xml:space="preserve">النص المقترح:</w:t>
      </w:r>
    </w:p>
    <w:p>
      <w:pPr>
        <w:pStyle w:val="MdSpace"/>
        <w:spacing w:before="0" w:after="60"/>
      </w:pPr>
    </w:p>
    <w:p>
      <w:pPr>
        <w:pStyle w:val="MdParagraph"/>
      </w:pPr>
      <w:r>
        <w:t xml:space="preserve">"الوحدات المتاحة حسب الملفات هي 75 وحدة: 42 وحدة إدارية و33 وحدة تجارية. أسعار الإداري في الملف تتراوح تقريبًا من 13,000 إلى 26,000 جنيه للمتر، وأسعار التجاري من 32,000 إلى 55,000 جنيه للمتر.</w:t>
      </w:r>
    </w:p>
    <w:p>
      <w:pPr>
        <w:pStyle w:val="MdSpace"/>
        <w:spacing w:before="0" w:after="60"/>
      </w:pPr>
    </w:p>
    <w:p>
      <w:pPr>
        <w:pStyle w:val="MdParagraph"/>
      </w:pPr>
      <w:r>
        <w:t xml:space="preserve">المقارنة المنشورة في المطرية تشير إلى نطاق إداري عام أقل، ونطاق تجاري بجوار الشوارع الرئيسية والمترو قريب من 35,000 إلى 45,000 جنيه للمتر في الأمثلة المتاحة. لذلك لا أقترح تخفيضًا شاملًا أو زيادة شاملة؛ أقترح اختبار السعر حسب الوحدة والواجهة والتشطيب والتسليم، ثم اعتماد القرار بناءً على المعاينات والحجوزات."</w:t>
      </w:r>
    </w:p>
    <w:p>
      <w:pPr>
        <w:pStyle w:val="MdSpace"/>
        <w:spacing w:before="0" w:after="60"/>
      </w:pPr>
    </w:p>
    <w:p>
      <w:pPr>
        <w:pStyle w:val="Heading2"/>
        <w:pStyle w:val="MdHeading2"/>
      </w:pPr>
      <w:r>
        <w:t xml:space="preserve">4. المشكلة التي تعالجها الخطة — دقيقة ونصف</w:t>
      </w:r>
    </w:p>
    <w:p>
      <w:pPr>
        <w:pStyle w:val="MdParagraph"/>
      </w:pPr>
      <w:r>
        <w:rPr>
          <w:rStyle w:val="MdStrong"/>
          <w:b/>
          <w:bCs/>
        </w:rPr>
        <w:t xml:space="preserve">النص المقترح:</w:t>
      </w:r>
    </w:p>
    <w:p>
      <w:pPr>
        <w:pStyle w:val="MdSpace"/>
        <w:spacing w:before="0" w:after="60"/>
      </w:pPr>
    </w:p>
    <w:p>
      <w:pPr>
        <w:pStyle w:val="MdParagraph"/>
      </w:pPr>
      <w:r>
        <w:t xml:space="preserve">"المشكلة ليست فقط في عدد الإعلانات. المشكلة أن العميل يحتاج إلى معلومة مؤكدة، وموظف مسؤول، وموعد متابعة، ووحدة غير مباعة، وسعر معتمد، وإجابة واضحة عن التسليم والتحصيل.</w:t>
      </w:r>
    </w:p>
    <w:p>
      <w:pPr>
        <w:pStyle w:val="MdSpace"/>
        <w:spacing w:before="0" w:after="60"/>
      </w:pPr>
    </w:p>
    <w:p>
      <w:pPr>
        <w:pStyle w:val="MdParagraph"/>
      </w:pPr>
      <w:r>
        <w:t xml:space="preserve">من دون نظام موحد قد يتكرر العميل، أو تعرض وحدة مباعة، أو تختلف المعلومة بين موظف وآخر، أو لا نستطيع معرفة أي قناة أدت إلى الحجز. لذلك الخطة تبني نظام تشغيل ومبيعات، وليس حملة إعلانية مؤقتة."</w:t>
      </w:r>
    </w:p>
    <w:p>
      <w:pPr>
        <w:pStyle w:val="MdSpace"/>
        <w:spacing w:before="0" w:after="60"/>
      </w:pPr>
    </w:p>
    <w:p>
      <w:pPr>
        <w:pStyle w:val="Heading2"/>
        <w:pStyle w:val="MdHeading2"/>
      </w:pPr>
      <w:r>
        <w:t xml:space="preserve">5. الهيكل الداخلي والتعيينات — دقيقتان</w:t>
      </w:r>
    </w:p>
    <w:p>
      <w:pPr>
        <w:pStyle w:val="MdParagraph"/>
      </w:pPr>
      <w:r>
        <w:rPr>
          <w:rStyle w:val="MdStrong"/>
          <w:b/>
          <w:bCs/>
        </w:rPr>
        <w:t xml:space="preserve">النص المقترح:</w:t>
      </w:r>
    </w:p>
    <w:p>
      <w:pPr>
        <w:pStyle w:val="MdSpace"/>
        <w:spacing w:before="0" w:after="60"/>
      </w:pPr>
    </w:p>
    <w:p>
      <w:pPr>
        <w:pStyle w:val="MdParagraph"/>
      </w:pPr>
      <w:r>
        <w:t xml:space="preserve">"التعيينات المطلوبة في البداية محددة ومحدودة: موظفة وموظف للمتابعة والبيع والمعاينات، ومسؤول مشروع، مع مسؤول مالي وإداري من داخل المطور. ويقود المتابعة التجارية مسؤول تطوير الأعمال والتسويق والمبيعات.</w:t>
      </w:r>
    </w:p>
    <w:p>
      <w:pPr>
        <w:pStyle w:val="MdSpace"/>
        <w:spacing w:before="0" w:after="60"/>
      </w:pPr>
    </w:p>
    <w:p>
      <w:pPr>
        <w:pStyle w:val="MdParagraph"/>
      </w:pPr>
      <w:r>
        <w:t xml:space="preserve">الموظفة والموظف يتوليان الاتصال والمعاينات والعروض والمتابعة اليومية. مسؤول المشروع يربط الفريق بالمطور ويتابع جاهزية الوحدات والتسليم. المسؤول المالي والإداري من داخل المطور يتولى مطابقة البيع والتحصيل والمسدد والمتبقي والمستندات. أما مسؤول التطوير فله حق الاطلاع والمتابعة على أعداد البيع والحجز والتحصيل وتواريخها وإعداد تقرير الإدارة، دون أن تكون له صلاحية صرف أو تعديل قيود مالية منفردًا."</w:t>
      </w:r>
    </w:p>
    <w:p>
      <w:pPr>
        <w:pStyle w:val="MdSpace"/>
        <w:spacing w:before="0" w:after="60"/>
      </w:pPr>
    </w:p>
    <w:p>
      <w:pPr>
        <w:pStyle w:val="MdParagraph"/>
      </w:pPr>
      <w:r>
        <w:rPr>
          <w:rStyle w:val="MdStrong"/>
          <w:b/>
          <w:bCs/>
        </w:rPr>
        <w:t xml:space="preserve">الانتقال:</w:t>
      </w:r>
    </w:p>
    <w:p>
      <w:pPr>
        <w:pStyle w:val="MdSpace"/>
        <w:spacing w:before="0" w:after="60"/>
      </w:pPr>
    </w:p>
    <w:p>
      <w:pPr>
        <w:pStyle w:val="MdParagraph"/>
      </w:pPr>
      <w:r>
        <w:t xml:space="preserve">"بهذا التوزيع لا نخلط بين من يبيع، ومن يتابع التنفيذ، ومن يراجع المال، ومن يرفع القرار."</w:t>
      </w:r>
    </w:p>
    <w:p>
      <w:pPr>
        <w:pStyle w:val="MdSpace"/>
        <w:spacing w:before="0" w:after="60"/>
      </w:pPr>
    </w:p>
    <w:p>
      <w:pPr>
        <w:pStyle w:val="Heading2"/>
        <w:pStyle w:val="MdHeading2"/>
      </w:pPr>
      <w:r>
        <w:t xml:space="preserve">6. النظام والصلاحيات — دقيقتان</w:t>
      </w:r>
    </w:p>
    <w:p>
      <w:pPr>
        <w:pStyle w:val="MdParagraph"/>
      </w:pPr>
      <w:r>
        <w:rPr>
          <w:rStyle w:val="MdStrong"/>
          <w:b/>
          <w:bCs/>
        </w:rPr>
        <w:t xml:space="preserve">النص المقترح:</w:t>
      </w:r>
    </w:p>
    <w:p>
      <w:pPr>
        <w:pStyle w:val="MdSpace"/>
        <w:spacing w:before="0" w:after="60"/>
      </w:pPr>
    </w:p>
    <w:p>
      <w:pPr>
        <w:pStyle w:val="MdParagraph"/>
      </w:pPr>
      <w:r>
        <w:t xml:space="preserve">"نحتاج إلى نظام شركة متكامل يبدأ بالمشروع ويمكن استخدامه لاحقًا في باقي أعمال الشركة. النظام يسجل الوحدات والأسعار والحالات، العملاء والتسجيلات، المعاينات، العروض، الحجوزات، العقود، التحصيل، ملفات السنوات السابقة، ومصدر كل عميل.</w:t>
      </w:r>
    </w:p>
    <w:p>
      <w:pPr>
        <w:pStyle w:val="MdSpace"/>
        <w:spacing w:before="0" w:after="60"/>
      </w:pPr>
    </w:p>
    <w:p>
      <w:pPr>
        <w:pStyle w:val="MdParagraph"/>
      </w:pPr>
      <w:r>
        <w:t xml:space="preserve">يُمنح مسؤول التطوير صلاحية الاطلاع التشغيلي على ما تم بيعه، والحجوزات، والمبالغ المسددة، والمتبقي، وعدد العمليات، وتواريخ التسجيل والحجز والتعاقد والسداد. هذه الصلاحية ضرورية للتارجت والتقارير، لكنها منفصلة عن صلاحية الصرف أو تعديل القيد أو اعتماد الخصم. كل دخول أو تعديل يسجل باسم المستخدم وتاريخه."</w:t>
      </w:r>
    </w:p>
    <w:p>
      <w:pPr>
        <w:pStyle w:val="MdSpace"/>
        <w:spacing w:before="0" w:after="60"/>
      </w:pPr>
    </w:p>
    <w:p>
      <w:pPr>
        <w:pStyle w:val="Heading2"/>
        <w:pStyle w:val="MdHeading2"/>
      </w:pPr>
      <w:r>
        <w:t xml:space="preserve">7. آلية البيع والمتابعة — دقيقتان</w:t>
      </w:r>
    </w:p>
    <w:p>
      <w:pPr>
        <w:pStyle w:val="MdParagraph"/>
      </w:pPr>
      <w:r>
        <w:rPr>
          <w:rStyle w:val="MdStrong"/>
          <w:b/>
          <w:bCs/>
        </w:rPr>
        <w:t xml:space="preserve">النص المقترح:</w:t>
      </w:r>
    </w:p>
    <w:p>
      <w:pPr>
        <w:pStyle w:val="MdSpace"/>
        <w:spacing w:before="0" w:after="60"/>
      </w:pPr>
    </w:p>
    <w:p>
      <w:pPr>
        <w:pStyle w:val="MdParagraph"/>
      </w:pPr>
      <w:r>
        <w:t xml:space="preserve">"يدخل العميل من بروكر أو إعلان أو اتصال أو زيارة، ويسجل المصدر والمسؤول. ثم يحدد النظام مهمة متابعة وموعدًا واضحًا. بعد التأهيل يتم اقتراح الوحدة، ثم المعاينة، ثم العرض، ثم الحجز المعتمد.</w:t>
      </w:r>
    </w:p>
    <w:p>
      <w:pPr>
        <w:pStyle w:val="MdSpace"/>
        <w:spacing w:before="0" w:after="60"/>
      </w:pPr>
    </w:p>
    <w:p>
      <w:pPr>
        <w:pStyle w:val="MdParagraph"/>
      </w:pPr>
      <w:r>
        <w:t xml:space="preserve">لا تتحول الرسالة إلى حجز، ولا يتحول الحجز إلى بيع، إلا بعد المستندات والاعتماد. وتظهر أمام الإدارة كل أسبوع أعداد التسجيلات والمعاينات والعروض والحجوزات وقيمة الحجز والتحصيل والمتبقي."</w:t>
      </w:r>
    </w:p>
    <w:p>
      <w:pPr>
        <w:pStyle w:val="MdSpace"/>
        <w:spacing w:before="0" w:after="60"/>
      </w:pPr>
    </w:p>
    <w:p>
      <w:pPr>
        <w:pStyle w:val="Heading2"/>
        <w:pStyle w:val="MdHeading2"/>
      </w:pPr>
      <w:r>
        <w:t xml:space="preserve">8. التارجت خلال الستة أشهر — دقيقتان</w:t>
      </w:r>
    </w:p>
    <w:p>
      <w:pPr>
        <w:pStyle w:val="MdParagraph"/>
      </w:pPr>
      <w:r>
        <w:rPr>
          <w:rStyle w:val="MdStrong"/>
          <w:b/>
          <w:bCs/>
        </w:rPr>
        <w:t xml:space="preserve">النص المقترح:</w:t>
      </w:r>
    </w:p>
    <w:p>
      <w:pPr>
        <w:pStyle w:val="MdSpace"/>
        <w:spacing w:before="0" w:after="60"/>
      </w:pPr>
    </w:p>
    <w:p>
      <w:pPr>
        <w:pStyle w:val="MdParagraph"/>
      </w:pPr>
      <w:r>
        <w:t xml:space="preserve">"نحتاج اعتماد خط الأساس H6، وهو إجمالي التسجيلات أو الحجوزات المعتمدة خلال آخر ستة أشهر. التارجت للستة أشهر التالية هو ضعف هذا الرقم: 2×H6.</w:t>
      </w:r>
    </w:p>
    <w:p>
      <w:pPr>
        <w:pStyle w:val="MdSpace"/>
        <w:spacing w:before="0" w:after="60"/>
      </w:pPr>
    </w:p>
    <w:p>
      <w:pPr>
        <w:pStyle w:val="MdParagraph"/>
      </w:pPr>
      <w:r>
        <w:t xml:space="preserve">إذا كان H6 يساوي مثلًا 20 حجزًا معتمدًا، فالتارجت الحسابي يكون 40 حجزًا. هذا المثال للتوضيح فقط؛ الرقم الرسمي لا يكتب إلا بعد مراجعة ملفات الشركة. نقيس أسبوعيًا ما تم إنجازه، وما تبقى، والمتوسط المطلوب أسبوعيًا."</w:t>
      </w:r>
    </w:p>
    <w:p>
      <w:pPr>
        <w:pStyle w:val="MdSpace"/>
        <w:spacing w:before="0" w:after="60"/>
      </w:pPr>
    </w:p>
    <w:p>
      <w:pPr>
        <w:pStyle w:val="MdParagraph"/>
      </w:pPr>
      <w:r>
        <w:rPr>
          <w:rStyle w:val="MdStrong"/>
          <w:b/>
          <w:bCs/>
        </w:rPr>
        <w:t xml:space="preserve">جملة مهمة:</w:t>
      </w:r>
    </w:p>
    <w:p>
      <w:pPr>
        <w:pStyle w:val="MdSpace"/>
        <w:spacing w:before="0" w:after="60"/>
      </w:pPr>
    </w:p>
    <w:p>
      <w:pPr>
        <w:pStyle w:val="MdParagraph"/>
      </w:pPr>
      <w:r>
        <w:t xml:space="preserve">"تحقيق 2×H6 هدف إداري قابل للقياس وليس ضمانًا للبيع الكامل. هدف بيع الوحدات خلال النصف الأول من 2027 يظل مرتبطًا بالسعر والتسليم وتوفر الوحدات وجودة المتابعة."</w:t>
      </w:r>
    </w:p>
    <w:p>
      <w:pPr>
        <w:pStyle w:val="MdSpace"/>
        <w:spacing w:before="0" w:after="60"/>
      </w:pPr>
    </w:p>
    <w:p>
      <w:pPr>
        <w:pStyle w:val="Heading2"/>
        <w:pStyle w:val="MdHeading2"/>
      </w:pPr>
      <w:r>
        <w:t xml:space="preserve">9. عمولة البروكرز — دقيقتان</w:t>
      </w:r>
    </w:p>
    <w:p>
      <w:pPr>
        <w:pStyle w:val="MdParagraph"/>
      </w:pPr>
      <w:r>
        <w:rPr>
          <w:rStyle w:val="MdStrong"/>
          <w:b/>
          <w:bCs/>
        </w:rPr>
        <w:t xml:space="preserve">النص المقترح:</w:t>
      </w:r>
    </w:p>
    <w:p>
      <w:pPr>
        <w:pStyle w:val="MdSpace"/>
        <w:spacing w:before="0" w:after="60"/>
      </w:pPr>
    </w:p>
    <w:p>
      <w:pPr>
        <w:pStyle w:val="MdParagraph"/>
      </w:pPr>
      <w:r>
        <w:t xml:space="preserve">"نقترح سياسة عمولات تحافظ على جاذبية البيع وتحمي السيولة. عند سداد العميل أكثر من 75% من قيمة الوحدة، تكون العمولة 6% من إجمالي قيمة التعاقد. وإذا كان السداد 75% أو أقل، تحسب العمولة من المبالغ المسددة فعليًا، وبالنسبة المقترحة 4% من المسدد، ما لم تعتمد الإدارة كتابةً تطبيق 6% من المسدد في حالة محددة.</w:t>
      </w:r>
    </w:p>
    <w:p>
      <w:pPr>
        <w:pStyle w:val="MdSpace"/>
        <w:spacing w:before="0" w:after="60"/>
      </w:pPr>
    </w:p>
    <w:p>
      <w:pPr>
        <w:pStyle w:val="MdParagraph"/>
      </w:pPr>
      <w:r>
        <w:t xml:space="preserve">لا تستحق العمولة على حجز غير معتمد أو مبلغ غير محصل أو شيك غير محصل، وتحدد الإدارة توقيت الصرف ومعالجة الإلغاء والردود. بهذه الطريقة لا تدفع الشركة عمولة كاملة على تعاقد لم يتحول إلى تدفق نقدي فعلي."</w:t>
      </w:r>
    </w:p>
    <w:p>
      <w:pPr>
        <w:pStyle w:val="MdSpace"/>
        <w:spacing w:before="0" w:after="60"/>
      </w:pPr>
    </w:p>
    <w:p>
      <w:pPr>
        <w:pStyle w:val="Heading2"/>
        <w:pStyle w:val="MdHeading2"/>
      </w:pPr>
      <w:r>
        <w:t xml:space="preserve">10. التسويق والميزانية — دقيقة ونصف</w:t>
      </w:r>
    </w:p>
    <w:p>
      <w:pPr>
        <w:pStyle w:val="MdParagraph"/>
      </w:pPr>
      <w:r>
        <w:rPr>
          <w:rStyle w:val="MdStrong"/>
          <w:b/>
          <w:bCs/>
        </w:rPr>
        <w:t xml:space="preserve">النص المقترح:</w:t>
      </w:r>
    </w:p>
    <w:p>
      <w:pPr>
        <w:pStyle w:val="MdSpace"/>
        <w:spacing w:before="0" w:after="60"/>
      </w:pPr>
    </w:p>
    <w:p>
      <w:pPr>
        <w:pStyle w:val="MdParagraph"/>
      </w:pPr>
      <w:r>
        <w:t xml:space="preserve">"لا نطلب اعتماد رقم ميزانية من داخل العرض. نطلب من الإدارة تحديد نطاق الميزانية بعد مراجعة السيولة والأولويات. التنفيذ يمكن أن يبدأ بالحد الأدنى: تجهيز البيانات، تصوير الوحدات، تفعيل البروكرز، ثم اختبار القنوات الرقمية، مع ربط كل عميل بمصدره.</w:t>
      </w:r>
    </w:p>
    <w:p>
      <w:pPr>
        <w:pStyle w:val="MdSpace"/>
        <w:spacing w:before="0" w:after="60"/>
      </w:pPr>
    </w:p>
    <w:p>
      <w:pPr>
        <w:pStyle w:val="MdParagraph"/>
      </w:pPr>
      <w:r>
        <w:t xml:space="preserve">أي قناة لا تحقق عملاء مؤهلين ومعاينات وحجوزات يتم تخفيضها أو إيقافها. وأي زيادة في التسويق تكون بعد تقرير، وليس بناءً على التفاعل أو عدد الرسائل فقط."</w:t>
      </w:r>
    </w:p>
    <w:p>
      <w:pPr>
        <w:pStyle w:val="MdSpace"/>
        <w:spacing w:before="0" w:after="60"/>
      </w:pPr>
    </w:p>
    <w:p>
      <w:pPr>
        <w:pStyle w:val="Heading2"/>
        <w:pStyle w:val="MdHeading2"/>
      </w:pPr>
      <w:r>
        <w:t xml:space="preserve">11. المخاطر والواقعية — دقيقة ونصف</w:t>
      </w:r>
    </w:p>
    <w:p>
      <w:pPr>
        <w:pStyle w:val="MdParagraph"/>
      </w:pPr>
      <w:r>
        <w:rPr>
          <w:rStyle w:val="MdStrong"/>
          <w:b/>
          <w:bCs/>
        </w:rPr>
        <w:t xml:space="preserve">النص المقترح:</w:t>
      </w:r>
    </w:p>
    <w:p>
      <w:pPr>
        <w:pStyle w:val="MdSpace"/>
        <w:spacing w:before="0" w:after="60"/>
      </w:pPr>
    </w:p>
    <w:p>
      <w:pPr>
        <w:pStyle w:val="MdParagraph"/>
      </w:pPr>
      <w:r>
        <w:t xml:space="preserve">"نحن لا نتجاهل المخاطر. التأخير في التسليم، اختلاف حالة التشطيب، عدم تأكيد بعض البيانات، أو عدم توافق السعر مع قدرة العميل، كلها عوامل تؤثر في التحويل. لذلك لا نعد العميل بما لا يوجد في مستند رسمي، ونرفع العوائق للإدارة بدل إخفائها.</w:t>
      </w:r>
    </w:p>
    <w:p>
      <w:pPr>
        <w:pStyle w:val="MdSpace"/>
        <w:spacing w:before="0" w:after="60"/>
      </w:pPr>
    </w:p>
    <w:p>
      <w:pPr>
        <w:pStyle w:val="MdParagraph"/>
      </w:pPr>
      <w:r>
        <w:t xml:space="preserve">الخطة تستطيع تحسين الوصول والمتابعة والانضباط، لكنها لا تستطيع وحدها حل مشكلة تنفيذية أو تغيير طلب السوق. نجاحها يقاس بالحجوزات المعتمدة والتحصيل، لا بعدد الإعلانات."</w:t>
      </w:r>
    </w:p>
    <w:p>
      <w:pPr>
        <w:pStyle w:val="MdSpace"/>
        <w:spacing w:before="0" w:after="60"/>
      </w:pPr>
    </w:p>
    <w:p>
      <w:pPr>
        <w:pStyle w:val="Heading2"/>
        <w:pStyle w:val="MdHeading2"/>
      </w:pPr>
      <w:r>
        <w:t xml:space="preserve">12. المطلوب من مجلس الإدارة — دقيقة ونصف</w:t>
      </w:r>
    </w:p>
    <w:p>
      <w:pPr>
        <w:pStyle w:val="MdParagraph"/>
      </w:pPr>
      <w:r>
        <w:rPr>
          <w:rStyle w:val="MdStrong"/>
          <w:b/>
          <w:bCs/>
        </w:rPr>
        <w:t xml:space="preserve">النص المقترح:</w:t>
      </w:r>
    </w:p>
    <w:p>
      <w:pPr>
        <w:pStyle w:val="MdSpace"/>
        <w:spacing w:before="0" w:after="60"/>
      </w:pPr>
    </w:p>
    <w:p>
      <w:pPr>
        <w:pStyle w:val="MdParagraph"/>
      </w:pPr>
      <w:r>
        <w:t xml:space="preserve">"المطلوب من المجلس اليوم هو اعتماد سبعة أمور محددة:</w:t>
      </w:r>
    </w:p>
    <w:p>
      <w:pPr>
        <w:pStyle w:val="MdSpace"/>
        <w:spacing w:before="0" w:after="60"/>
      </w:pPr>
    </w:p>
    <w:p>
      <w:pPr>
        <w:pStyle w:val="MdParagraph"/>
      </w:pPr>
      <w:r>
        <w:t xml:space="preserve">أولًا، تأكيد كشف الوحدات والأسعار والحالات. ثانيًا، اعتماد إنشاء النظام ومستويات الصلاحيات. ثالثًا، السماح لمسؤول التطوير بالاطلاع على البيع والتحصيل والمسدد والأعداد والتواريخ في حدود التفويض. رابعًا، اعتماد الهيكل الأولي: موظفة وموظف للبيع والمتابعة والمعاينات، مسؤول مشروع، ومسؤول مالي وإداري من داخل المطور. خامسًا، اعتماد سياسة عمولة البروكرز. سادسًا، اعتماد تعريف H6 والتارجت 2×H6. سابعًا، تحديد نطاق ميزانية التسويق.</w:t>
      </w:r>
    </w:p>
    <w:p>
      <w:pPr>
        <w:pStyle w:val="MdSpace"/>
        <w:spacing w:before="0" w:after="60"/>
      </w:pPr>
    </w:p>
    <w:p>
      <w:pPr>
        <w:pStyle w:val="MdParagraph"/>
      </w:pPr>
      <w:r>
        <w:t xml:space="preserve">أما استكمال التشطيبات، وتوسيع الإعلان، وعدم بيع الأرض، ونقل مكتب البيع، فهذه مقترحات مستقبلية تعرض بعد ظهور النتائج ولا تدخل ضمن التزام فوري."</w:t>
      </w:r>
    </w:p>
    <w:p>
      <w:pPr>
        <w:pStyle w:val="MdSpace"/>
        <w:spacing w:before="0" w:after="60"/>
      </w:pPr>
    </w:p>
    <w:p>
      <w:pPr>
        <w:pStyle w:val="Heading2"/>
        <w:pStyle w:val="MdHeading2"/>
      </w:pPr>
      <w:r>
        <w:t xml:space="preserve">13. الخاتمة — دقيقة</w:t>
      </w:r>
    </w:p>
    <w:p>
      <w:pPr>
        <w:pStyle w:val="MdParagraph"/>
      </w:pPr>
      <w:r>
        <w:rPr>
          <w:rStyle w:val="MdStrong"/>
          <w:b/>
          <w:bCs/>
        </w:rPr>
        <w:t xml:space="preserve">النص المقترح:</w:t>
      </w:r>
    </w:p>
    <w:p>
      <w:pPr>
        <w:pStyle w:val="MdSpace"/>
        <w:spacing w:before="0" w:after="60"/>
      </w:pPr>
    </w:p>
    <w:p>
      <w:pPr>
        <w:pStyle w:val="MdParagraph"/>
      </w:pPr>
      <w:r>
        <w:t xml:space="preserve">"الخطة المقترحة تبدأ بانضباط البيانات والمسؤوليات، ثم تعمل على تحويل التسجيل إلى معاينة، والمعاينة إلى عرض، والعرض إلى حجز، والحجز إلى تحصيل موثق. نطلب اعتماد الإطار والوظائف والصلاحيات، ثم نعود بتقرير أسبوعي واضح.</w:t>
      </w:r>
    </w:p>
    <w:p>
      <w:pPr>
        <w:pStyle w:val="MdSpace"/>
        <w:spacing w:before="0" w:after="60"/>
      </w:pPr>
    </w:p>
    <w:p>
      <w:pPr>
        <w:pStyle w:val="MdParagraph"/>
      </w:pPr>
      <w:r>
        <w:t xml:space="preserve">إذا أثبتت النتائج تحقيق التارجت وتحسن الحجوزات، تدرس الإدارة التوسع. وإذا لم تثبت النتائج، نعدل القناة أو السعر أو التنفيذ بدل زيادة الإنفاق دون دليل. شكرًا لحضراتكم، ومستعد لمناقشة كل قرار وتحديد المسؤول والموعد والمخرج المطلوب."</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رابعًا: الاعتراضات المالية والردود النموذجية</w:t>
      </w:r>
    </w:p>
    <w:p>
      <w:pPr>
        <w:pStyle w:val="Heading2"/>
        <w:pStyle w:val="MdHeading2"/>
      </w:pPr>
      <w:r>
        <w:t xml:space="preserve">اعتراض 1: لماذا نوافق على تعيينات جديدة؟</w:t>
      </w:r>
    </w:p>
    <w:p>
      <w:pPr>
        <w:pStyle w:val="MdParagraph"/>
      </w:pPr>
      <w:r>
        <w:rPr>
          <w:rStyle w:val="MdStrong"/>
          <w:b/>
          <w:bCs/>
        </w:rPr>
        <w:t xml:space="preserve">الرد:</w:t>
      </w:r>
    </w:p>
    <w:p>
      <w:pPr>
        <w:pStyle w:val="MdSpace"/>
        <w:spacing w:before="0" w:after="60"/>
      </w:pPr>
    </w:p>
    <w:p>
      <w:pPr>
        <w:pStyle w:val="MdParagraph"/>
      </w:pPr>
      <w:r>
        <w:t xml:space="preserve">"الطلب ليس تعيين فريق كبير. المطلوب موظفة وموظف للمتابعة والبيع والمعاينات، لأن العميل يحتاج متابعة ومواعيد ومعاينات فعلية، ومسؤول مشروع، بينما المسؤول المالي والإداري موجود من داخل المطور. يمكن البدء بفترة تقييم، وتحدد الإدارة العدد والرواتب، ولا تتم زيادة الفريق إلا إذا أظهرت التقارير ضغطًا حقيقيًا في العملاء أو المعاينات أو الحجوزات."</w:t>
      </w:r>
    </w:p>
    <w:p>
      <w:pPr>
        <w:pStyle w:val="MdSpace"/>
        <w:spacing w:before="0" w:after="60"/>
      </w:pPr>
    </w:p>
    <w:p>
      <w:pPr>
        <w:pStyle w:val="Heading2"/>
        <w:pStyle w:val="MdHeading2"/>
      </w:pPr>
      <w:r>
        <w:t xml:space="preserve">اعتراض 2: ما العائد من التسويق إذا كانت الميزانية غير محددة؟</w:t>
      </w:r>
    </w:p>
    <w:p>
      <w:pPr>
        <w:pStyle w:val="MdParagraph"/>
      </w:pPr>
      <w:r>
        <w:rPr>
          <w:rStyle w:val="MdStrong"/>
          <w:b/>
          <w:bCs/>
        </w:rPr>
        <w:t xml:space="preserve">الرد:</w:t>
      </w:r>
    </w:p>
    <w:p>
      <w:pPr>
        <w:pStyle w:val="MdSpace"/>
        <w:spacing w:before="0" w:after="60"/>
      </w:pPr>
    </w:p>
    <w:p>
      <w:pPr>
        <w:pStyle w:val="MdParagraph"/>
      </w:pPr>
      <w:r>
        <w:t xml:space="preserve">"نحن لا نطلب إنفاقًا مفتوحًا. نطلب تحديد نطاق تعتمد عليه الإدارة، ثم نقيس تكلفة العميل المؤهل والمعاينة والحجز. الميزانية تقسم إلى اختبار وتشغيل، وأي توسع يحتاج نتيجة موثقة. إذا لم تظهر جودة في الحجز، نوقف القناة أو نغير الرسالة والسعر."</w:t>
      </w:r>
    </w:p>
    <w:p>
      <w:pPr>
        <w:pStyle w:val="MdSpace"/>
        <w:spacing w:before="0" w:after="60"/>
      </w:pPr>
    </w:p>
    <w:p>
      <w:pPr>
        <w:pStyle w:val="Heading2"/>
        <w:pStyle w:val="MdHeading2"/>
      </w:pPr>
      <w:r>
        <w:t xml:space="preserve">اعتراض 3: لماذا ندفع 6% للبروكر؟</w:t>
      </w:r>
    </w:p>
    <w:p>
      <w:pPr>
        <w:pStyle w:val="MdParagraph"/>
      </w:pPr>
      <w:r>
        <w:rPr>
          <w:rStyle w:val="MdStrong"/>
          <w:b/>
          <w:bCs/>
        </w:rPr>
        <w:t xml:space="preserve">الرد:</w:t>
      </w:r>
    </w:p>
    <w:p>
      <w:pPr>
        <w:pStyle w:val="MdSpace"/>
        <w:spacing w:before="0" w:after="60"/>
      </w:pPr>
    </w:p>
    <w:p>
      <w:pPr>
        <w:pStyle w:val="MdParagraph"/>
      </w:pPr>
      <w:r>
        <w:t xml:space="preserve">"الـ6% لا تستحق تلقائيًا عند التسجيل. تستحق عند تجاوز سداد العميل 75% من قيمة الوحدة، وتكون من إجمالي التعاقد. أما عند سداد 75% أو أقل، فالنموذج المقترح يحسب 4% من المسدد فعليًا، ما يحمي التدفق النقدي. كما أن إثبات مصدر العميل واعتماد الصفقة شرط أساسي للصرف."</w:t>
      </w:r>
    </w:p>
    <w:p>
      <w:pPr>
        <w:pStyle w:val="MdSpace"/>
        <w:spacing w:before="0" w:after="60"/>
      </w:pPr>
    </w:p>
    <w:p>
      <w:pPr>
        <w:pStyle w:val="Heading2"/>
        <w:pStyle w:val="MdHeading2"/>
      </w:pPr>
      <w:r>
        <w:t xml:space="preserve">اعتراض 4: هل 4% تعني أن البروكر لن يهتم؟</w:t>
      </w:r>
    </w:p>
    <w:p>
      <w:pPr>
        <w:pStyle w:val="MdParagraph"/>
      </w:pPr>
      <w:r>
        <w:rPr>
          <w:rStyle w:val="MdStrong"/>
          <w:b/>
          <w:bCs/>
        </w:rPr>
        <w:t xml:space="preserve">الرد:</w:t>
      </w:r>
    </w:p>
    <w:p>
      <w:pPr>
        <w:pStyle w:val="MdSpace"/>
        <w:spacing w:before="0" w:after="60"/>
      </w:pPr>
    </w:p>
    <w:p>
      <w:pPr>
        <w:pStyle w:val="MdParagraph"/>
      </w:pPr>
      <w:r>
        <w:t xml:space="preserve">"الحافز موجود، لأن الصفقة التي تصل إلى سداد أكثر من 75% تنتقل إلى عمولة 6% من إجمالي التعاقد. وفي الحالات الأقل سدادًا، يحصل البروكر على عمولة من النقد المحصل فعليًا. يمكن للإدارة اختبار السياسة لمدة محددة ومراجعة أثرها على عدد الحجوزات وجودتها."</w:t>
      </w:r>
    </w:p>
    <w:p>
      <w:pPr>
        <w:pStyle w:val="MdSpace"/>
        <w:spacing w:before="0" w:after="60"/>
      </w:pPr>
    </w:p>
    <w:p>
      <w:pPr>
        <w:pStyle w:val="Heading2"/>
        <w:pStyle w:val="MdHeading2"/>
      </w:pPr>
      <w:r>
        <w:t xml:space="preserve">اعتراض 5: هل يمكن أن تكون العمولة أكبر من قدرة الشركة؟</w:t>
      </w:r>
    </w:p>
    <w:p>
      <w:pPr>
        <w:pStyle w:val="MdParagraph"/>
      </w:pPr>
      <w:r>
        <w:rPr>
          <w:rStyle w:val="MdStrong"/>
          <w:b/>
          <w:bCs/>
        </w:rPr>
        <w:t xml:space="preserve">الرد:</w:t>
      </w:r>
    </w:p>
    <w:p>
      <w:pPr>
        <w:pStyle w:val="MdSpace"/>
        <w:spacing w:before="0" w:after="60"/>
      </w:pPr>
    </w:p>
    <w:p>
      <w:pPr>
        <w:pStyle w:val="MdParagraph"/>
      </w:pPr>
      <w:r>
        <w:t xml:space="preserve">"يمكن التحكم في ذلك بثلاثة ضوابط: لا عمولة قبل اعتماد مصدر العميل والصفقة، لا صرف كامل على مبالغ غير محصلة، وحساب العمولة من المسدد عندما لا يتجاوز السداد 75%. كما يحدد العقد توقيت الصرف ومعالجة الإلغاء والردود."</w:t>
      </w:r>
    </w:p>
    <w:p>
      <w:pPr>
        <w:pStyle w:val="MdSpace"/>
        <w:spacing w:before="0" w:after="60"/>
      </w:pPr>
    </w:p>
    <w:p>
      <w:pPr>
        <w:pStyle w:val="Heading2"/>
        <w:pStyle w:val="MdHeading2"/>
      </w:pPr>
      <w:r>
        <w:t xml:space="preserve">اعتراض 6: لماذا لا نخفض السعر فورًا لمواجهة السوق؟</w:t>
      </w:r>
    </w:p>
    <w:p>
      <w:pPr>
        <w:pStyle w:val="MdParagraph"/>
      </w:pPr>
      <w:r>
        <w:rPr>
          <w:rStyle w:val="MdStrong"/>
          <w:b/>
          <w:bCs/>
        </w:rPr>
        <w:t xml:space="preserve">الرد:</w:t>
      </w:r>
    </w:p>
    <w:p>
      <w:pPr>
        <w:pStyle w:val="MdSpace"/>
        <w:spacing w:before="0" w:after="60"/>
      </w:pPr>
    </w:p>
    <w:p>
      <w:pPr>
        <w:pStyle w:val="MdParagraph"/>
      </w:pPr>
      <w:r>
        <w:t xml:space="preserve">"لأن التخفيض الشامل قد يهدر قيمة وحدات مميزة دون إثبات. الأفضل اختبار السعر حسب الوحدة: الأرضي، الأول، الداخلي، المشطب، والواجهة. نبدأ بسعر معتمد، ونراقب المعاينات والعروض والحجوزات، ثم تقرر الإدارة تعديلًا مستندًا إلى البيانات."</w:t>
      </w:r>
    </w:p>
    <w:p>
      <w:pPr>
        <w:pStyle w:val="MdSpace"/>
        <w:spacing w:before="0" w:after="60"/>
      </w:pPr>
    </w:p>
    <w:p>
      <w:pPr>
        <w:pStyle w:val="Heading2"/>
        <w:pStyle w:val="MdHeading2"/>
      </w:pPr>
      <w:r>
        <w:t xml:space="preserve">اعتراض 7: هل الرقم 473,346,700 جنيه هو قيمة المشروع النهائية؟</w:t>
      </w:r>
    </w:p>
    <w:p>
      <w:pPr>
        <w:pStyle w:val="MdParagraph"/>
      </w:pPr>
      <w:r>
        <w:rPr>
          <w:rStyle w:val="MdStrong"/>
          <w:b/>
          <w:bCs/>
        </w:rPr>
        <w:t xml:space="preserve">الرد:</w:t>
      </w:r>
    </w:p>
    <w:p>
      <w:pPr>
        <w:pStyle w:val="MdSpace"/>
        <w:spacing w:before="0" w:after="60"/>
      </w:pPr>
    </w:p>
    <w:p>
      <w:pPr>
        <w:pStyle w:val="MdParagraph"/>
      </w:pPr>
      <w:r>
        <w:t xml:space="preserve">"لا. هو جمع حسابي لقيمة الأرض المقدمة وقيمة الوحدات المتاحة في الملفات. لا يمثل تقييمًا نهائيًا أو صافي ربح، ويحتاج مراجعة عدم الازدواج والمستندات والتكلفة والحالة الفعلية."</w:t>
      </w:r>
    </w:p>
    <w:p>
      <w:pPr>
        <w:pStyle w:val="MdSpace"/>
        <w:spacing w:before="0" w:after="60"/>
      </w:pPr>
    </w:p>
    <w:p>
      <w:pPr>
        <w:pStyle w:val="Heading2"/>
        <w:pStyle w:val="MdHeading2"/>
      </w:pPr>
      <w:r>
        <w:t xml:space="preserve">اعتراض 8: هل بيع كل الوحدات في النصف الأول من 2027 مضمون؟</w:t>
      </w:r>
    </w:p>
    <w:p>
      <w:pPr>
        <w:pStyle w:val="MdParagraph"/>
      </w:pPr>
      <w:r>
        <w:rPr>
          <w:rStyle w:val="MdStrong"/>
          <w:b/>
          <w:bCs/>
        </w:rPr>
        <w:t xml:space="preserve">الرد:</w:t>
      </w:r>
    </w:p>
    <w:p>
      <w:pPr>
        <w:pStyle w:val="MdSpace"/>
        <w:spacing w:before="0" w:after="60"/>
      </w:pPr>
    </w:p>
    <w:p>
      <w:pPr>
        <w:pStyle w:val="MdParagraph"/>
      </w:pPr>
      <w:r>
        <w:t xml:space="preserve">"لا. هو هدف تجاري نعمل للوصول إليه، وليس ضمانًا. نرفع احتمال الوصول إليه بتأكيد المخزون، وضبط السعر، وتشغيل المتابعة، وتفعيل البروكرز، ووضوح التسليم. أما القرار النهائي فيراجع بعد نتائج أول 60–90 يومًا."</w:t>
      </w:r>
    </w:p>
    <w:p>
      <w:pPr>
        <w:pStyle w:val="MdSpace"/>
        <w:spacing w:before="0" w:after="60"/>
      </w:pPr>
    </w:p>
    <w:p>
      <w:pPr>
        <w:pStyle w:val="Heading2"/>
        <w:pStyle w:val="MdHeading2"/>
      </w:pPr>
      <w:r>
        <w:t xml:space="preserve">اعتراض 9: ماذا لو لم يحقق الفريق 2×H6؟</w:t>
      </w:r>
    </w:p>
    <w:p>
      <w:pPr>
        <w:pStyle w:val="MdParagraph"/>
      </w:pPr>
      <w:r>
        <w:rPr>
          <w:rStyle w:val="MdStrong"/>
          <w:b/>
          <w:bCs/>
        </w:rPr>
        <w:t xml:space="preserve">الرد:</w:t>
      </w:r>
    </w:p>
    <w:p>
      <w:pPr>
        <w:pStyle w:val="MdSpace"/>
        <w:spacing w:before="0" w:after="60"/>
      </w:pPr>
    </w:p>
    <w:p>
      <w:pPr>
        <w:pStyle w:val="MdParagraph"/>
      </w:pPr>
      <w:r>
        <w:t xml:space="preserve">"يتم تحديد أين حدث الانحراف: هل المشكلة في عدد التسجيلات، أم جودة العملاء، أم المعاينات، أم السعر، أم التسليم، أم المتابعة. بعدها تتخذ الإدارة قرارًا محددًا: تعديل القناة، أو الرسالة، أو السعر، أو الفريق، أو الجدول. لا نستمر في نفس الإنفاق دون تحليل."</w:t>
      </w:r>
    </w:p>
    <w:p>
      <w:pPr>
        <w:pStyle w:val="MdSpace"/>
        <w:spacing w:before="0" w:after="60"/>
      </w:pPr>
    </w:p>
    <w:p>
      <w:pPr>
        <w:pStyle w:val="Heading2"/>
        <w:pStyle w:val="MdHeading2"/>
      </w:pPr>
      <w:r>
        <w:t xml:space="preserve">اعتراض 10: لماذا نحتاج اطلاع مسؤول التطوير على التحصيل؟</w:t>
      </w:r>
    </w:p>
    <w:p>
      <w:pPr>
        <w:pStyle w:val="MdParagraph"/>
      </w:pPr>
      <w:r>
        <w:rPr>
          <w:rStyle w:val="MdStrong"/>
          <w:b/>
          <w:bCs/>
        </w:rPr>
        <w:t xml:space="preserve">الرد:</w:t>
      </w:r>
    </w:p>
    <w:p>
      <w:pPr>
        <w:pStyle w:val="MdSpace"/>
        <w:spacing w:before="0" w:after="60"/>
      </w:pPr>
    </w:p>
    <w:p>
      <w:pPr>
        <w:pStyle w:val="MdParagraph"/>
      </w:pPr>
      <w:r>
        <w:t xml:space="preserve">"لأنه مسؤول عن ربط البيع بالتحصيل ومعرفة حقيقة الأداء. يحتاج إلى عدد ما تم بيعه، والتعاقد، والمسدّد، والمتبقي، وتواريخ العمليات لإعداد التارجت والتقارير. لكنه لا يصرف ولا يعدل القيود ولا يعتمد ماليًا منفردًا؛ المالية تسجل وتطابق، والإدارة تعتمد."</w:t>
      </w:r>
    </w:p>
    <w:p>
      <w:pPr>
        <w:pStyle w:val="MdSpace"/>
        <w:spacing w:before="0" w:after="60"/>
      </w:pPr>
    </w:p>
    <w:p>
      <w:pPr>
        <w:pStyle w:val="Heading2"/>
        <w:pStyle w:val="MdHeading2"/>
      </w:pPr>
      <w:r>
        <w:t xml:space="preserve">اعتراض 11: هل نقل مكتب التسويق قرار فوري؟</w:t>
      </w:r>
    </w:p>
    <w:p>
      <w:pPr>
        <w:pStyle w:val="MdParagraph"/>
      </w:pPr>
      <w:r>
        <w:rPr>
          <w:rStyle w:val="MdStrong"/>
          <w:b/>
          <w:bCs/>
        </w:rPr>
        <w:t xml:space="preserve">الرد:</w:t>
      </w:r>
    </w:p>
    <w:p>
      <w:pPr>
        <w:pStyle w:val="MdSpace"/>
        <w:spacing w:before="0" w:after="60"/>
      </w:pPr>
    </w:p>
    <w:p>
      <w:pPr>
        <w:pStyle w:val="MdParagraph"/>
      </w:pPr>
      <w:r>
        <w:t xml:space="preserve">"لا. نقل المكتب مقترح مستقبلي. لا يُدرس إلا بعد قياس الحجوزات وتحليل تكلفة ترك الوحدة الحالية وقيمة استخدامها كمكتب، ويحتاج قرارًا منفصلًا من الإدارة."</w:t>
      </w:r>
    </w:p>
    <w:p>
      <w:pPr>
        <w:pStyle w:val="MdSpace"/>
        <w:spacing w:before="0" w:after="60"/>
      </w:pPr>
    </w:p>
    <w:p>
      <w:pPr>
        <w:pStyle w:val="Heading2"/>
        <w:pStyle w:val="MdHeading2"/>
      </w:pPr>
      <w:r>
        <w:t xml:space="preserve">اعتراض 12: هل نبدأ باستكمال الأرض والتشطيبات الآن؟</w:t>
      </w:r>
    </w:p>
    <w:p>
      <w:pPr>
        <w:pStyle w:val="MdParagraph"/>
      </w:pPr>
      <w:r>
        <w:rPr>
          <w:rStyle w:val="MdStrong"/>
          <w:b/>
          <w:bCs/>
        </w:rPr>
        <w:t xml:space="preserve">الرد:</w:t>
      </w:r>
    </w:p>
    <w:p>
      <w:pPr>
        <w:pStyle w:val="MdSpace"/>
        <w:spacing w:before="0" w:after="60"/>
      </w:pPr>
    </w:p>
    <w:p>
      <w:pPr>
        <w:pStyle w:val="MdParagraph"/>
      </w:pPr>
      <w:r>
        <w:t xml:space="preserve">"لا نطلب اعتماد ذلك الآن. استكمال التشطيبات أو عدم بيع الأرض أو التوسع الإعلاني يظل في قسم المقترحات المستقبلية، ويعرض فقط بعد تحقق النتائج وإعداد دراسة جدوى وتدفقات نقدية منفصلة."</w:t>
      </w:r>
    </w:p>
    <w:p>
      <w:pPr>
        <w:pStyle w:val="MdSpace"/>
        <w:spacing w:before="0" w:after="60"/>
      </w:pPr>
    </w:p>
    <w:p>
      <w:pPr>
        <w:pStyle w:val="Heading2"/>
        <w:pStyle w:val="MdHeading2"/>
      </w:pPr>
      <w:r>
        <w:t xml:space="preserve">اعتراض 13: ما آلية منع التلاعب في أرقام البيع والتحصيل؟</w:t>
      </w:r>
    </w:p>
    <w:p>
      <w:pPr>
        <w:pStyle w:val="MdParagraph"/>
      </w:pPr>
      <w:r>
        <w:rPr>
          <w:rStyle w:val="MdStrong"/>
          <w:b/>
          <w:bCs/>
        </w:rPr>
        <w:t xml:space="preserve">الرد:</w:t>
      </w:r>
    </w:p>
    <w:p>
      <w:pPr>
        <w:pStyle w:val="MdSpace"/>
        <w:spacing w:before="0" w:after="60"/>
      </w:pPr>
    </w:p>
    <w:p>
      <w:pPr>
        <w:pStyle w:val="MdParagraph"/>
      </w:pPr>
      <w:r>
        <w:t xml:space="preserve">"حسابات فردية، مستويات وصول، سجل دخول وتعديل، نسخة أصلية من الملفات، مطابقة بين العقد والتحصيل، وعدم حذف السجلات. مسؤول التطوير يطلع ويتابع، والمالية تطابق، والإدارة تعتمد، وبذلك توجد رقابة فصل بين المهام."</w:t>
      </w:r>
    </w:p>
    <w:p>
      <w:pPr>
        <w:pStyle w:val="MdSpace"/>
        <w:spacing w:before="0" w:after="60"/>
      </w:pPr>
    </w:p>
    <w:p>
      <w:pPr>
        <w:pStyle w:val="Heading2"/>
        <w:pStyle w:val="MdHeading2"/>
      </w:pPr>
      <w:r>
        <w:t xml:space="preserve">اعتراض 14: هل يمكن أن نبدأ بدون نظام مكلف؟</w:t>
      </w:r>
    </w:p>
    <w:p>
      <w:pPr>
        <w:pStyle w:val="MdParagraph"/>
      </w:pPr>
      <w:r>
        <w:rPr>
          <w:rStyle w:val="MdStrong"/>
          <w:b/>
          <w:bCs/>
        </w:rPr>
        <w:t xml:space="preserve">الرد:</w:t>
      </w:r>
    </w:p>
    <w:p>
      <w:pPr>
        <w:pStyle w:val="MdSpace"/>
        <w:spacing w:before="0" w:after="60"/>
      </w:pPr>
    </w:p>
    <w:p>
      <w:pPr>
        <w:pStyle w:val="MdParagraph"/>
      </w:pPr>
      <w:r>
        <w:t xml:space="preserve">"نعم، نبدأ بإصدار أولي منظم يضم الوحدات والعملاء والمراحل والمهام والحجوزات والتقارير والصلاحيات، ثم نضيف التكاملات والأتمتة بعد اختبار الاستخدام. المهم توحيد البيانات وتسجيل المسؤول والتاريخ من أول يوم."</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خامسًا: ورقة القرار المختصرة</w:t>
      </w:r>
    </w:p>
    <w:p>
      <w:pPr>
        <w:pStyle w:val="MdParagraph"/>
      </w:pPr>
      <w:r>
        <w:t xml:space="preserve">في نهاية الاجتماع يطلب مقدم العرض تسجيل موقف المجلس أمام كل بند:</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القرار</w:t>
            </w:r>
          </w:p>
        </w:tc>
        <w:tc>
          <w:tcPr>
            <w:tcMar>
              <w:top w:type="dxa" w:w="100"/>
              <w:left w:type="dxa" w:w="120"/>
              <w:bottom w:type="dxa" w:w="100"/>
              <w:right w:type="dxa" w:w="120"/>
            </w:tcMar>
            <w:vAlign w:val="center"/>
          </w:tcPr>
          <w:p>
            <w:pPr>
              <w:pStyle w:val="MdTableHeader"/>
            </w:pPr>
            <w:r>
              <w:t xml:space="preserve">موافق</w:t>
            </w:r>
          </w:p>
        </w:tc>
        <w:tc>
          <w:tcPr>
            <w:tcMar>
              <w:top w:type="dxa" w:w="100"/>
              <w:left w:type="dxa" w:w="120"/>
              <w:bottom w:type="dxa" w:w="100"/>
              <w:right w:type="dxa" w:w="120"/>
            </w:tcMar>
            <w:vAlign w:val="center"/>
          </w:tcPr>
          <w:p>
            <w:pPr>
              <w:pStyle w:val="MdTableHeader"/>
            </w:pPr>
            <w:r>
              <w:t xml:space="preserve">يحتاج تعديل</w:t>
            </w:r>
          </w:p>
        </w:tc>
        <w:tc>
          <w:tcPr>
            <w:tcMar>
              <w:top w:type="dxa" w:w="100"/>
              <w:left w:type="dxa" w:w="120"/>
              <w:bottom w:type="dxa" w:w="100"/>
              <w:right w:type="dxa" w:w="120"/>
            </w:tcMar>
            <w:vAlign w:val="center"/>
          </w:tcPr>
          <w:p>
            <w:pPr>
              <w:pStyle w:val="MdTableHeader"/>
            </w:pPr>
            <w:r>
              <w:t xml:space="preserve">مؤجل</w:t>
            </w:r>
          </w:p>
        </w:tc>
        <w:tc>
          <w:tcPr>
            <w:tcBorders>
              <w:right w:val="none"/>
            </w:tcBorders>
            <w:tcMar>
              <w:top w:type="dxa" w:w="100"/>
              <w:left w:type="dxa" w:w="120"/>
              <w:bottom w:type="dxa" w:w="100"/>
              <w:right w:type="dxa" w:w="120"/>
            </w:tcMar>
            <w:vAlign w:val="center"/>
          </w:tcPr>
          <w:p>
            <w:pPr>
              <w:pStyle w:val="MdTableHeader"/>
            </w:pPr>
            <w:r>
              <w:t xml:space="preserve">ملاحظات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كشف الوحدات والأسعار</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نظام الشركة والـCRM</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صلاحية مسؤول التطوير للبيع والتحصيل والتواريخ</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موظفة وموظف للمتابعة والبيع والمعاينات</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مسؤول المشروع</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المسؤول المالي والإداري من داخل المطور</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عمولة 6% عند سداد أكثر من 75%</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4% من المسدد عند سداد 75% أو أقل</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اعتماد تعريف H6 وتارجت 2×H6</w:t>
            </w: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تحديد نطاق ميزانية التسويق</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right w:val="none"/>
            </w:tcBorders>
            <w:tcMar>
              <w:top w:type="dxa" w:w="80"/>
              <w:left w:type="dxa" w:w="120"/>
              <w:bottom w:type="dxa" w:w="80"/>
              <w:right w:type="dxa" w:w="120"/>
            </w:tcMar>
            <w:vAlign w:val="center"/>
          </w:tcPr>
          <w:p>
            <w:pPr>
              <w:pStyle w:val="MdTableCell"/>
            </w:pPr>
          </w:p>
        </w:tc>
      </w:tr>
    </w:tbl>
    <w:p>
      <w:pPr>
        <w:pStyle w:val="MdParagraph"/>
      </w:pPr>
      <w:r>
        <w:rPr>
          <w:rStyle w:val="MdStrong"/>
          <w:b/>
          <w:bCs/>
        </w:rPr>
        <w:t xml:space="preserve">ختام المسودة:</w:t>
      </w:r>
      <w:r>
        <w:t xml:space="preserve"> هذه الوثيقة سيناريو إلقاء وتشغيل، وليست عقد عمل أو اتفاقية عمولة أو قرارًا ماليًا. تُراجع البنود التعاقدية من المستشار القانوني، وتُعتمد الأرقام من الإدارة المالية والإدارة العليا قبل التطبيق.</w:t>
      </w:r>
    </w:p>
    <w:p>
      <w:pPr>
        <w:pStyle w:val="MdSpace"/>
        <w:spacing w:before="0" w:after="60"/>
      </w:pPr>
    </w:p>
    <w:p>
      <w:pPr>
        <w:pStyle w:val="Heading2"/>
        <w:pStyle w:val="MdHeading2"/>
      </w:pPr>
      <w:r>
        <w:t xml:space="preserve">حالة حملات Meta الحالية</w:t>
      </w:r>
    </w:p>
    <w:p>
      <w:pPr>
        <w:pStyle w:val="MdListItem"/>
        <w:numPr>
          <w:ilvl w:val="0"/>
          <w:numId w:val="2"/>
        </w:numPr>
      </w:pPr>
      <w:r>
        <w:t xml:space="preserve">تم إنشاء مسودات داخل حساب الإعلانات.</w:t>
      </w:r>
    </w:p>
    <w:p>
      <w:pPr>
        <w:pStyle w:val="MdListItem"/>
        <w:numPr>
          <w:ilvl w:val="0"/>
          <w:numId w:val="2"/>
        </w:numPr>
      </w:pPr>
      <w:r>
        <w:t xml:space="preserve">لم يتم الضغط على Publish.</w:t>
      </w:r>
    </w:p>
    <w:p>
      <w:pPr>
        <w:pStyle w:val="MdListItem"/>
        <w:numPr>
          <w:ilvl w:val="0"/>
          <w:numId w:val="2"/>
        </w:numPr>
      </w:pPr>
      <w:r>
        <w:t xml:space="preserve">لم يتم تشغيل الحملات أو إنفاق ميزانية.</w:t>
      </w:r>
    </w:p>
    <w:p>
      <w:pPr>
        <w:pStyle w:val="MdListItem"/>
        <w:numPr>
          <w:ilvl w:val="0"/>
          <w:numId w:val="2"/>
        </w:numPr>
      </w:pPr>
      <w:r>
        <w:t xml:space="preserve">المسودات المسجلة تشمل حملة العملاء التجاريين والإداريين ومسودة إعادة الاستهداف.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joktm2-zt7wbs79d-hll" Type="http://schemas.openxmlformats.org/officeDocument/2006/relationships/hyperlink" Target="https://www.facebook.com/business/tools/meta-pixel" TargetMode="External"/><Relationship Id="rIdysovdayfj9uky7ipoy5tt" Type="http://schemas.openxmlformats.org/officeDocument/2006/relationships/hyperlink" Target="https://www.facebook.com/business/tools/meta-pixel" TargetMode="External"/><Relationship Id="rIdmukbogdo_czmwideh7syv" Type="http://schemas.openxmlformats.org/officeDocument/2006/relationships/hyperlink" Target="https://support.google.com/google-ads/answer/10724817?hl=en" TargetMode="External"/><Relationship Id="rIdgdrd_saxndn14curttzub" Type="http://schemas.openxmlformats.org/officeDocument/2006/relationships/hyperlink" Target="https://support.google.com/google-ads/answer/10724817?hl=en" TargetMode="External"/><Relationship Id="rIdvvxokorjckkamtx1ium96" Type="http://schemas.openxmlformats.org/officeDocument/2006/relationships/hyperlink" Target="https://www.facebook.com/business/tools/meta-pixel" TargetMode="External"/><Relationship Id="rId2qzqcyd-qa6qyk2qlj7ul" Type="http://schemas.openxmlformats.org/officeDocument/2006/relationships/hyperlink" Target="https://support.google.com/google-ads/answer/10724817?hl=en"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2026-08-24T17:42:30.768Z</dcterms:created>
  <dcterms:modified xsi:type="dcterms:W3CDTF">2026-08-24T17:42:30.769Z</dcterms:modified>
</cp:coreProperties>
</file>

<file path=docProps/custom.xml><?xml version="1.0" encoding="utf-8"?>
<Properties xmlns="http://schemas.openxmlformats.org/officeDocument/2006/custom-properties" xmlns:vt="http://schemas.openxmlformats.org/officeDocument/2006/docPropsVTypes"/>
</file>