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financiero y logístico del dropshipping con GHL</w:t>
      </w:r>
    </w:p>
    <w:p>
      <w:pPr>
        <w:pStyle w:val="Subtitle"/>
      </w:pPr>
      <w:r>
        <w:t>Proyecto funcional y técnico inspirado en el modelo de Boostec</w:t>
      </w:r>
    </w:p>
    <w:p>
      <w:r>
        <w:t>Para el equipo técnico</w:t>
        <w:br/>
        <w:t>Investigación realizada el 15 de octubre de 2026</w:t>
      </w:r>
    </w:p>
    <w:p>
      <w:pPr>
        <w:pStyle w:val="Heading2"/>
      </w:pPr>
      <w:r>
        <w:t>Qué queremos construir</w:t>
      </w:r>
    </w:p>
    <w:p>
      <w:r>
        <w:t>Queremos un centro de control que permita saber cuánto dinero deja realmente el dropshipping, qué productos y anuncios generan entregas rentables, y qué pedidos necesitan atención. El sistema reunirá datos de GHL, Dropi y publicidad para convertirlos en indicadores, listas de trabajo y decisiones verificables.</w:t>
      </w:r>
    </w:p>
    <w:p>
      <w:r>
        <w:t>Proponemos GHL como entorno de trabajo del equipo y una capa externa de datos y cálculo. El módulo de análisis se abrirá desde GHL y permitirá bajar de cada indicador a los pedidos, movimientos y anuncios que lo explican. GHL conservará contactos, oportunidades, responsables y comunicaciones; la base externa conservará el histórico financiero y logístico.</w:t>
      </w:r>
    </w:p>
    <w:p>
      <w:pPr>
        <w:pStyle w:val="Heading2"/>
      </w:pPr>
      <w:r>
        <w:t>Resultados que esperamos conseguir</w:t>
      </w:r>
    </w:p>
    <w:p>
      <w:pPr>
        <w:pStyle w:val="ListBullet"/>
      </w:pPr>
      <w:r>
        <w:t>Distinguir ventas solicitadas, confirmadas, entregadas y dinero conciliado.</w:t>
      </w:r>
    </w:p>
    <w:p>
      <w:pPr>
        <w:pStyle w:val="ListBullet"/>
      </w:pPr>
      <w:r>
        <w:t>Calcular margen después de producto, pauta, fletes, devoluciones y costos operativos.</w:t>
      </w:r>
    </w:p>
    <w:p>
      <w:pPr>
        <w:pStyle w:val="ListBullet"/>
      </w:pPr>
      <w:r>
        <w:t>Comparar productos, anuncios, ciudades y transportadoras con fechas y denominadores consistentes.</w:t>
      </w:r>
    </w:p>
    <w:p>
      <w:pPr>
        <w:pStyle w:val="ListBullet"/>
      </w:pPr>
      <w:r>
        <w:t>Asignar novedades al equipo y medir la resolución y la entrega posterior.</w:t>
      </w:r>
    </w:p>
    <w:p>
      <w:pPr>
        <w:pStyle w:val="ListBullet"/>
      </w:pPr>
      <w:r>
        <w:t>Conservar la relación anuncio → lead → producto → pedido → entrega → margen.</w:t>
      </w:r>
    </w:p>
    <w:p>
      <w:pPr>
        <w:pStyle w:val="Heading2"/>
      </w:pPr>
      <w:r>
        <w:t>Alcance recomendado</w:t>
      </w:r>
    </w:p>
    <w:p>
      <w:r>
        <w:t>Comenzar con una tienda en Colombia, COP, Dropi y Meta Ads. Incluir importación de archivos como respaldo cuando un dato no esté disponible por API. Incorporar TikTok y otros operadores después de validar el modelo. La primera versión será de lectura y gestión de casos; las decisiones de pauta y cambios logísticos permanecerán bajo control del equipo.</w:t>
      </w:r>
    </w:p>
    <w:p>
      <w:r>
        <w:t>Los apartados técnicos siguientes son nuestra propuesta. Las referencias numeradas respaldan las capacidades públicas de Boostec y GHL; no constituyen una especificación interna del competidor ni garantizan permisos de API de terceros.</w:t>
      </w:r>
    </w:p>
    <w:p>
      <w:r>
        <w:br w:type="page"/>
      </w:r>
    </w:p>
    <w:p>
      <w:pPr>
        <w:pStyle w:val="Heading1"/>
      </w:pPr>
      <w:r>
        <w:t>1 Qué muestra la investigación sobre Boostec</w:t>
      </w:r>
    </w:p>
    <w:p>
      <w:pPr>
        <w:pStyle w:val="Heading2"/>
      </w:pPr>
      <w:r>
        <w:t>Capacidades públicas y uso descrito</w:t>
      </w:r>
    </w:p>
    <w:p>
      <w:r>
        <w:t>Boostec se presenta como una herramienta de análisis financiero, publicitario y logístico. Publica funciones de utilidad y wallet, CPA, campañas, guías, transportadoras y desempeño del equipo de novedades. Anuncia conexiones con Dropi, Effi, Mastershop, Meta y TikTok. [1]</w:t>
      </w:r>
    </w:p>
    <w:p>
      <w:r>
        <w:t>En testimonios publicados por Boostec, Antonia Villa destaca automatizar análisis hechos en Excel; Facundo Cohrs, consolidar logística de varios países; y Alberto Baron, centralizar métricas para mejorar decisiones. Son testimonios seleccionados por el proveedor, sin verificación independiente de resultados. [1]</w:t>
      </w:r>
    </w:p>
    <w:p>
      <w:r>
        <w:t>Sus términos describen sincronización continua en segundo plano y almacenamiento persistente. Esto respalda la necesidad de un histórico propio para generar informes. [2] Mastershop también menciona su integración con Boostec como herramienta de medición operativa. [3]</w:t>
      </w:r>
    </w:p>
    <w:p>
      <w:pPr>
        <w:pStyle w:val="Heading2"/>
      </w:pPr>
      <w:r>
        <w:t>Interpretación para nuestro proyecto</w:t>
      </w:r>
    </w:p>
    <w:p>
      <w:r>
        <w:t>El valor que buscamos reproducir es un circuito de control: reunir datos, detectar dónde se pierde margen, actuar sobre los casos y comprobar el resultado. Para ello hacen falta reglas de cálculo explícitas, conciliación y registros que expliquen cada cifra.</w:t>
      </w:r>
    </w:p>
    <w:p>
      <w:pPr>
        <w:pStyle w:val="Heading2"/>
      </w:pPr>
      <w:r>
        <w:t>Rutina operativa que proponemos habilitar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3960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Pregunta que debe resolver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Acción resultante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Dirección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¿Cuánto margen produjo la cohorte de pedidos?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Revisar costos y productos antes de escalar.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Compras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¿Qué SKU tiene margen y buena entrega?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Priorizar catálogo y negociar costos.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Pauta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¿Qué anuncio produce entregas rentables?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Revisar oferta, segmentación y presupuesto.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Logística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¿Dónde se acumulan guías sin avance?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Crear casos y coordinar seguimiento.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Líder de equipo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¿Qué novedades se resuelven y terminan en entrega?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Ajustar asignación y procesos.</w:t>
            </w:r>
          </w:p>
        </w:tc>
      </w:tr>
    </w:tbl>
    <w:p/>
    <w:p>
      <w:pPr>
        <w:pStyle w:val="Heading2"/>
      </w:pPr>
      <w:r>
        <w:t>Cómo usaremos esta referencia</w:t>
      </w:r>
    </w:p>
    <w:p>
      <w:r>
        <w:t>La funcionalidad y la interfaz se diseñarán para nuestra operación. El proyecto requiere conectar las fuentes de datos del negocio; no necesita extraer código, pantallas privadas ni datos de Boostec. La eficacia de nuestras alertas se evaluará con el piloto, sin adoptar como garantías las cifras promocionales del proveedor.</w:t>
      </w:r>
    </w:p>
    <w:p>
      <w:r>
        <w:br w:type="page"/>
      </w:r>
    </w:p>
    <w:p>
      <w:pPr>
        <w:pStyle w:val="Heading1"/>
      </w:pPr>
      <w:r>
        <w:t>2 Qué puede resolver GHL</w:t>
      </w:r>
    </w:p>
    <w:p>
      <w:r>
        <w:t>La solución tendrá una experiencia integrada en GHL, con cálculo financiero e histórico externo. Esta separación permite que el equipo opere desde su CRM y que los informes mantengan el detalle necesario para conciliación.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Configuración o desarrollo propuesto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Contactos y responsables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GHL como referencia para cliente, conversación y usuario asignado.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Seguimiento de pedidos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Una oportunidad por pedido; reflejo del estado real del proveedor.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Novedades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Tareas y workflow en GHL; histórico de casos en la base.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Indicadores simples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Campos numéricos y monetarios de oportunidad y widgets nativos. [4]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Modelos adicionales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Evaluar Custom Objects para casos o envíos si la cuenta lo permite. [5]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Análisis de cohortes y costos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Servicio propio con reglas versionadas y tablas analíticas.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Cruce pauta y entrega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Conector publicitario y atribución en base externa.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Tablero dentro del CRM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Página propia mediante enlace de menú o embed validado. [6, 7]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Exportaciones y auditoría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API propia, filtros guardados y reportes con fecha de corte.</w:t>
            </w:r>
          </w:p>
        </w:tc>
      </w:tr>
    </w:tbl>
    <w:p/>
    <w:p>
      <w:pPr>
        <w:pStyle w:val="Heading2"/>
      </w:pPr>
      <w:r>
        <w:t>Configuración nativa que sí está documentada</w:t>
      </w:r>
    </w:p>
    <w:p>
      <w:r>
        <w:t>HighLevel permite agregar campos Number y Monetary de contactos y oportunidades con suma, mínimo, máximo y promedio; su módulo de métricas admite fórmulas compatibles. La disponibilidad depende del componente y el plan. [4] Custom Objects permiten definir registros y asociaciones adicionales; no asumiremos que todas sus funciones de informes equivalen a las de oportunidades. [5]</w:t>
      </w:r>
    </w:p>
    <w:p>
      <w:pPr>
        <w:pStyle w:val="Heading2"/>
      </w:pPr>
      <w:r>
        <w:t>Límite de la implementación nativa</w:t>
      </w:r>
    </w:p>
    <w:p>
      <w:r>
        <w:t>Una suma de oportunidades ganadas puede servir para seguimiento comercial. Para conocer margen por cohorte necesitamos unir partidas, varios envíos, costos, reversos y gasto diario sin duplicaciones. Proponemos resolver esos cálculos en SQL y publicar en GHL solo los campos operativos y resúmenes comprobados.</w:t>
      </w:r>
    </w:p>
    <w:p>
      <w:pPr>
        <w:pStyle w:val="Heading2"/>
      </w:pPr>
      <w:r>
        <w:t>Responsabilidad de desarrollo</w:t>
      </w:r>
    </w:p>
    <w:p>
      <w:r>
        <w:t>El equipo debe demostrar el funcionamiento en la subcuenta antes de escoger widgets, objetos o filtros. Integrar una pantalla por iframe no le concede acceso a los datos del usuario: el módulo externo deberá autenticar y autorizar sus propias solicitudes.</w:t>
      </w:r>
    </w:p>
    <w:p>
      <w:r>
        <w:br w:type="page"/>
      </w:r>
    </w:p>
    <w:p>
      <w:pPr>
        <w:pStyle w:val="Heading1"/>
      </w:pPr>
      <w:r>
        <w:t>3 Arquitectura y experiencia de uso</w:t>
      </w:r>
    </w:p>
    <w:p>
      <w:pPr>
        <w:pStyle w:val="Heading2"/>
      </w:pPr>
      <w:r>
        <w:t>Componentes propuestos</w:t>
      </w:r>
    </w:p>
    <w:p>
      <w:pPr>
        <w:pStyle w:val="ListBullet"/>
      </w:pPr>
      <w:r>
        <w:t>Conectores de origen: Dropi, GHL, plataforma publicitaria y archivos autorizados.</w:t>
      </w:r>
    </w:p>
    <w:p>
      <w:pPr>
        <w:pStyle w:val="ListBullet"/>
      </w:pPr>
      <w:r>
        <w:t>n8n y cola de trabajo: programación de cargas, reintentos y publicación de eventos.</w:t>
      </w:r>
    </w:p>
    <w:p>
      <w:pPr>
        <w:pStyle w:val="ListBullet"/>
      </w:pPr>
      <w:r>
        <w:t>PostgreSQL: datos originales, entidades normalizadas y vistas de indicadores.</w:t>
      </w:r>
    </w:p>
    <w:p>
      <w:pPr>
        <w:pStyle w:val="ListBullet"/>
      </w:pPr>
      <w:r>
        <w:t>API propia: consultas, permisos, casos, conciliación y exportación.</w:t>
      </w:r>
    </w:p>
    <w:p>
      <w:pPr>
        <w:pStyle w:val="ListBullet"/>
      </w:pPr>
      <w:r>
        <w:t>Interfaz web: tableros y detalle, accesibles desde GHL.</w:t>
      </w:r>
    </w:p>
    <w:p>
      <w:pPr>
        <w:pStyle w:val="ListBullet"/>
      </w:pPr>
      <w:r>
        <w:t>GHL: atención, responsables, tareas y reflejo de los pedidos y alertas.</w:t>
      </w:r>
    </w:p>
    <w:p>
      <w:pPr>
        <w:pStyle w:val="Heading2"/>
      </w:pPr>
      <w:r>
        <w:t>Recorrido de los datos</w:t>
      </w:r>
    </w:p>
    <w:p>
      <w:r>
        <w:t>Los conectores guardan primero el dato original con su origen y fecha. Un proceso valida claves, importes, monedas y estados antes de actualizar el modelo normalizado. Las vistas calculan los indicadores y la API los entrega al tablero. Cuando una regla detecta un caso accionable, publica una tarea o actualización en GHL; el resultado vuelve al histórico.</w:t>
      </w:r>
    </w:p>
    <w:p>
      <w:pPr>
        <w:pStyle w:val="Heading2"/>
      </w:pPr>
      <w:r>
        <w:t>Pantallas mínimas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Contenido propuesto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Resumen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Ventas por estado, margen, caja, entregas y datos pendientes.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Productos y anuncios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Ingresos, costos, pauta asignada y margen por SKU u oferta.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Logística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Entrega, devolución, tiempos y volumen por ciudad y transportadora.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Novedades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Bandeja con responsable, vencimiento, acciones y resultado.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Finanzas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Movimientos, costos, recaudos, ajustes y conciliación.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Calidad de datos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Cargas fallidas, costos ausentes y pedidos sin atribución.</w:t>
            </w:r>
          </w:p>
        </w:tc>
      </w:tr>
    </w:tbl>
    <w:p/>
    <w:p>
      <w:pPr>
        <w:pStyle w:val="Heading2"/>
      </w:pPr>
      <w:r>
        <w:t>Filtros y navegación</w:t>
      </w:r>
    </w:p>
    <w:p>
      <w:r>
        <w:t>Cada pantalla deberá indicar tienda, país, moneda, zona horaria, rango, tipo de fecha y última actualización. El usuario podrá filtrar por SKU, oferta, anuncio, transportadora, ciudad y responsable. Un clic en el indicador abrirá los registros de soporte y, desde allí, el pedido o conversación de GHL.</w:t>
      </w:r>
    </w:p>
    <w:p>
      <w:pPr>
        <w:pStyle w:val="Heading2"/>
      </w:pPr>
      <w:r>
        <w:t>Acceso y permisos</w:t>
      </w:r>
    </w:p>
    <w:p>
      <w:r>
        <w:t>Crear el acceso mediante Custom Menu Links y validar su comportamiento en la cuenta. HighLevel documenta enlaces de menú y contenido externo en dashboards. [6, 7] Finanzas tendrá permisos para costos y conciliación; logística verá sus casos; dirección verá el agregado. Ocultar el menú no sustituye la autorización en el backend. No confiar en location_id o user_id recibidos por URL como prueba de identidad.</w:t>
      </w:r>
    </w:p>
    <w:p>
      <w:r>
        <w:br w:type="page"/>
      </w:r>
    </w:p>
    <w:p>
      <w:pPr>
        <w:pStyle w:val="Heading1"/>
      </w:pPr>
      <w:r>
        <w:t>4 Modelo de datos y fuentes de verdad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Granularidad y clave propuesta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Tienda y conexión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tenant_id, location_id, país, moneda, zona y referencias de secretos.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Pedido y partidas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Una orden por tienda y origen; partidas por SKU, variante y cantidad.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Envío y eventos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Uno o varios envíos por orden; guía, transportadora y transiciones.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Costos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Un cargo por concepto, origen y referencia; reversos vinculados.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Movimientos y recaudos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Cada movimiento externo único y su asignación a órdenes.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Gasto publicitario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Plataforma, cuenta, ad_id y fecha; moneda y métricas originales.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Atribución y ofertas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Entradas del lead, relación anuncio y oferta con vigencia.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Caso de novedad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case_id, envío, responsable, acciones, tiempos y resultado.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Carga y cálculo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batch_id, marca de agua, errores, corte y versión de fórmulas.</w:t>
            </w:r>
          </w:p>
        </w:tc>
      </w:tr>
    </w:tbl>
    <w:p/>
    <w:p>
      <w:pPr>
        <w:pStyle w:val="Heading2"/>
      </w:pPr>
      <w:r>
        <w:t>Referencia de cada dato</w:t>
      </w:r>
    </w:p>
    <w:p>
      <w:r>
        <w:t>Dropi u otro operador autorizado será la referencia de órdenes, guías, estados y cargos que efectivamente exponga. La plataforma publicitaria será la referencia del gasto y de sus conversiones reportadas. GHL será la referencia del contacto y las acciones comerciales. La base propia conservará el histórico y las relaciones. Cada cifra llevará source_system, source_id y fecha de actualización.</w:t>
      </w:r>
    </w:p>
    <w:p>
      <w:pPr>
        <w:pStyle w:val="Heading2"/>
      </w:pPr>
      <w:r>
        <w:t>Identidad y relaciones</w:t>
      </w:r>
    </w:p>
    <w:p>
      <w:r>
        <w:t>Usar claves únicas por tienda y origen. Un mismo teléfono puede tener varios pedidos; el teléfono no es clave de orden. Las guías tampoco sustituyen el ID del pedido porque pueden existir varios envíos. Toda oportunidad de GHL deberá guardar el order_id local y la referencia externa para evitar actualizaciones cruzadas.</w:t>
      </w:r>
    </w:p>
    <w:p>
      <w:pPr>
        <w:pStyle w:val="Heading2"/>
      </w:pPr>
      <w:r>
        <w:t>Temporalidad y dinero</w:t>
      </w:r>
    </w:p>
    <w:p>
      <w:r>
        <w:t>Guardar los momentos en UTC y presentar el informe en la zona elegida, inicialmente America/Bogota. Registrar fecha de pedido, confirmación, despacho, entrega y liquidación por separado. Guardar importes con decimal exacto y moneda; no usar coma flotante. Conservar la moneda original y la tasa aplicada si después se consolida en otra moneda.</w:t>
      </w:r>
    </w:p>
    <w:p>
      <w:pPr>
        <w:pStyle w:val="Heading2"/>
      </w:pPr>
      <w:r>
        <w:t>Estados y correcciones</w:t>
      </w:r>
    </w:p>
    <w:p>
      <w:r>
        <w:t>Mantener estado original y estado normalizado, sin asumir un listado fijo de Dropi. Conservar eventos y ajustes en vez de sobrescribir el pasado. Un costo desconocido debe verse como pendiente, no como cero; la cobertura de costos será visible junto al margen.</w:t>
      </w:r>
    </w:p>
    <w:p>
      <w:r>
        <w:br w:type="page"/>
      </w:r>
    </w:p>
    <w:p>
      <w:pPr>
        <w:pStyle w:val="Heading1"/>
      </w:pPr>
      <w:r>
        <w:t>5 Cómo calcularemos margen y caja</w:t>
      </w:r>
    </w:p>
    <w:p>
      <w:pPr>
        <w:pStyle w:val="Heading2"/>
      </w:pPr>
      <w:r>
        <w:t>Definiciones para aprobación de negocio</w:t>
      </w:r>
    </w:p>
    <w:p>
      <w:r>
        <w:t>Margen de contribución observado = ingreso reconocido neto − costo consumido de producto − logística − comisiones − pauta atribuible − otros costos variables. Resultado operativo = margen de contribución − gastos operativos asignados. Las categorías y el reconocimiento deben ser aprobados con el responsable financiero; este módulo será de gestión, no reemplazará la contabilidad legal.</w:t>
      </w:r>
    </w:p>
    <w:p>
      <w:r>
        <w:t>Propuesta de reconocimiento: mostrar ingreso observado cuando la entrega o el pago estén respaldados según el modelo de venta, y separar el importe aún pendiente de recaudar. Mostrar margen conciliado solo para importes y costos contrastados. El margen esperado de pedidos abiertos será otra métrica, con supuestos y versión visibles.</w:t>
      </w:r>
    </w:p>
    <w:p>
      <w:pPr>
        <w:pStyle w:val="Heading2"/>
      </w:pPr>
      <w:r>
        <w:t>Wallet y recaudo</w:t>
      </w:r>
    </w:p>
    <w:p>
      <w:r>
        <w:t>Una recarga de wallet es financiación de la operación; un retiro es transferencia de fondos. Ninguno crea ventas por sí mismo. Separar ventas, costos, comisiones, transferencias y reversos. Cuando la wallet liquide el neto de una orden, reconstruir bruto y deducciones mediante los detalles disponibles; no sumar simultáneamente el ingreso bruto y el abono neto como dos ingresos.</w:t>
      </w:r>
    </w:p>
    <w:p>
      <w:r>
        <w:t>Saldo final = saldo inicial + créditos − débitos, respetando los signos del proveedor. Esa igualdad comprueba movimientos de caja, pero no calcula la utilidad. Toda diferencia de saldo o costo no explicado queda en una cuenta de conciliación pendiente.</w:t>
      </w:r>
    </w:p>
    <w:p>
      <w:pPr>
        <w:pStyle w:val="Heading2"/>
      </w:pPr>
      <w:r>
        <w:t>Ejemplo ilustrativo de una cohorte cerrada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2952"/>
      </w:tblGrid>
      <w:tr>
        <w:trPr>
          <w:cantSplit/>
          <w:tblHeader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Valor COP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100 pedidos solicitados de 100.000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10.000.000 de valor solicitado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70 entregados y cobrados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7.000.000 de ingresos netos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Producto consumido en entregas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2.450.000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Fletes de ida de toda la cohorte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1.500.000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Retorno de 30 pedidos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360.000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Pauta de la cohorte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1.800.000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Comisiones y operación atribuible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440.000</w:t>
            </w:r>
          </w:p>
        </w:tc>
      </w:tr>
      <w:tr>
        <w:trPr>
          <w:cantSplit/>
        </w:trPr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Resultado después de estos costos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450.000</w:t>
            </w:r>
          </w:p>
        </w:tc>
      </w:tr>
    </w:tbl>
    <w:p/>
    <w:p>
      <w:r>
        <w:t>El ejemplo supone mercancía devuelta recuperable sin pérdida adicional y todos los cargos ya completos. CPA por pedido solicitado: 18.000 COP. CPA por entrega: aproximadamente 25.714 COP. El resultado equivale al 6,43 % de los ingresos cobrados, aunque el valor solicitado parecía alto. Una devolución con pérdida de producto exigiría sumar ese costo.</w:t>
      </w:r>
    </w:p>
    <w:p>
      <w:r>
        <w:br w:type="page"/>
      </w:r>
    </w:p>
    <w:p>
      <w:pPr>
        <w:pStyle w:val="Heading1"/>
      </w:pPr>
      <w:r>
        <w:t>6 Diccionario de métricas y fechas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Indicador propuesto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Regla de cálculo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Confirmación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Pedidos confirmados / pedidos válidos recibidos de la misma cohorte.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Entrega observada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Entregados / despachados de la misma cohorte; mostrar pendientes.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Devolución observada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Devueltos / despachados de esa cohorte; mostrar madurez.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CPA solicitado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Gasto asignado / pedidos solicitados atribuibles.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CPA entregado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Gasto asignado / pedidos entregados atribuibles.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ROAS entregado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Ingreso neto de entregas atribuibles / gasto asignado.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Margen porcentual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Margen de contribución / ingreso reconocido neto.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Cobertura de atribución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Pedidos con origen verificable / pedidos elegibles.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Cobertura de costos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Órdenes con costos requeridos completos / órdenes evaluadas.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Rescate de novedades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Casos de novedad que terminan en entrega / casos elegibles.</w:t>
            </w:r>
          </w:p>
        </w:tc>
      </w:tr>
    </w:tbl>
    <w:p/>
    <w:p>
      <w:pPr>
        <w:pStyle w:val="Heading2"/>
      </w:pPr>
      <w:r>
        <w:t>Dos vistas que no deben mezclarse</w:t>
      </w:r>
    </w:p>
    <w:p>
      <w:r>
        <w:t>Vista por cohorte: agrupar pedidos por su fecha de creación y seguirlos hasta entrega, devolución y liquidación; atribuir a esa cohorte los costos relacionados. Vista por movimiento: agrupar cobros y cargos por fecha efectiva para ver caja. Una venta del 1 de octubre cobrada el 8 aparece en la cohorte del día 1 y en el flujo del día 8.</w:t>
      </w:r>
    </w:p>
    <w:p>
      <w:r>
        <w:t>El gasto de un día no se dividirá por las entregas de ese mismo día si corresponden a pedidos de días anteriores. Las conversiones declaradas por Meta o TikTok se mostrarán aparte; pueden usar ventanas y modelos distintos del vínculo determinista que construyamos.</w:t>
      </w:r>
    </w:p>
    <w:p>
      <w:pPr>
        <w:pStyle w:val="Heading2"/>
      </w:pPr>
      <w:r>
        <w:t>Comparaciones que sí ayudan</w:t>
      </w:r>
    </w:p>
    <w:p>
      <w:r>
        <w:t>Mostrar cantidad, importe y porcentaje juntos. Una transportadora con 3 entregas de 3 pedidos no es comparable sin contexto con otra que tiene miles de envíos. Para cohortes recientes mostrar “provisional” y el volumen abierto. La madurez se definirá con el ciclo real del negocio; por ejemplo, una ventana inicial de 30 días deberá calibrarse en el piloto.</w:t>
      </w:r>
    </w:p>
    <w:p>
      <w:pPr>
        <w:pStyle w:val="Heading2"/>
      </w:pPr>
      <w:r>
        <w:t>Reglas de cálculo</w:t>
      </w:r>
    </w:p>
    <w:p>
      <w:r>
        <w:t>Un denominador cero devuelve “sin datos”, no infinito ni cero. Los totales recalculan numerador y denominador; no promedian porcentajes de grupos. Cada exportación conserva filtros, zona horaria, corte y versión. Los ajustes tardíos recalculan la cohorte afectada y dejan registro del cambio.</w:t>
      </w:r>
    </w:p>
    <w:p>
      <w:r>
        <w:br w:type="page"/>
      </w:r>
    </w:p>
    <w:p>
      <w:pPr>
        <w:pStyle w:val="Heading1"/>
      </w:pPr>
      <w:r>
        <w:t>7 Anuncios productos y atribución de rentabilidad</w:t>
      </w:r>
    </w:p>
    <w:p>
      <w:pPr>
        <w:pStyle w:val="Heading2"/>
      </w:pPr>
      <w:r>
        <w:t>Relación obligatoria de principio a fin</w:t>
      </w:r>
    </w:p>
    <w:p>
      <w:r>
        <w:t>Cada nueva entrada debe resolver anuncio → oferta → producto antes de la respuesta comercial. Guardar esa evidencia en la sesión y después en el pedido. Así el módulo podrá mostrar qué anuncio atrajo el lead, qué producto se ofreció y qué se vendió y entregó finalmente. Si el cliente cambia de producto, conservar ambas referencias.</w:t>
      </w:r>
    </w:p>
    <w:p>
      <w:r>
        <w:t>GHL documenta un trigger Click to WhatsApp Ads con filtros por anuncio o publicación, URL, titular y tipo de fuente. [8] En el piloto se pueden crear rutas por anuncio con oferta fija. Para escalar, transmitir el identificador al backend y resolverlo mediante una tabla central; la disponibilidad real de campos se verifica con mensajes de prueba.</w:t>
      </w:r>
    </w:p>
    <w:p>
      <w:pPr>
        <w:pStyle w:val="Heading2"/>
      </w:pPr>
      <w:r>
        <w:t>Origen conocido y origen desconocido</w:t>
      </w:r>
    </w:p>
    <w:p>
      <w:r>
        <w:t>Conservar primer origen del contacto, cada nuevo contacto publicitario y la atribución de la orden por separado. Un lead puede volver desde otro anuncio sin modificar compras anteriores. Si faltan metadatos, usar una referencia verificable o preguntar por el producto. Un mensaje prellenado editable será una señal indicativa; no prueba por sí mismo el anuncio exacto.</w:t>
      </w:r>
    </w:p>
    <w:p>
      <w:pPr>
        <w:pStyle w:val="Heading2"/>
      </w:pPr>
      <w:r>
        <w:t>Importación del gasto</w:t>
      </w:r>
    </w:p>
    <w:p>
      <w:r>
        <w:t>HighLevel documenta APIs de Ad Manager para informes de Facebook, Google y LinkedIn. [9] Evaluaremos su cobertura de cuentas y granularidad para Meta; si falta algún dato, usar un conector oficial autorizado o archivos. Para TikTok, evaluar Reporting API for Business con sus permisos y límites; no asumir que la función de Lead Ads aporta gasto publicitario. [10]</w:t>
      </w:r>
    </w:p>
    <w:p>
      <w:pPr>
        <w:pStyle w:val="Heading2"/>
      </w:pPr>
      <w:r>
        <w:t>Evitar multiplicar el gasto al cruzar datos</w:t>
      </w:r>
    </w:p>
    <w:p>
      <w:r>
        <w:t>Conservar gasto en granularidad anuncio y día. Agregar pedidos y partidas al mismo nivel antes de unirlos; una unión directa con todas las partidas duplicaría el gasto. Cuando una campaña incluya varios SKU sin vínculo suficiente, dejar el gasto compartido o no asignado hasta definir una regla explícita.</w:t>
      </w:r>
    </w:p>
    <w:p>
      <w:r>
        <w:t>Para pedidos con varios productos, proponer asignación proporcional al ingreso neto de las partidas. Los pesos deben sumar uno y conservar la versión del método. El agregado de productos debe reconciliar con el total de campaña. El CPA y el margen por anuncio mostrarán el porcentaje de pedidos atribuidos y los importes sin asignar.</w:t>
      </w:r>
    </w:p>
    <w:p>
      <w:pPr>
        <w:pStyle w:val="Heading2"/>
      </w:pPr>
      <w:r>
        <w:t>Uso en la toma de decisiones</w:t>
      </w:r>
    </w:p>
    <w:p>
      <w:r>
        <w:t>Mostrar alertas de margen por producto y anuncio. Inicialmente serán recomendaciones para el responsable de pauta; no pausaremos campañas automáticamente basándonos en cohortes inmaduras o atribución incompleta.</w:t>
      </w:r>
    </w:p>
    <w:p>
      <w:r>
        <w:br w:type="page"/>
      </w:r>
    </w:p>
    <w:p>
      <w:pPr>
        <w:pStyle w:val="Heading1"/>
      </w:pPr>
      <w:r>
        <w:t>8 Logística novedades y acciones en GHL</w:t>
      </w:r>
    </w:p>
    <w:p>
      <w:pPr>
        <w:pStyle w:val="Heading2"/>
      </w:pPr>
      <w:r>
        <w:t>Del indicador al caso concreto</w:t>
      </w:r>
    </w:p>
    <w:p>
      <w:r>
        <w:t>El tablero debe permitir pasar de “guías sin avance” a una lista de envíos con responsable. Proponemos alertas iniciales de no despacho, tránsito prolongado y novedad sin gestionar. Los umbrales serán configurables por transportadora, destino y tipo de evento, según evidencia del piloto.</w:t>
      </w:r>
    </w:p>
    <w:p>
      <w:pPr>
        <w:pStyle w:val="Heading2"/>
      </w:pPr>
      <w:r>
        <w:t>Flujo de novedad propuesto</w:t>
      </w:r>
    </w:p>
    <w:p>
      <w:pPr>
        <w:pStyle w:val="ListBullet"/>
      </w:pPr>
      <w:r>
        <w:t>El conector recibe un estado o una consulta detecta la condición.</w:t>
      </w:r>
    </w:p>
    <w:p>
      <w:pPr>
        <w:pStyle w:val="ListBullet"/>
      </w:pPr>
      <w:r>
        <w:t>Se crea o actualiza un caso único por envío, tipo y episodio.</w:t>
      </w:r>
    </w:p>
    <w:p>
      <w:pPr>
        <w:pStyle w:val="ListBullet"/>
      </w:pPr>
      <w:r>
        <w:t>El backend refleja el caso en GHL y asigna responsable y vencimiento.</w:t>
      </w:r>
    </w:p>
    <w:p>
      <w:pPr>
        <w:pStyle w:val="ListBullet"/>
      </w:pPr>
      <w:r>
        <w:t>El asesor consulta al cliente o proveedor y registra la acción realizada.</w:t>
      </w:r>
    </w:p>
    <w:p>
      <w:pPr>
        <w:pStyle w:val="ListBullet"/>
      </w:pPr>
      <w:r>
        <w:t>El sistema sigue el estado externo hasta resolver el caso y observar la entrega o devolución.</w:t>
      </w:r>
    </w:p>
    <w:p>
      <w:pPr>
        <w:pStyle w:val="ListBullet"/>
      </w:pPr>
      <w:r>
        <w:t>El tablero mide tiempos y resultados, conservando cambios de responsable.</w:t>
      </w:r>
    </w:p>
    <w:p>
      <w:pPr>
        <w:pStyle w:val="Heading2"/>
      </w:pPr>
      <w:r>
        <w:t>Configuración de GHL</w:t>
      </w:r>
    </w:p>
    <w:p>
      <w:r>
        <w:t>Crear un pipeline operativo: Pendiente → Asignada → En gestión → Esperando tercero → Resuelta → Cerrada. Evaluar un Custom Object de caso si la cuenta lo permite; mantener la base externa como histórico de referencia. Un workflow recibirá case_id y order_id y actuará sobre el registro exacto.</w:t>
      </w:r>
    </w:p>
    <w:p>
      <w:r>
        <w:t>Campos mínimos del caso: ID externo, guía, motivo, severidad, responsable, primera detección, última acción, vencimiento, próximo paso y resultado. Los campos de margen por pedido pertenecen a la oportunidad correspondiente, no al contacto, para evitar sobrescribir compras anteriores.</w:t>
      </w:r>
    </w:p>
    <w:p>
      <w:pPr>
        <w:pStyle w:val="Heading2"/>
      </w:pPr>
      <w:r>
        <w:t>Qué significa resolver</w:t>
      </w:r>
    </w:p>
    <w:p>
      <w:r>
        <w:t>Cerrar la tarea de GHL solo acredita trabajo administrativo. Mostrar por separado caso resuelto, novedad superada y pedido entregado. La tasa de rescate mide entrega posterior de casos elegibles; no demuestra por sí sola que una persona causó esa mejora.</w:t>
      </w:r>
    </w:p>
    <w:p>
      <w:pPr>
        <w:pStyle w:val="Heading2"/>
      </w:pPr>
      <w:r>
        <w:t>Mensajería y cambios al proveedor</w:t>
      </w:r>
    </w:p>
    <w:p>
      <w:r>
        <w:t>Los mensajes al comprador se enviarán mediante flujos de WhatsApp con autorización, ventana y plantilla cuando corresponda. Pausar el bot si toma el caso un asesor. Cambiar dirección, solicitar reintento o cancelar en Dropi requerirá un endpoint autorizado y respuesta verificable; si no existe, generar una tarea manual. Nunca marcar una acción externa como completada solo por mover una tarjeta.</w:t>
      </w:r>
    </w:p>
    <w:p>
      <w:pPr>
        <w:pStyle w:val="Heading2"/>
      </w:pPr>
      <w:r>
        <w:t>Medición por asesor y transportadora</w:t>
      </w:r>
    </w:p>
    <w:p>
      <w:r>
        <w:t>Comparar volumen, complejidad, antigüedad, tiempo de primera acción y entrega posterior. Conservar responsable al momento de cada acción; un cambio de asignación no debe trasladar todo el crédito histórico. En logística medir tiempos desde despacho y mostrar mediana y percentil 90 además del promedio.</w:t>
      </w:r>
    </w:p>
    <w:p>
      <w:r>
        <w:br w:type="page"/>
      </w:r>
    </w:p>
    <w:p>
      <w:pPr>
        <w:pStyle w:val="Heading1"/>
      </w:pPr>
      <w:r>
        <w:t>9 Integraciones sincronización y contratos</w:t>
      </w:r>
    </w:p>
    <w:p>
      <w:pPr>
        <w:pStyle w:val="Heading2"/>
      </w:pPr>
      <w:r>
        <w:t>Contratos que debemos validar</w:t>
      </w:r>
    </w:p>
    <w:p>
      <w:r>
        <w:t>La página de integraciones de Dropi confirma un ecosistema de conexión, pero no sustituye la documentación y permisos de la cuenta. [11] La fase inicial debe obtener esquemas autorizados de pedidos, guías, eventos, costos, recaudos y wallet. Si alguno falta, usar exportación autorizada o mantener la métrica pendiente; no inferir cargos ni liquidaciones.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5544"/>
      </w:tblGrid>
      <w:tr>
        <w:trPr>
          <w:cantSplit/>
          <w:tblHeader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Ruta interna propuesta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POST /v1/imports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Recibir archivo, validar esquema y devolver batch_id.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POST /v1/sync-jobs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Programar extracción por origen, tienda y rango.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POST /v1/events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Persistir evento autenticado e iniciar procesamiento.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GET /v1/metrics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Devolver valores, filtros, corte, cobertura y versión.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GET /v1/orders/{id}/economics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Explicar ingresos, cargos, pauta y conciliación.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POST /v1/cases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Crear o actualizar caso y reflejarlo en GHL.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GET /v1/reconciliation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Listar discrepancias y registros pendientes.</w:t>
            </w:r>
          </w:p>
        </w:tc>
      </w:tr>
    </w:tbl>
    <w:p/>
    <w:p>
      <w:r>
        <w:t>Las rutas anteriores son de nuestra API; no representan endpoints de Dropi, Boostec o GHL. Todas exigirán identidad, permisos y aislamiento de tienda.</w:t>
      </w:r>
    </w:p>
    <w:p>
      <w:pPr>
        <w:pStyle w:val="Heading2"/>
      </w:pPr>
      <w:r>
        <w:t>Cargas e idempotencia</w:t>
      </w:r>
    </w:p>
    <w:p>
      <w:r>
        <w:t>Importar histórico por lotes y luego cambios por cursor o fecha disponible. Guardar source_id y una clave única por origen. Un archivo o webhook repetido no debe duplicar pedidos, cargos ni gasto. El gasto diario corregido se actualiza con upsert; no se suma una nueva vez. Guardar reversos y versiones de origen.</w:t>
      </w:r>
    </w:p>
    <w:p>
      <w:pPr>
        <w:pStyle w:val="Heading2"/>
      </w:pPr>
      <w:r>
        <w:t>Fiabilidad y seguridad</w:t>
      </w:r>
    </w:p>
    <w:p>
      <w:r>
        <w:t>Verificar firmas de webhooks Marketplace de GHL con X-GHL-Signature según su guía; un Custom Webhook de workflow usa autenticación configurada propia. [12] Confirmar recepción después de persistir y procesar en cola. Reintentar fallos transitorios con espera creciente; enviar errores definitivos a una bandeja revisable.</w:t>
      </w:r>
    </w:p>
    <w:p>
      <w:r>
        <w:t>Guardar secretos solo en servidor, aplicar permisos mínimos y ocultar datos personales innecesarios en logs. El iframe no transportará tokens maestros ni credenciales en la URL. Definir respaldo, restauración y retención de datos con el responsable del negocio antes del piloto.</w:t>
      </w:r>
    </w:p>
    <w:p>
      <w:r>
        <w:br w:type="page"/>
      </w:r>
    </w:p>
    <w:p>
      <w:pPr>
        <w:pStyle w:val="Heading1"/>
      </w:pPr>
      <w:r>
        <w:t>10 Actualización conciliación y alertas</w:t>
      </w:r>
    </w:p>
    <w:p>
      <w:pPr>
        <w:pStyle w:val="Heading2"/>
      </w:pPr>
      <w:r>
        <w:t>Frecuencia de actualización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384"/>
        <w:gridCol w:w="3744"/>
      </w:tblGrid>
      <w:tr>
        <w:trPr>
          <w:cantSplit/>
          <w:tblHeader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Fuente o proceso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Cadencia inicial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Pedidos y guías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Cada 15 a 30 minutos o por evento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Respetar cuotas y mostrar retraso.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Gasto publicitario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Cada 1 a 3 horas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Releer correcciones de días recientes.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Costos y wallet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Carga diaria y actualización disponible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Conciliar contra archivos o estados.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Métricas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Después de cargas válidas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Invalidar solo períodos afectados.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Cierre operativo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Revisión diaria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Pendientes visibles y responsable.</w:t>
            </w:r>
          </w:p>
        </w:tc>
      </w:tr>
    </w:tbl>
    <w:p/>
    <w:p>
      <w:r>
        <w:t>Son objetivos de diseño, no garantías de tiempo real. Los datos tendrán corte y estado por fuente. Una extracción fallida no borrará lo anterior ni hará parecer que el gasto fue cero.</w:t>
      </w:r>
    </w:p>
    <w:p>
      <w:pPr>
        <w:pStyle w:val="Heading2"/>
      </w:pPr>
      <w:r>
        <w:t>Conciliación propuesta</w:t>
      </w:r>
    </w:p>
    <w:p>
      <w:pPr>
        <w:pStyle w:val="ListBullet"/>
      </w:pPr>
      <w:r>
        <w:t>Pedidos: comparar conteo e importes del origen con la carga por tienda y rango.</w:t>
      </w:r>
    </w:p>
    <w:p>
      <w:pPr>
        <w:pStyle w:val="ListBullet"/>
      </w:pPr>
      <w:r>
        <w:t>Logística: detectar guías sin orden, eventos duplicados y cambios fuera de secuencia.</w:t>
      </w:r>
    </w:p>
    <w:p>
      <w:pPr>
        <w:pStyle w:val="ListBullet"/>
      </w:pPr>
      <w:r>
        <w:t>Publicidad: reconciliar gasto total por cuenta y día antes de asignarlo a productos.</w:t>
      </w:r>
    </w:p>
    <w:p>
      <w:pPr>
        <w:pStyle w:val="ListBullet"/>
      </w:pPr>
      <w:r>
        <w:t>Finanzas: comprobar movimientos, cargos, reversos y diferencias frente al saldo informado.</w:t>
      </w:r>
    </w:p>
    <w:p>
      <w:pPr>
        <w:pStyle w:val="ListBullet"/>
      </w:pPr>
      <w:r>
        <w:t>GHL: identificar oportunidades o casos faltantes y evitar réplicas duplicadas.</w:t>
      </w:r>
    </w:p>
    <w:p>
      <w:pPr>
        <w:pStyle w:val="Heading2"/>
      </w:pPr>
      <w:r>
        <w:t>Cómo se presentan las discrepancias</w:t>
      </w:r>
    </w:p>
    <w:p>
      <w:r>
        <w:t>Crear una bandeja con tipo, impacto, registros afectados, primera detección y responsable. Ejemplos: pedido entregado sin costo de producto, liquidación sin orden, anuncio sin oferta, guía sin transportadora o gasto no asignado. Permitir reprocesar después de corregir; todo ajuste manual guarda motivo, usuario y evidencia.</w:t>
      </w:r>
    </w:p>
    <w:p>
      <w:pPr>
        <w:pStyle w:val="Heading2"/>
      </w:pPr>
      <w:r>
        <w:t>Reglas de alertas de negocio</w:t>
      </w:r>
    </w:p>
    <w:p>
      <w:r>
        <w:t>Configurar una regla, un período de evaluación, un volumen mínimo y un intervalo de repetición. Por ejemplo, revisar una ruta de transportadora cuando una cohorte suficientemente madura acumule una tasa de devolución superior al umbral acordado. La alerta debe mostrar los pedidos y comparaciones que la originaron.</w:t>
      </w:r>
    </w:p>
    <w:p>
      <w:r>
        <w:t>La creación será idempotente: una condición abierta actualiza el caso existente. Al resolverse, conservar el historial y permitir un episodio nuevo solo si reaparece la condición. Las alertas financieras deben deshabilitarse o mostrarse provisionales cuando falten costos relevantes.</w:t>
      </w:r>
    </w:p>
    <w:p>
      <w:r>
        <w:br w:type="page"/>
      </w:r>
    </w:p>
    <w:p>
      <w:pPr>
        <w:pStyle w:val="Heading1"/>
      </w:pPr>
      <w:r>
        <w:t>11 Alcance y pruebas de aceptación</w:t>
      </w:r>
    </w:p>
    <w:p>
      <w:pPr>
        <w:pStyle w:val="Heading2"/>
      </w:pPr>
      <w:r>
        <w:t>MVP propuesto</w:t>
      </w:r>
    </w:p>
    <w:p>
      <w:r>
        <w:t>Una tienda, un país, COP, un operador y Meta Ads. Historial inicial de 90 días o todo lo autorizado si es menor. Importación, normalización, margen observado y conciliado, CPA solicitado y entregado, tablero logístico, novedades y atribución por anuncio. Exportación a CSV con filtros y corte. Objetivo de volumen inicial: validar hasta 50.000 pedidos en el entorno de prueba, sujeto al dimensionamiento real.</w:t>
      </w:r>
    </w:p>
    <w:p>
      <w:pPr>
        <w:pStyle w:val="Heading2"/>
      </w:pPr>
      <w:r>
        <w:t>Fases posteriores</w:t>
      </w:r>
    </w:p>
    <w:p>
      <w:r>
        <w:t>TikTok, varios operadores, multimoneda, pronóstico de entrega y utilidad esperada, costeo avanzado por SKU y consolidación de varias tiendas. No son dependencias del primer piloto. Las aprobaciones publicitarias y el acceso financiero pueden exigir una fase adicional.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832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Prueba crítica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Resultado requerido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Reimportar el mismo lote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Mismos totales y claves, sin duplicados.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Revisión del gasto de ayer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Actualizar el valor, sin sumarlo dos veces.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Un pedido con tres partidas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El gasto asignado conserva el total original.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Dos pedidos del mismo teléfono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Costos y estados independientes.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Recarga o retiro de wallet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Afecta caja, sin crear venta ni utilidad.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Orden entregada sin costos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Margen provisional y cobertura incompleta visible.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Devolución o ajuste tardío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Recalcular cohorte con rastro del ajuste.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Lead de anuncio A o B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Resolver oferta correcta y conservar origen.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Cohorte abierta y denominador cero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Mostrar pendientes y “sin datos” donde aplique.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Otro usuario u otra tienda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Rechazo de lectura o modificación no autorizada.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Cerrar tarea sin entrega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No aumentar artificialmente rescate logístico.</w:t>
            </w:r>
          </w:p>
        </w:tc>
      </w:tr>
    </w:tbl>
    <w:p/>
    <w:p>
      <w:pPr>
        <w:pStyle w:val="Heading2"/>
      </w:pPr>
      <w:r>
        <w:t>Criterio de entrega</w:t>
      </w:r>
    </w:p>
    <w:p>
      <w:r>
        <w:t>Superar todos los casos críticos. Un conjunto de datos de referencia, revisado por operaciones y finanzas, debe coincidir exactamente en conteos y en dinero según las reglas de redondeo. Cada total podrá rastrearse hasta registros de origen. Verificar tiempos de carga con el volumen acordado y obtener aprobación del diccionario de métricas antes de usar el tablero para decidir presupuestos.</w:t>
      </w:r>
    </w:p>
    <w:p>
      <w:r>
        <w:br w:type="page"/>
      </w:r>
    </w:p>
    <w:p>
      <w:pPr>
        <w:pStyle w:val="Heading1"/>
      </w:pPr>
      <w:r>
        <w:t>12 Plan de trabajo y costo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472"/>
        <w:gridCol w:w="208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Evidencia de salida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83A4A"/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9"/>
              </w:rPr>
              <w:t>Estimación propia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Viabilidad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Muestras de API o archivos, permisos y métricas aprobadas.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1 semana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Modelo y conectores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Carga histórica, claves, costos, gasto y pruebas de conciliación.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2 a 3 semanas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Tableros y GHL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Pantallas, filtros, permisos, casos y trazabilidad.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60" w:line="240" w:lineRule="auto"/>
            </w:pPr>
            <w:r>
              <w:rPr>
                <w:sz w:val="19"/>
              </w:rPr>
              <w:t>2 a 3 semanas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Piloto y estabilización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Pruebas, revisión financiera y manual operativo.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0F4F6"/>
          </w:tcPr>
          <w:p>
            <w:pPr>
              <w:spacing w:after="60" w:line="240" w:lineRule="auto"/>
            </w:pPr>
            <w:r>
              <w:rPr>
                <w:sz w:val="19"/>
              </w:rPr>
              <w:t>1 a 2 semanas</w:t>
            </w:r>
          </w:p>
        </w:tc>
      </w:tr>
    </w:tbl>
    <w:p/>
    <w:p>
      <w:r>
        <w:t>Rango de planificación: 6 a 9 semanas con un desarrollador de backend y datos, uno de interfaz y apoyo de implementación GHL, QA y finanzas. Algunas tareas se solapan. No es cotización; depende del acceso a wallet, recaudos, publicidad y datos históricos completos.</w:t>
      </w:r>
    </w:p>
    <w:p>
      <w:pPr>
        <w:pStyle w:val="Heading2"/>
      </w:pPr>
      <w:r>
        <w:t>Costos que debe estimar el equipo</w:t>
      </w:r>
    </w:p>
    <w:p>
      <w:r>
        <w:t>Separar construcción inicial de operación mensual. Incluir desarrollo, configuración GHL, pruebas, capacitación y mantenimiento de conectores. En operación: licencia atribuible de GHL, base, servidor, n8n, respaldo, monitoreo, mensajería utilizada y soporte. La IA es opcional para explicar indicadores; los cálculos financieros deben ser deterministas.</w:t>
      </w:r>
    </w:p>
    <w:p>
      <w:pPr>
        <w:pStyle w:val="Heading2"/>
      </w:pPr>
      <w:r>
        <w:t>Referencia de comprar frente a desarrollar</w:t>
      </w:r>
    </w:p>
    <w:p>
      <w:r>
        <w:t>La web consultada de Boostec publica plan gratuito de hasta 350 órdenes analizadas y planes mensuales de 110.000 COP para una tienda, 198.000 para dos y 308.000 para cuatro. Confirmar condiciones vigentes al contratar. [1]</w:t>
      </w:r>
    </w:p>
    <w:p>
      <w:r>
        <w:t>El desarrollo propio se justifica si necesitamos integrar nuestras acciones de GHL, reglas financieras, atribución y datos como una capacidad del negocio. Si la necesidad inmediata es únicamente ver informes estándar, conviene comparar el costo total a doce meses con una suscripción. Tener GHL no elimina el costo de construir y mantener la capa analítica.</w:t>
      </w:r>
    </w:p>
    <w:p>
      <w:pPr>
        <w:pStyle w:val="Heading2"/>
      </w:pPr>
      <w:r>
        <w:t>Entregables para el equipo técnico</w:t>
      </w:r>
    </w:p>
    <w:p>
      <w:r>
        <w:t>Especificación de fuentes, permisos y esquemas; diccionario de métricas; modelo de datos; conectores y migraciones; API documentada; tableros; workflows sin secretos; pruebas y conjunto de referencia; conciliación; monitoreo; guía de acceso y manual para resolver discrepancias.</w:t>
      </w:r>
    </w:p>
    <w:p>
      <w:pPr>
        <w:pStyle w:val="Heading2"/>
      </w:pPr>
      <w:r>
        <w:t>Primera demostración requerida</w:t>
      </w:r>
    </w:p>
    <w:p>
      <w:r>
        <w:t>Seleccionar un período real autorizado y mostrar el recorrido completo de un anuncio a una orden entregada: gasto, producto, costo, fletes, recaudo y margen. Incluir una devolución y un ajuste. Esa demostración definirá qué automatizar y qué datos deberán seguir entrando por archivo.</w:t>
      </w:r>
    </w:p>
    <w:p>
      <w:r>
        <w:br w:type="page"/>
      </w:r>
    </w:p>
    <w:p>
      <w:pPr>
        <w:pStyle w:val="Heading1"/>
      </w:pPr>
      <w:r>
        <w:t>13 Fuentes para el equipo técnico</w:t>
      </w:r>
    </w:p>
    <w:p>
      <w:r>
        <w:t>Consulta realizada el 15 de octubre de 2026. Las capacidades comerciales se atribuyen a sus proveedores; los diseños, fórmulas, umbrales y plazos son propuestas para este proyecto.</w:t>
      </w:r>
    </w:p>
    <w:p>
      <w:pPr>
        <w:spacing w:after="220"/>
      </w:pPr>
      <w:r>
        <w:rPr>
          <w:b/>
        </w:rPr>
        <w:t xml:space="preserve">1 Boostec  </w:t>
      </w:r>
      <w:hyperlink r:id="rId10">
        <w:r>
          <w:rPr>
            <w:color w:val="185B85"/>
          </w:rPr>
          <w:t>Funciones testimonios y precios publicados</w:t>
        </w:r>
      </w:hyperlink>
    </w:p>
    <w:p>
      <w:pPr>
        <w:spacing w:after="220"/>
      </w:pPr>
      <w:r>
        <w:rPr>
          <w:b/>
        </w:rPr>
        <w:t xml:space="preserve">2 Boostec  </w:t>
      </w:r>
      <w:hyperlink r:id="rId11">
        <w:r>
          <w:rPr>
            <w:color w:val="185B85"/>
          </w:rPr>
          <w:t>Sincronización y almacenamiento en sus términos</w:t>
        </w:r>
      </w:hyperlink>
    </w:p>
    <w:p>
      <w:pPr>
        <w:spacing w:after="220"/>
      </w:pPr>
      <w:r>
        <w:rPr>
          <w:b/>
        </w:rPr>
        <w:t xml:space="preserve">3 Mastershop  </w:t>
      </w:r>
      <w:hyperlink r:id="rId12">
        <w:r>
          <w:rPr>
            <w:color w:val="185B85"/>
          </w:rPr>
          <w:t>Referencia a integración con Boostec</w:t>
        </w:r>
      </w:hyperlink>
    </w:p>
    <w:p>
      <w:pPr>
        <w:spacing w:after="220"/>
      </w:pPr>
      <w:r>
        <w:rPr>
          <w:b/>
        </w:rPr>
        <w:t xml:space="preserve">4 HighLevel  </w:t>
      </w:r>
      <w:hyperlink r:id="rId13">
        <w:r>
          <w:rPr>
            <w:color w:val="185B85"/>
          </w:rPr>
          <w:t>Campos numéricos y monetarios como métricas</w:t>
        </w:r>
      </w:hyperlink>
    </w:p>
    <w:p>
      <w:pPr>
        <w:spacing w:after="220"/>
      </w:pPr>
      <w:r>
        <w:rPr>
          <w:b/>
        </w:rPr>
        <w:t xml:space="preserve">5 HighLevel  </w:t>
      </w:r>
      <w:hyperlink r:id="rId14">
        <w:r>
          <w:rPr>
            <w:color w:val="185B85"/>
          </w:rPr>
          <w:t>Creación y edición de Custom Objects</w:t>
        </w:r>
      </w:hyperlink>
    </w:p>
    <w:p>
      <w:pPr>
        <w:spacing w:after="220"/>
      </w:pPr>
      <w:r>
        <w:rPr>
          <w:b/>
        </w:rPr>
        <w:t xml:space="preserve">6 HighLevel  </w:t>
      </w:r>
      <w:hyperlink r:id="rId15">
        <w:r>
          <w:rPr>
            <w:color w:val="185B85"/>
          </w:rPr>
          <w:t>Custom Menu Links para acceso al módulo</w:t>
        </w:r>
      </w:hyperlink>
    </w:p>
    <w:p>
      <w:pPr>
        <w:spacing w:after="220"/>
      </w:pPr>
      <w:r>
        <w:rPr>
          <w:b/>
        </w:rPr>
        <w:t xml:space="preserve">7 HighLevel  </w:t>
      </w:r>
      <w:hyperlink r:id="rId16">
        <w:r>
          <w:rPr>
            <w:color w:val="185B85"/>
          </w:rPr>
          <w:t>Contenido externo en dashboards</w:t>
        </w:r>
      </w:hyperlink>
    </w:p>
    <w:p>
      <w:pPr>
        <w:spacing w:after="220"/>
      </w:pPr>
      <w:r>
        <w:rPr>
          <w:b/>
        </w:rPr>
        <w:t xml:space="preserve">8 HighLevel  </w:t>
      </w:r>
      <w:hyperlink r:id="rId17">
        <w:r>
          <w:rPr>
            <w:color w:val="185B85"/>
          </w:rPr>
          <w:t>Trigger y filtros Click to WhatsApp Ads</w:t>
        </w:r>
      </w:hyperlink>
    </w:p>
    <w:p>
      <w:pPr>
        <w:spacing w:after="220"/>
      </w:pPr>
      <w:r>
        <w:rPr>
          <w:b/>
        </w:rPr>
        <w:t xml:space="preserve">9 HighLevel  </w:t>
      </w:r>
      <w:hyperlink r:id="rId18">
        <w:r>
          <w:rPr>
            <w:color w:val="185B85"/>
          </w:rPr>
          <w:t>Ad Manager Public APIs e informes</w:t>
        </w:r>
      </w:hyperlink>
    </w:p>
    <w:p>
      <w:pPr>
        <w:spacing w:after="220"/>
      </w:pPr>
      <w:r>
        <w:rPr>
          <w:b/>
        </w:rPr>
        <w:t xml:space="preserve">10 TikTok  </w:t>
      </w:r>
      <w:hyperlink r:id="rId19">
        <w:r>
          <w:rPr>
            <w:color w:val="185B85"/>
          </w:rPr>
          <w:t>API for Business y Reporting</w:t>
        </w:r>
      </w:hyperlink>
    </w:p>
    <w:p>
      <w:pPr>
        <w:spacing w:after="220"/>
      </w:pPr>
      <w:r>
        <w:rPr>
          <w:b/>
        </w:rPr>
        <w:t xml:space="preserve">11 Dropi  </w:t>
      </w:r>
      <w:hyperlink r:id="rId20">
        <w:r>
          <w:rPr>
            <w:color w:val="185B85"/>
          </w:rPr>
          <w:t>Integraciones de la plataforma</w:t>
        </w:r>
      </w:hyperlink>
    </w:p>
    <w:p>
      <w:pPr>
        <w:spacing w:after="220"/>
      </w:pPr>
      <w:r>
        <w:rPr>
          <w:b/>
        </w:rPr>
        <w:t xml:space="preserve">12 HighLevel API  </w:t>
      </w:r>
      <w:hyperlink r:id="rId21">
        <w:r>
          <w:rPr>
            <w:color w:val="185B85"/>
          </w:rPr>
          <w:t>Webhooks y verificación de firmas</w:t>
        </w:r>
      </w:hyperlink>
    </w:p>
    <w:p>
      <w:pPr>
        <w:pStyle w:val="Heading2"/>
      </w:pPr>
      <w:r>
        <w:t>Validaciones que requieren acceso del negocio</w:t>
      </w:r>
    </w:p>
    <w:p>
      <w:r>
        <w:t>Confirmar APIs y exportaciones de Dropi, acceso de lectura a publicidad, estructura de cargos y liquidaciones, funciones habilitadas en la subcuenta GHL y muestras históricas con devoluciones y ajustes. La existencia de un token de catálogo no demuestra acceso a wallet, recaudos o reportes financieros.</w:t>
      </w:r>
    </w:p>
    <w:sectPr w:rsidR="00FC693F" w:rsidRPr="0006063C" w:rsidSect="00034616">
      <w:footerReference w:type="default" r:id="rId9"/>
      <w:pgSz w:w="11952" w:h="16848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Control de dropshipping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oostec.app/" TargetMode="External"/><Relationship Id="rId11" Type="http://schemas.openxmlformats.org/officeDocument/2006/relationships/hyperlink" Target="https://www.boostec.app/terminos-y-condiciones" TargetMode="External"/><Relationship Id="rId12" Type="http://schemas.openxmlformats.org/officeDocument/2006/relationships/hyperlink" Target="https://mastershop.com/blog/plataformas-dropshipping-colombia" TargetMode="External"/><Relationship Id="rId13" Type="http://schemas.openxmlformats.org/officeDocument/2006/relationships/hyperlink" Target="https://help.gohighlevel.com/support/solutions/articles/155000008495-using-custom-fields-as-metrics-in-dashboards-and-custom-reports" TargetMode="External"/><Relationship Id="rId14" Type="http://schemas.openxmlformats.org/officeDocument/2006/relationships/hyperlink" Target="https://help.gohighlevel.com/support/solutions/articles/155000003897" TargetMode="External"/><Relationship Id="rId15" Type="http://schemas.openxmlformats.org/officeDocument/2006/relationships/hyperlink" Target="https://help.gohighlevel.com/support/solutions/articles/48001185767-customizing-highlevel-menus-a-guide-to-custom-menu-links" TargetMode="External"/><Relationship Id="rId16" Type="http://schemas.openxmlformats.org/officeDocument/2006/relationships/hyperlink" Target="https://help.gohighlevel.com/support/solutions/articles/155000001627-embed-content-on-dashboards-with-our-embed-widgets" TargetMode="External"/><Relationship Id="rId17" Type="http://schemas.openxmlformats.org/officeDocument/2006/relationships/hyperlink" Target="https://help.gohighlevel.com/support/solutions/articles/155000005602" TargetMode="External"/><Relationship Id="rId18" Type="http://schemas.openxmlformats.org/officeDocument/2006/relationships/hyperlink" Target="https://help.gohighlevel.com/support/solutions/articles/155000008348-ad-manager-public-apis-campaign-creation-reporting" TargetMode="External"/><Relationship Id="rId19" Type="http://schemas.openxmlformats.org/officeDocument/2006/relationships/hyperlink" Target="https://business-api.tiktok.com/portal/docs?id=1737720893061122" TargetMode="External"/><Relationship Id="rId20" Type="http://schemas.openxmlformats.org/officeDocument/2006/relationships/hyperlink" Target="https://dropi.co/integraciones" TargetMode="External"/><Relationship Id="rId21" Type="http://schemas.openxmlformats.org/officeDocument/2006/relationships/hyperlink" Target="https://marketplace.gohighlevel.com/docs/webhook/WebhookIntegrationGuid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financiero y logístico del dropshipping con GHL</dc:title>
  <dc:subject>Proyecto funcional y técnico inspirado en Boostec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