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64A84" w14:textId="35D8AE7C" w:rsidR="002868E2" w:rsidRPr="00376CC5" w:rsidRDefault="00B517CD" w:rsidP="00376CC5">
      <w:pPr>
        <w:pStyle w:val="Title"/>
      </w:pPr>
      <w:r w:rsidRPr="00B517CD">
        <w:t>Changes in gene expression under differing temperature regimes of infected </w:t>
      </w:r>
      <w:r w:rsidRPr="00B517CD">
        <w:rPr>
          <w:i/>
          <w:iCs/>
        </w:rPr>
        <w:t>Chionoecetes bairdi </w:t>
      </w:r>
      <w:r w:rsidRPr="00B517CD">
        <w:t>and the parasitic dinoflagellate </w:t>
      </w:r>
      <w:r w:rsidRPr="00B517CD">
        <w:rPr>
          <w:i/>
          <w:iCs/>
        </w:rPr>
        <w:t>Hematodinium </w:t>
      </w:r>
      <w:r w:rsidRPr="00B517CD">
        <w:t>sp.</w:t>
      </w:r>
    </w:p>
    <w:p w14:paraId="337586F1" w14:textId="7BA37AF7" w:rsidR="002868E2" w:rsidRPr="00376CC5" w:rsidRDefault="00B517CD" w:rsidP="00651CA2">
      <w:pPr>
        <w:pStyle w:val="AuthorList"/>
      </w:pPr>
      <w:r>
        <w:t>Aidan Coyle</w:t>
      </w:r>
      <w:r w:rsidR="00A75F87" w:rsidRPr="00A545C6">
        <w:rPr>
          <w:vertAlign w:val="superscript"/>
        </w:rPr>
        <w:t>1</w:t>
      </w:r>
      <w:r w:rsidR="002868E2" w:rsidRPr="00376CC5">
        <w:t>,</w:t>
      </w:r>
      <w:r w:rsidRPr="00B517CD">
        <w:t xml:space="preserve"> </w:t>
      </w:r>
      <w:r>
        <w:t>Sam Whit</w:t>
      </w:r>
      <w:r>
        <w:t>e</w:t>
      </w:r>
      <w:r w:rsidR="00B216A2">
        <w:rPr>
          <w:vertAlign w:val="superscript"/>
        </w:rPr>
        <w:t>1</w:t>
      </w:r>
      <w:r w:rsidRPr="00376CC5">
        <w:t xml:space="preserve">, </w:t>
      </w:r>
      <w:r>
        <w:t>Grace Crandall</w:t>
      </w:r>
      <w:r w:rsidR="00B216A2">
        <w:rPr>
          <w:vertAlign w:val="superscript"/>
        </w:rPr>
        <w:t>1</w:t>
      </w:r>
      <w:r w:rsidRPr="00376CC5">
        <w:t xml:space="preserve">, </w:t>
      </w:r>
      <w:r>
        <w:t>Pam Jensen</w:t>
      </w:r>
      <w:r w:rsidR="00B216A2">
        <w:rPr>
          <w:vertAlign w:val="superscript"/>
        </w:rPr>
        <w:t>2</w:t>
      </w:r>
      <w:r w:rsidRPr="00376CC5">
        <w:t xml:space="preserve">, </w:t>
      </w:r>
      <w:r>
        <w:t>Steven Roberts</w:t>
      </w:r>
      <w:r w:rsidRPr="00A545C6">
        <w:rPr>
          <w:vertAlign w:val="superscript"/>
        </w:rPr>
        <w:t>1</w:t>
      </w:r>
      <w:r w:rsidRPr="00376CC5">
        <w:t xml:space="preserve"> </w:t>
      </w:r>
    </w:p>
    <w:p w14:paraId="626845AB" w14:textId="08AA2C7E" w:rsidR="002868E2" w:rsidRDefault="002868E2" w:rsidP="00B517CD">
      <w:pPr>
        <w:spacing w:before="240" w:after="0"/>
        <w:rPr>
          <w:rFonts w:cs="Times New Roman"/>
          <w:szCs w:val="24"/>
        </w:rPr>
      </w:pPr>
      <w:r w:rsidRPr="00376CC5">
        <w:rPr>
          <w:rFonts w:cs="Times New Roman"/>
          <w:szCs w:val="24"/>
          <w:vertAlign w:val="superscript"/>
        </w:rPr>
        <w:t>1</w:t>
      </w:r>
      <w:r w:rsidR="00B517CD">
        <w:rPr>
          <w:rFonts w:cs="Times New Roman"/>
          <w:szCs w:val="24"/>
        </w:rPr>
        <w:t>Roberts Lab, School of Aquatic and Fishery Sciences, University of Washington, Seattle, WA, United States</w:t>
      </w:r>
    </w:p>
    <w:p w14:paraId="0379A017" w14:textId="230E3E5B" w:rsidR="00B216A2" w:rsidRPr="00B216A2" w:rsidRDefault="00B216A2" w:rsidP="00B517CD">
      <w:pPr>
        <w:spacing w:before="240" w:after="0"/>
        <w:rPr>
          <w:rFonts w:cs="Times New Roman"/>
          <w:b/>
          <w:szCs w:val="24"/>
        </w:rPr>
      </w:pPr>
      <w:r>
        <w:rPr>
          <w:rFonts w:cs="Times New Roman"/>
          <w:szCs w:val="24"/>
          <w:vertAlign w:val="superscript"/>
        </w:rPr>
        <w:t>2</w:t>
      </w:r>
      <w:r>
        <w:rPr>
          <w:rFonts w:cs="Times New Roman"/>
          <w:szCs w:val="24"/>
        </w:rPr>
        <w:t>MolaMarine, 3808 Sundown Drive, Bremerton, WA, United States</w:t>
      </w:r>
    </w:p>
    <w:p w14:paraId="55458F15" w14:textId="3F745E23" w:rsidR="002868E2" w:rsidRPr="00376CC5" w:rsidRDefault="002868E2" w:rsidP="00671D9A">
      <w:pPr>
        <w:spacing w:before="240" w:after="0"/>
        <w:rPr>
          <w:rFonts w:cs="Times New Roman"/>
          <w:b/>
          <w:szCs w:val="24"/>
        </w:rPr>
      </w:pPr>
      <w:r w:rsidRPr="00376CC5">
        <w:rPr>
          <w:rFonts w:cs="Times New Roman"/>
          <w:b/>
          <w:szCs w:val="24"/>
        </w:rPr>
        <w:t xml:space="preserve">* Correspondence: </w:t>
      </w:r>
      <w:r w:rsidR="00671D9A" w:rsidRPr="00376CC5">
        <w:rPr>
          <w:rFonts w:cs="Times New Roman"/>
          <w:b/>
          <w:szCs w:val="24"/>
        </w:rPr>
        <w:br/>
      </w:r>
      <w:r w:rsidR="00B517CD">
        <w:rPr>
          <w:rFonts w:cs="Times New Roman"/>
          <w:szCs w:val="24"/>
        </w:rPr>
        <w:t>Aidan Coyle</w:t>
      </w:r>
      <w:r w:rsidR="00671D9A" w:rsidRPr="00376CC5">
        <w:rPr>
          <w:rFonts w:cs="Times New Roman"/>
          <w:szCs w:val="24"/>
        </w:rPr>
        <w:br/>
      </w:r>
      <w:r w:rsidR="00B517CD">
        <w:rPr>
          <w:rFonts w:cs="Times New Roman"/>
          <w:szCs w:val="24"/>
        </w:rPr>
        <w:t>afcoyle</w:t>
      </w:r>
      <w:r w:rsidRPr="00376CC5">
        <w:rPr>
          <w:rFonts w:cs="Times New Roman"/>
          <w:szCs w:val="24"/>
        </w:rPr>
        <w:t>@u</w:t>
      </w:r>
      <w:r w:rsidR="00B517CD">
        <w:rPr>
          <w:rFonts w:cs="Times New Roman"/>
          <w:szCs w:val="24"/>
        </w:rPr>
        <w:t>w</w:t>
      </w:r>
      <w:r w:rsidRPr="00376CC5">
        <w:rPr>
          <w:rFonts w:cs="Times New Roman"/>
          <w:szCs w:val="24"/>
        </w:rPr>
        <w:t>.edu</w:t>
      </w:r>
    </w:p>
    <w:p w14:paraId="688EE9ED" w14:textId="0BB2DF96" w:rsidR="00EA3D3C" w:rsidRPr="00376CC5" w:rsidRDefault="00817DD6" w:rsidP="00651CA2">
      <w:pPr>
        <w:pStyle w:val="AuthorList"/>
      </w:pPr>
      <w:r w:rsidRPr="00376CC5">
        <w:t xml:space="preserve">Keywords: </w:t>
      </w:r>
      <w:r w:rsidR="00B517CD">
        <w:t>transcriptomics, parasitic dinoflagellate, host-parasite interactions, crustacean, immune system, heat wave, temperature</w:t>
      </w:r>
      <w:r w:rsidR="00EA6317">
        <w:t>, Hematodinium</w:t>
      </w:r>
    </w:p>
    <w:p w14:paraId="4DB10602" w14:textId="77777777" w:rsidR="008E2B54" w:rsidRPr="00376CC5" w:rsidRDefault="00EA3D3C" w:rsidP="00147395">
      <w:pPr>
        <w:pStyle w:val="AuthorList"/>
      </w:pPr>
      <w:r w:rsidRPr="00376CC5">
        <w:t>Abstract</w:t>
      </w:r>
    </w:p>
    <w:p w14:paraId="0F5200D5" w14:textId="6B628BF7" w:rsidR="00EA3D3C" w:rsidRPr="00376CC5" w:rsidRDefault="00B517CD" w:rsidP="00147395">
      <w:pPr>
        <w:rPr>
          <w:b/>
          <w:szCs w:val="24"/>
        </w:rPr>
      </w:pPr>
      <w:r w:rsidRPr="00B517CD">
        <w:rPr>
          <w:szCs w:val="24"/>
        </w:rPr>
        <w:t xml:space="preserve">Parasites can have profound effects on their hosts, with these effects often shifting in changing environmental conditions. The dinoflagellate </w:t>
      </w:r>
      <w:r w:rsidRPr="00B517CD">
        <w:rPr>
          <w:i/>
          <w:iCs/>
          <w:szCs w:val="24"/>
        </w:rPr>
        <w:t xml:space="preserve">Hematodinium </w:t>
      </w:r>
      <w:r w:rsidRPr="00B517CD">
        <w:rPr>
          <w:szCs w:val="24"/>
        </w:rPr>
        <w:t xml:space="preserve">sp. is a common and deadly parasite of the crab </w:t>
      </w:r>
      <w:r w:rsidRPr="00B517CD">
        <w:rPr>
          <w:i/>
          <w:iCs/>
          <w:szCs w:val="24"/>
        </w:rPr>
        <w:t>Chionoecetes bairdi</w:t>
      </w:r>
      <w:r w:rsidRPr="00B517CD">
        <w:rPr>
          <w:szCs w:val="24"/>
        </w:rPr>
        <w:t xml:space="preserve">, a species vulnerable to rising ocean temperatures. To examine the impact of parasitism under various temperature conditions, infected crabs (n = 9) were held under three temperature regimes (4°C, 7.5°C, and 10°C) for 17 days. </w:t>
      </w:r>
      <w:proofErr w:type="spellStart"/>
      <w:r w:rsidRPr="00B517CD">
        <w:rPr>
          <w:szCs w:val="24"/>
        </w:rPr>
        <w:t>RNAseq</w:t>
      </w:r>
      <w:proofErr w:type="spellEnd"/>
      <w:r w:rsidRPr="00B517CD">
        <w:rPr>
          <w:szCs w:val="24"/>
        </w:rPr>
        <w:t xml:space="preserve"> was performed on samples from three timepoints, and the relationships of temperature and time to gene expression were examined. Transcriptomes for </w:t>
      </w:r>
      <w:r w:rsidRPr="00B517CD">
        <w:rPr>
          <w:i/>
          <w:iCs/>
          <w:szCs w:val="24"/>
        </w:rPr>
        <w:t>C. bairdi</w:t>
      </w:r>
      <w:r w:rsidRPr="00B517CD">
        <w:rPr>
          <w:szCs w:val="24"/>
        </w:rPr>
        <w:t xml:space="preserve"> and </w:t>
      </w:r>
      <w:proofErr w:type="spellStart"/>
      <w:r w:rsidRPr="00B517CD">
        <w:rPr>
          <w:szCs w:val="24"/>
        </w:rPr>
        <w:t>Alveolata</w:t>
      </w:r>
      <w:proofErr w:type="spellEnd"/>
      <w:r w:rsidRPr="00B517CD">
        <w:rPr>
          <w:szCs w:val="24"/>
        </w:rPr>
        <w:t xml:space="preserve"> symbiotes were created, and genes linked to immune function were characterized within both host and parasite. Within the host, 1721 contigs were differentially expressed in response to a temperature increase, with 86% of these increased in expression. In total, 3013 contigs linked to temperature response were identified. Additionally, numerous changes in biological processes were observed in </w:t>
      </w:r>
      <w:r w:rsidRPr="00B517CD">
        <w:rPr>
          <w:i/>
          <w:iCs/>
          <w:szCs w:val="24"/>
        </w:rPr>
        <w:t>Hematodinium</w:t>
      </w:r>
      <w:r w:rsidRPr="00B517CD">
        <w:rPr>
          <w:szCs w:val="24"/>
        </w:rPr>
        <w:t xml:space="preserve"> over the course of the experiment, including development and microtubule-based processes and ribosomal assembly. Through understanding the impact of changes in temperature on gene expression within both </w:t>
      </w:r>
      <w:r w:rsidRPr="00B517CD">
        <w:rPr>
          <w:i/>
          <w:iCs/>
          <w:szCs w:val="24"/>
        </w:rPr>
        <w:t>Hematodinium</w:t>
      </w:r>
      <w:r w:rsidRPr="00B517CD">
        <w:rPr>
          <w:szCs w:val="24"/>
        </w:rPr>
        <w:t xml:space="preserve"> and infected </w:t>
      </w:r>
      <w:r w:rsidRPr="00B517CD">
        <w:rPr>
          <w:i/>
          <w:iCs/>
          <w:szCs w:val="24"/>
        </w:rPr>
        <w:t>C. bairdi</w:t>
      </w:r>
      <w:r w:rsidRPr="00B517CD">
        <w:rPr>
          <w:szCs w:val="24"/>
        </w:rPr>
        <w:t>, we provide a more complete picture of the response of these species to rising ocean temperatures.</w:t>
      </w:r>
    </w:p>
    <w:p w14:paraId="57F6A29A" w14:textId="77777777" w:rsidR="00EA3D3C" w:rsidRPr="00376CC5" w:rsidRDefault="00EA3D3C" w:rsidP="00D9503C">
      <w:pPr>
        <w:pStyle w:val="Heading1"/>
      </w:pPr>
      <w:r w:rsidRPr="00376CC5">
        <w:t>Introduction</w:t>
      </w:r>
    </w:p>
    <w:p w14:paraId="056ACCB9" w14:textId="7BCE016F" w:rsidR="00C361AA" w:rsidRPr="00C361AA" w:rsidRDefault="00C361AA" w:rsidP="00C361AA">
      <w:r w:rsidRPr="00C361AA">
        <w:t xml:space="preserve">Parasites impact their hosts in a wide variety of ways, and thus can play </w:t>
      </w:r>
      <w:proofErr w:type="gramStart"/>
      <w:r w:rsidRPr="00C361AA">
        <w:t>a number of</w:t>
      </w:r>
      <w:proofErr w:type="gramEnd"/>
      <w:r w:rsidRPr="00C361AA">
        <w:t xml:space="preserve"> ecological roles. In addition to altering the behavior and physiology of the host, parasites can shift competitive balance within the host, either excluding other parasites or making the host more susceptible to additional infections, as demonstrated by human infections of </w:t>
      </w:r>
      <w:r w:rsidRPr="00C361AA">
        <w:rPr>
          <w:i/>
          <w:iCs/>
        </w:rPr>
        <w:t>Giardia</w:t>
      </w:r>
      <w:r w:rsidRPr="00C361AA">
        <w:t xml:space="preserve"> and helminths (Martin et al. 2013). They can also shift community composition, as shown by the virus-mediated replacement of native red squirrels by invasive gray squirrels across Britain (Tompkins et al. 2003). Finally, parasites can change the composition of ecosystems. After the eradication of rinderpest in Africa the population of wildebeest exploded. The increased grazing sharply reduced fires, which resulted in increased tree </w:t>
      </w:r>
      <w:r w:rsidRPr="00C361AA">
        <w:lastRenderedPageBreak/>
        <w:t>cover (</w:t>
      </w:r>
      <w:proofErr w:type="spellStart"/>
      <w:r w:rsidRPr="00C361AA">
        <w:t>Holdo</w:t>
      </w:r>
      <w:proofErr w:type="spellEnd"/>
      <w:r w:rsidRPr="00C361AA">
        <w:t xml:space="preserve"> et al. 2009). Clearly, understanding a parasite can be crucial to understanding the dynamics of an ecosystem. Furthermore, highly pathogenic parasites, especially those with common hosts, are more likely to play a role in ecological structuring (Wood &amp; Johnson 2015). </w:t>
      </w:r>
    </w:p>
    <w:p w14:paraId="44CD84D6" w14:textId="27F241BB" w:rsidR="00C361AA" w:rsidRPr="00C361AA" w:rsidRDefault="00C361AA" w:rsidP="00C361AA">
      <w:pPr>
        <w:rPr>
          <w:szCs w:val="24"/>
        </w:rPr>
      </w:pPr>
      <w:r w:rsidRPr="00C361AA">
        <w:rPr>
          <w:szCs w:val="24"/>
        </w:rPr>
        <w:t xml:space="preserve">The parasitic dinoflagellate </w:t>
      </w:r>
      <w:r w:rsidRPr="00C361AA">
        <w:rPr>
          <w:i/>
          <w:iCs/>
          <w:szCs w:val="24"/>
        </w:rPr>
        <w:t>Hematodinium</w:t>
      </w:r>
      <w:r w:rsidRPr="00C361AA">
        <w:rPr>
          <w:szCs w:val="24"/>
        </w:rPr>
        <w:t xml:space="preserve"> is a host generalist, infecting over 40 species of crab, shrimp, and lobster, including many important species for commercial fisheries and aquaculture (Li et al. 2021). Outbreaks have occurred globally, often causing major economic damage (Li et al. 2021). Prior to 1985, only six studies described </w:t>
      </w:r>
      <w:r w:rsidRPr="00C361AA">
        <w:rPr>
          <w:i/>
          <w:iCs/>
          <w:szCs w:val="24"/>
        </w:rPr>
        <w:t>Hematodinium</w:t>
      </w:r>
      <w:r w:rsidRPr="00C361AA">
        <w:rPr>
          <w:szCs w:val="24"/>
        </w:rPr>
        <w:t xml:space="preserve"> infections, all of which were confined to France and the east coast of the United States (Morado et al. 2011). In the following decades, </w:t>
      </w:r>
      <w:r w:rsidRPr="00C361AA">
        <w:rPr>
          <w:i/>
          <w:iCs/>
          <w:szCs w:val="24"/>
        </w:rPr>
        <w:t>Hematodinium</w:t>
      </w:r>
      <w:r w:rsidRPr="00C361AA">
        <w:rPr>
          <w:szCs w:val="24"/>
        </w:rPr>
        <w:t xml:space="preserve"> was observed throughout the North Atlantic, North Pacific, China, and Australia (Small 2012). Today, new hosts and ranges are regularly reported (Li et al. 2021; Ryazanova et al. 2021). In some </w:t>
      </w:r>
      <w:r w:rsidR="003D562B">
        <w:rPr>
          <w:szCs w:val="24"/>
        </w:rPr>
        <w:t xml:space="preserve">host-parasite </w:t>
      </w:r>
      <w:r w:rsidRPr="00C361AA">
        <w:rPr>
          <w:szCs w:val="24"/>
        </w:rPr>
        <w:t xml:space="preserve">systems its prevalence is correlated with a warming climate, while in others no such correlation appears (Morado et al. 2011). Within many hosts, </w:t>
      </w:r>
      <w:r w:rsidRPr="00C361AA">
        <w:rPr>
          <w:i/>
          <w:iCs/>
          <w:szCs w:val="24"/>
        </w:rPr>
        <w:t>Hematodinium</w:t>
      </w:r>
      <w:r w:rsidRPr="00C361AA">
        <w:rPr>
          <w:szCs w:val="24"/>
        </w:rPr>
        <w:t xml:space="preserve"> prevalence varies seasonally (Eaton et al. 1991; Messick 1994; Hamilton et al. 2009; Davies et al. 2019). </w:t>
      </w:r>
    </w:p>
    <w:p w14:paraId="5EDCC32F" w14:textId="61A9A8D4" w:rsidR="00C361AA" w:rsidRPr="00C361AA" w:rsidRDefault="00C361AA" w:rsidP="00C361AA">
      <w:pPr>
        <w:rPr>
          <w:szCs w:val="24"/>
        </w:rPr>
      </w:pPr>
      <w:r w:rsidRPr="00C361AA">
        <w:rPr>
          <w:i/>
          <w:iCs/>
          <w:szCs w:val="24"/>
        </w:rPr>
        <w:t>Hematodinium</w:t>
      </w:r>
      <w:r w:rsidRPr="00C361AA">
        <w:rPr>
          <w:szCs w:val="24"/>
        </w:rPr>
        <w:t xml:space="preserve"> has an exceptionally complex life cycle, with in vitro experiments identifying at least 10 distinct stages (Li et al. 2011). Heavily infected host individuals often produce large numbers of </w:t>
      </w:r>
      <w:proofErr w:type="spellStart"/>
      <w:r w:rsidRPr="00C361AA">
        <w:rPr>
          <w:szCs w:val="24"/>
        </w:rPr>
        <w:t>dinospores</w:t>
      </w:r>
      <w:proofErr w:type="spellEnd"/>
      <w:r w:rsidRPr="00C361AA">
        <w:rPr>
          <w:szCs w:val="24"/>
        </w:rPr>
        <w:t xml:space="preserve"> (Li et al. 2010), which are presumed to be the infective stage. Infections occur predominantly through waterborne transmission, though the specific method of entry into the host is unknown (Shields et al. 2017). In numerous host species, including </w:t>
      </w:r>
      <w:r w:rsidRPr="00C361AA">
        <w:rPr>
          <w:i/>
          <w:iCs/>
          <w:szCs w:val="24"/>
        </w:rPr>
        <w:t>Chionoecetes</w:t>
      </w:r>
      <w:r w:rsidR="00EA6317">
        <w:rPr>
          <w:i/>
          <w:iCs/>
          <w:szCs w:val="24"/>
        </w:rPr>
        <w:t xml:space="preserve"> </w:t>
      </w:r>
      <w:r w:rsidR="00EA6317">
        <w:rPr>
          <w:szCs w:val="24"/>
        </w:rPr>
        <w:t>spp.</w:t>
      </w:r>
      <w:r w:rsidRPr="00C361AA">
        <w:rPr>
          <w:szCs w:val="24"/>
        </w:rPr>
        <w:t xml:space="preserve">, infection is closely associated with molting (Shields et al. 2007, Messick 1994; Meyers et al. 1990), with speculation that small cracks in the integument of a freshly molted crab allow entry of </w:t>
      </w:r>
      <w:r w:rsidRPr="00C361AA">
        <w:rPr>
          <w:i/>
          <w:iCs/>
          <w:szCs w:val="24"/>
        </w:rPr>
        <w:t>Hematodinium</w:t>
      </w:r>
      <w:r w:rsidRPr="00C361AA">
        <w:rPr>
          <w:szCs w:val="24"/>
        </w:rPr>
        <w:t xml:space="preserve"> </w:t>
      </w:r>
      <w:proofErr w:type="spellStart"/>
      <w:r w:rsidRPr="00C361AA">
        <w:rPr>
          <w:szCs w:val="24"/>
        </w:rPr>
        <w:t>dinospores</w:t>
      </w:r>
      <w:proofErr w:type="spellEnd"/>
      <w:r w:rsidRPr="00C361AA">
        <w:rPr>
          <w:szCs w:val="24"/>
        </w:rPr>
        <w:t xml:space="preserve"> (Meyers et al. 1990). Upon entering the host, the dinoflagellate proliferates within the hemolymph and organs, eventually resulting in respiratory dysfunction, extreme lethargy, and mortality (Stentiford &amp; Shields 2005). </w:t>
      </w:r>
    </w:p>
    <w:p w14:paraId="58FE1825" w14:textId="0B58D181" w:rsidR="00C361AA" w:rsidRPr="00C361AA" w:rsidRDefault="00C361AA" w:rsidP="00C361AA">
      <w:pPr>
        <w:rPr>
          <w:szCs w:val="24"/>
        </w:rPr>
      </w:pPr>
      <w:r w:rsidRPr="00C361AA">
        <w:rPr>
          <w:szCs w:val="24"/>
        </w:rPr>
        <w:t>Distributed along the continental shelf from Oregon to the southern Bering Sea, the Tanner crab (</w:t>
      </w:r>
      <w:r w:rsidRPr="00C361AA">
        <w:rPr>
          <w:i/>
          <w:iCs/>
          <w:szCs w:val="24"/>
        </w:rPr>
        <w:t>Chionoecetes bairdi</w:t>
      </w:r>
      <w:r w:rsidRPr="00C361AA">
        <w:rPr>
          <w:szCs w:val="24"/>
        </w:rPr>
        <w:t xml:space="preserve">) has substantial economic and societal importance (Heller-Shipley et al. 2021). </w:t>
      </w:r>
      <w:r w:rsidRPr="00C361AA">
        <w:rPr>
          <w:i/>
          <w:iCs/>
          <w:szCs w:val="24"/>
        </w:rPr>
        <w:t>C. bairdi</w:t>
      </w:r>
      <w:r w:rsidRPr="00C361AA">
        <w:rPr>
          <w:szCs w:val="24"/>
        </w:rPr>
        <w:t xml:space="preserve"> is often infected by an undescribed </w:t>
      </w:r>
      <w:r w:rsidRPr="00C361AA">
        <w:rPr>
          <w:i/>
          <w:iCs/>
          <w:szCs w:val="24"/>
        </w:rPr>
        <w:t xml:space="preserve">Hematodinium </w:t>
      </w:r>
      <w:r w:rsidRPr="00C361AA">
        <w:rPr>
          <w:szCs w:val="24"/>
        </w:rPr>
        <w:t>species (Jensen et al. 2010).</w:t>
      </w:r>
      <w:r w:rsidRPr="00C361AA">
        <w:rPr>
          <w:i/>
          <w:iCs/>
          <w:szCs w:val="24"/>
        </w:rPr>
        <w:t xml:space="preserve"> </w:t>
      </w:r>
      <w:r w:rsidRPr="00C361AA">
        <w:rPr>
          <w:szCs w:val="24"/>
        </w:rPr>
        <w:t xml:space="preserve">Infection rates vary seasonally, peaking in the late summer and early fall (Love et al. 1993). Summer prevalence can be quite high, with infection rates over 50% in portions of </w:t>
      </w:r>
      <w:r w:rsidRPr="00C361AA">
        <w:rPr>
          <w:i/>
          <w:iCs/>
          <w:szCs w:val="24"/>
        </w:rPr>
        <w:t xml:space="preserve">C. </w:t>
      </w:r>
      <w:proofErr w:type="spellStart"/>
      <w:r w:rsidRPr="00C361AA">
        <w:rPr>
          <w:i/>
          <w:iCs/>
          <w:szCs w:val="24"/>
        </w:rPr>
        <w:t>bairdi</w:t>
      </w:r>
      <w:r w:rsidRPr="00C361AA">
        <w:rPr>
          <w:szCs w:val="24"/>
        </w:rPr>
        <w:t>’s</w:t>
      </w:r>
      <w:proofErr w:type="spellEnd"/>
      <w:r w:rsidRPr="00C361AA">
        <w:rPr>
          <w:szCs w:val="24"/>
        </w:rPr>
        <w:t xml:space="preserve"> range (Bednarski et al. 2011). The progress from initial infection to mortality is slow, and takes place over a minimum of several months (Love et al. 1993). Heavy infections of </w:t>
      </w:r>
      <w:r w:rsidRPr="00C361AA">
        <w:rPr>
          <w:i/>
          <w:iCs/>
          <w:szCs w:val="24"/>
        </w:rPr>
        <w:t xml:space="preserve">Hematodinium </w:t>
      </w:r>
      <w:r w:rsidRPr="00C361AA">
        <w:rPr>
          <w:szCs w:val="24"/>
        </w:rPr>
        <w:t>sp. are marked by milky white hemolymph, an opaque white or pink coloration, and bitter, unpalatable flesh (Meyers et al. 1990).</w:t>
      </w:r>
    </w:p>
    <w:p w14:paraId="0D0E0D09" w14:textId="1B277F0B" w:rsidR="00C361AA" w:rsidRPr="00C361AA" w:rsidRDefault="00C361AA" w:rsidP="00C361AA">
      <w:pPr>
        <w:rPr>
          <w:szCs w:val="24"/>
        </w:rPr>
      </w:pPr>
      <w:r w:rsidRPr="00C361AA">
        <w:rPr>
          <w:szCs w:val="24"/>
        </w:rPr>
        <w:t xml:space="preserve">The long duration between infection and symptoms, elaborate life cycle of </w:t>
      </w:r>
      <w:r w:rsidRPr="00C361AA">
        <w:rPr>
          <w:i/>
          <w:iCs/>
          <w:szCs w:val="24"/>
        </w:rPr>
        <w:t xml:space="preserve">Hematodinium, </w:t>
      </w:r>
      <w:r w:rsidRPr="00C361AA">
        <w:rPr>
          <w:szCs w:val="24"/>
        </w:rPr>
        <w:t xml:space="preserve">and challenges of experimentally inducing infection have hampered efforts to investigate this complex host–parasite system. However, the need to obtain answers is growing more critical. Infection rates are climbing in </w:t>
      </w:r>
      <w:r w:rsidRPr="00C361AA">
        <w:rPr>
          <w:i/>
          <w:iCs/>
          <w:szCs w:val="24"/>
        </w:rPr>
        <w:t>C. bairdi</w:t>
      </w:r>
      <w:r w:rsidRPr="00C361AA">
        <w:rPr>
          <w:szCs w:val="24"/>
        </w:rPr>
        <w:t xml:space="preserve">, particularly in the Bering Sea portion of its range, as are infection rates in its close relative </w:t>
      </w:r>
      <w:r w:rsidRPr="00C361AA">
        <w:rPr>
          <w:i/>
          <w:iCs/>
          <w:szCs w:val="24"/>
        </w:rPr>
        <w:t>C. opilio</w:t>
      </w:r>
      <w:r w:rsidRPr="00C361AA">
        <w:rPr>
          <w:szCs w:val="24"/>
        </w:rPr>
        <w:t xml:space="preserve"> (NOAA 2020, unpublished data). Furthermore, much of the range of </w:t>
      </w:r>
      <w:r w:rsidRPr="00C361AA">
        <w:rPr>
          <w:i/>
          <w:iCs/>
          <w:szCs w:val="24"/>
        </w:rPr>
        <w:t>C. bairdi</w:t>
      </w:r>
      <w:r w:rsidRPr="00C361AA">
        <w:rPr>
          <w:szCs w:val="24"/>
        </w:rPr>
        <w:t xml:space="preserve"> has recently been struck by anomalous heat events (Di Lorenzo &amp; Mantua 2016</w:t>
      </w:r>
      <w:r w:rsidR="004C4D50">
        <w:rPr>
          <w:szCs w:val="24"/>
        </w:rPr>
        <w:t xml:space="preserve">, </w:t>
      </w:r>
      <w:r w:rsidRPr="00C361AA">
        <w:rPr>
          <w:szCs w:val="24"/>
        </w:rPr>
        <w:t xml:space="preserve">Cheung et al. 2020). Marine heatwaves are projected to increase in frequency and intensity due to anthropogenic warming (IPCC 2019). Understanding the environmental drivers of infection by </w:t>
      </w:r>
      <w:r w:rsidRPr="00C361AA">
        <w:rPr>
          <w:i/>
          <w:iCs/>
          <w:szCs w:val="24"/>
        </w:rPr>
        <w:t>Hematodinium</w:t>
      </w:r>
      <w:r w:rsidRPr="00C361AA">
        <w:rPr>
          <w:szCs w:val="24"/>
        </w:rPr>
        <w:t xml:space="preserve"> is critical to proper management of this valuable fishery and for its preservation for years to come.</w:t>
      </w:r>
    </w:p>
    <w:p w14:paraId="4236EEE0" w14:textId="7E99DD12" w:rsidR="00C361AA" w:rsidRDefault="00C361AA" w:rsidP="00C361AA">
      <w:pPr>
        <w:rPr>
          <w:szCs w:val="24"/>
        </w:rPr>
      </w:pPr>
      <w:r w:rsidRPr="00C361AA">
        <w:rPr>
          <w:szCs w:val="24"/>
        </w:rPr>
        <w:t xml:space="preserve">Transcriptomics provides a powerful tool to examine response of both host and parasite to changing environmental conditions. The purpose of this study is to improve our understanding of the dynamics </w:t>
      </w:r>
      <w:r w:rsidRPr="00C361AA">
        <w:rPr>
          <w:szCs w:val="24"/>
        </w:rPr>
        <w:lastRenderedPageBreak/>
        <w:t xml:space="preserve">within this host–parasite system by investigating the response of both </w:t>
      </w:r>
      <w:r w:rsidRPr="00C361AA">
        <w:rPr>
          <w:i/>
          <w:iCs/>
          <w:szCs w:val="24"/>
        </w:rPr>
        <w:t>Hematodinium</w:t>
      </w:r>
      <w:r w:rsidRPr="00C361AA">
        <w:rPr>
          <w:szCs w:val="24"/>
        </w:rPr>
        <w:t xml:space="preserve"> sp. and infected </w:t>
      </w:r>
      <w:r w:rsidRPr="00C361AA">
        <w:rPr>
          <w:i/>
          <w:iCs/>
          <w:szCs w:val="24"/>
        </w:rPr>
        <w:t>C. bairdi</w:t>
      </w:r>
      <w:r w:rsidRPr="00C361AA">
        <w:rPr>
          <w:szCs w:val="24"/>
        </w:rPr>
        <w:t xml:space="preserve"> to changes in temperature, and to track the progression of disease within infected crab. Specifically, we will use transcriptomics to uncover overall changes in gene expression and stress response within both host and parasite, along with an examination of immune response. Through this, we wil</w:t>
      </w:r>
      <w:r>
        <w:rPr>
          <w:szCs w:val="24"/>
        </w:rPr>
        <w:t>l</w:t>
      </w:r>
      <w:r w:rsidRPr="00C361AA">
        <w:rPr>
          <w:szCs w:val="24"/>
        </w:rPr>
        <w:t xml:space="preserve"> gain insight into the mechanisms through which host and parasite respond and interact. </w:t>
      </w:r>
    </w:p>
    <w:p w14:paraId="40A82C0F" w14:textId="511C6D17" w:rsidR="00C361AA" w:rsidRDefault="00C361AA" w:rsidP="00C361AA">
      <w:pPr>
        <w:pStyle w:val="Heading1"/>
      </w:pPr>
      <w:r>
        <w:t>Methods</w:t>
      </w:r>
    </w:p>
    <w:p w14:paraId="4A91FDC5" w14:textId="5754F449" w:rsidR="00C361AA" w:rsidRDefault="00C361AA" w:rsidP="00C361AA">
      <w:pPr>
        <w:pStyle w:val="Heading2"/>
      </w:pPr>
      <w:r>
        <w:t>Experimental Design</w:t>
      </w:r>
    </w:p>
    <w:p w14:paraId="75FD2225" w14:textId="6034BCB4" w:rsidR="00C361AA" w:rsidRPr="00C361AA" w:rsidRDefault="00C361AA" w:rsidP="00C361AA">
      <w:pPr>
        <w:rPr>
          <w:rFonts w:cs="Times New Roman"/>
          <w:szCs w:val="24"/>
        </w:rPr>
      </w:pPr>
      <w:r w:rsidRPr="00C361AA">
        <w:t xml:space="preserve">Male </w:t>
      </w:r>
      <w:r w:rsidRPr="00C361AA">
        <w:rPr>
          <w:i/>
          <w:iCs/>
        </w:rPr>
        <w:t>C. bairdi</w:t>
      </w:r>
      <w:r w:rsidRPr="00C361AA">
        <w:t xml:space="preserve"> were collected with pots (n = 400) from Stephens Passage in southeastern Alaska in October 2017, a location with a reliably high prevalence of </w:t>
      </w:r>
      <w:r w:rsidRPr="00C361AA">
        <w:rPr>
          <w:i/>
          <w:iCs/>
        </w:rPr>
        <w:t xml:space="preserve">Hematodinium </w:t>
      </w:r>
      <w:r w:rsidRPr="00C361AA">
        <w:t>infection (Bednarski et al. 2011; ADF&amp;G, unpublished data). Crabs were transported to the Ted Stevens Marine Research Institute in Juneau, AK and held at the bottom temperature of Stephens Passage at time of capture, 7.5°C, for a 9-day acclimation period. At the end of this period, crabs that did not appear to have completely recovered from capture stress were discarded. The end of the acclimation period and beginning of the experiment is henceforth noted as Day 0. </w:t>
      </w:r>
    </w:p>
    <w:p w14:paraId="115261F8" w14:textId="4B4D42E3" w:rsidR="00C361AA" w:rsidRPr="005A70E2" w:rsidRDefault="00C361AA" w:rsidP="005A70E2">
      <w:pPr>
        <w:rPr>
          <w:rFonts w:cs="Times New Roman"/>
          <w:szCs w:val="24"/>
        </w:rPr>
      </w:pPr>
      <w:r w:rsidRPr="00C361AA">
        <w:t xml:space="preserve">A hemolymph sample (0.2ml) was drawn from the 179 remaining crabs selected and preserved in </w:t>
      </w:r>
      <w:proofErr w:type="spellStart"/>
      <w:r w:rsidRPr="00C361AA">
        <w:t>RNAlater</w:t>
      </w:r>
      <w:proofErr w:type="spellEnd"/>
      <w:r w:rsidRPr="00C361AA">
        <w:t xml:space="preserve"> (1200 µl). Crabs were divided into three groups, with 60 crabs in each experimental group and 59 in the control group. The control group continued to be held at 7.5°C, while water temperature within the elevated and decreased treatment group was gradually changed over a two-day period to 10°C and 4°C, respectively. A second hemolymph sample was drawn from the 177 surviving crabs and preserved in </w:t>
      </w:r>
      <w:proofErr w:type="spellStart"/>
      <w:r w:rsidRPr="00C361AA">
        <w:t>RNAlater</w:t>
      </w:r>
      <w:proofErr w:type="spellEnd"/>
      <w:r w:rsidRPr="00C361AA">
        <w:t>. Temperatures were maintained for an additional 15 days, for a total experimental duration of 17 days (Fig</w:t>
      </w:r>
      <w:r w:rsidR="00355282">
        <w:t>ure</w:t>
      </w:r>
      <w:r w:rsidRPr="00C361AA">
        <w:t xml:space="preserve"> 1). </w:t>
      </w:r>
      <w:r w:rsidR="005A70E2">
        <w:t>The</w:t>
      </w:r>
      <w:r w:rsidRPr="00C361AA">
        <w:t xml:space="preserve"> </w:t>
      </w:r>
      <w:r w:rsidR="005A70E2">
        <w:t xml:space="preserve">remaining </w:t>
      </w:r>
      <w:r w:rsidRPr="00C361AA">
        <w:t xml:space="preserve">crabs then had additional hemolymph samples withdrawn and preserved in </w:t>
      </w:r>
      <w:proofErr w:type="spellStart"/>
      <w:r w:rsidRPr="00C361AA">
        <w:t>RNAlater</w:t>
      </w:r>
      <w:proofErr w:type="spellEnd"/>
      <w:r w:rsidRPr="00C361AA">
        <w:t xml:space="preserve">. The elevated treatment group saw a mass mortality event, with 58 of the 60 of crabs dying prior to the end of the experiment. Water fouling from initial mortalities likely contributed to this high mortality rate. Over the same period, there were eight mortalities within the decreased treatment group, and three mortalities within the control group. Hemolymph samples were taken from the two surviving crabs in the elevated treatment group, but </w:t>
      </w:r>
      <w:r w:rsidRPr="005A70E2">
        <w:rPr>
          <w:rFonts w:cs="Times New Roman"/>
          <w:szCs w:val="24"/>
        </w:rPr>
        <w:t>t</w:t>
      </w:r>
      <w:r w:rsidRPr="005A70E2">
        <w:rPr>
          <w:rFonts w:cs="Times New Roman"/>
          <w:szCs w:val="24"/>
        </w:rPr>
        <w:t>h</w:t>
      </w:r>
      <w:r w:rsidRPr="005A70E2">
        <w:rPr>
          <w:rFonts w:cs="Times New Roman"/>
          <w:szCs w:val="24"/>
        </w:rPr>
        <w:t>eir RNA yield was not sufficient for sequencing. </w:t>
      </w:r>
    </w:p>
    <w:p w14:paraId="461FC8D4" w14:textId="2ADB20B7" w:rsidR="00C361AA" w:rsidRPr="005A70E2" w:rsidRDefault="00C361AA" w:rsidP="005A70E2">
      <w:pPr>
        <w:rPr>
          <w:rFonts w:cs="Times New Roman"/>
          <w:color w:val="000000"/>
          <w:szCs w:val="24"/>
        </w:rPr>
      </w:pPr>
      <w:r w:rsidRPr="005A70E2">
        <w:rPr>
          <w:rFonts w:cs="Times New Roman"/>
          <w:color w:val="000000"/>
          <w:szCs w:val="24"/>
        </w:rPr>
        <w:t xml:space="preserve">Hemolymph samples from the start and (if available) end of the experiment had DNA extracted, subjected to qPCR following established protocol for </w:t>
      </w:r>
      <w:r w:rsidRPr="005A70E2">
        <w:rPr>
          <w:rFonts w:cs="Times New Roman"/>
          <w:i/>
          <w:iCs/>
          <w:color w:val="000000"/>
          <w:szCs w:val="24"/>
        </w:rPr>
        <w:t>Hematodinium sp.</w:t>
      </w:r>
      <w:r w:rsidRPr="005A70E2">
        <w:rPr>
          <w:rFonts w:cs="Times New Roman"/>
          <w:color w:val="000000"/>
          <w:szCs w:val="24"/>
        </w:rPr>
        <w:t xml:space="preserve"> (Crosson 2011) </w:t>
      </w:r>
      <w:proofErr w:type="gramStart"/>
      <w:r w:rsidRPr="005A70E2">
        <w:rPr>
          <w:rFonts w:cs="Times New Roman"/>
          <w:color w:val="000000"/>
          <w:szCs w:val="24"/>
        </w:rPr>
        <w:t>in order to</w:t>
      </w:r>
      <w:proofErr w:type="gramEnd"/>
      <w:r w:rsidRPr="005A70E2">
        <w:rPr>
          <w:rFonts w:cs="Times New Roman"/>
          <w:color w:val="000000"/>
          <w:szCs w:val="24"/>
        </w:rPr>
        <w:t xml:space="preserve"> determine the level of </w:t>
      </w:r>
      <w:r w:rsidRPr="005A70E2">
        <w:rPr>
          <w:rFonts w:cs="Times New Roman"/>
          <w:i/>
          <w:iCs/>
          <w:color w:val="000000"/>
          <w:szCs w:val="24"/>
        </w:rPr>
        <w:t>Hematodinium sp.</w:t>
      </w:r>
      <w:r w:rsidRPr="005A70E2">
        <w:rPr>
          <w:rFonts w:cs="Times New Roman"/>
          <w:color w:val="000000"/>
          <w:szCs w:val="24"/>
        </w:rPr>
        <w:t xml:space="preserve"> infection. Samples were tested in duplicate. </w:t>
      </w:r>
    </w:p>
    <w:p w14:paraId="3382E5F2" w14:textId="5494A254" w:rsidR="00C361AA" w:rsidRDefault="00C361AA" w:rsidP="00C361AA">
      <w:pPr>
        <w:pStyle w:val="Heading2"/>
      </w:pPr>
      <w:proofErr w:type="spellStart"/>
      <w:r>
        <w:t>RNAseq</w:t>
      </w:r>
      <w:proofErr w:type="spellEnd"/>
    </w:p>
    <w:p w14:paraId="1BCDE5F2" w14:textId="651103D9" w:rsidR="00C361AA" w:rsidRPr="00C361AA" w:rsidRDefault="00C361AA" w:rsidP="00C361AA">
      <w:pPr>
        <w:rPr>
          <w:rFonts w:cs="Times New Roman"/>
          <w:szCs w:val="24"/>
        </w:rPr>
      </w:pPr>
      <w:r w:rsidRPr="00C361AA">
        <w:t xml:space="preserve">A total of nine crabs, three from each temperature regime, were selected based on RNA yields. As determined by qPCR, all nine were infected with </w:t>
      </w:r>
      <w:r w:rsidRPr="00C361AA">
        <w:rPr>
          <w:i/>
          <w:iCs/>
        </w:rPr>
        <w:t>Hematodinium</w:t>
      </w:r>
      <w:r w:rsidRPr="00C361AA">
        <w:t xml:space="preserve">. RNA was extracted from all hemolymph samples of these crabs using Quick DNA/RNA </w:t>
      </w:r>
      <w:proofErr w:type="spellStart"/>
      <w:r w:rsidRPr="00C361AA">
        <w:t>Microprep</w:t>
      </w:r>
      <w:proofErr w:type="spellEnd"/>
      <w:r w:rsidRPr="00C361AA">
        <w:t xml:space="preserve"> Plus Kit (</w:t>
      </w:r>
      <w:proofErr w:type="spellStart"/>
      <w:r w:rsidRPr="00C361AA">
        <w:t>Zymo</w:t>
      </w:r>
      <w:proofErr w:type="spellEnd"/>
      <w:r w:rsidRPr="00C361AA">
        <w:t xml:space="preserve"> Research) according to the manufacturer's protocol. This created a total of 24 samples, with three samples each from the control and decreased treatment crabs, and two each from the elevated treatment crabs. All samples were sent to </w:t>
      </w:r>
      <w:proofErr w:type="spellStart"/>
      <w:r w:rsidRPr="00C361AA">
        <w:t>Genewiz</w:t>
      </w:r>
      <w:proofErr w:type="spellEnd"/>
      <w:r w:rsidRPr="00C361AA">
        <w:t xml:space="preserve">, Inc. for </w:t>
      </w:r>
      <w:proofErr w:type="spellStart"/>
      <w:r w:rsidRPr="00C361AA">
        <w:t>RNAseq</w:t>
      </w:r>
      <w:proofErr w:type="spellEnd"/>
      <w:r w:rsidRPr="00C361AA">
        <w:t xml:space="preserve"> and library construction. Samples were sequenced as paired end (100bp and 150bp) on HiSeq4000 (Illumina, Inc.) sequencers. </w:t>
      </w:r>
    </w:p>
    <w:p w14:paraId="44FB2CD0" w14:textId="0C637A30" w:rsidR="00C361AA" w:rsidRPr="00C361AA" w:rsidRDefault="00C361AA" w:rsidP="00C361AA">
      <w:pPr>
        <w:rPr>
          <w:rFonts w:cs="Times New Roman"/>
          <w:szCs w:val="24"/>
        </w:rPr>
      </w:pPr>
      <w:r w:rsidRPr="00C361AA">
        <w:t>To increase transcriptome completeness, 11 additional sequencing samples were created by pooling 112 hemolymph samples from 87 more crabs based on</w:t>
      </w:r>
      <w:r w:rsidR="005A70E2">
        <w:t xml:space="preserve"> treatment,</w:t>
      </w:r>
      <w:r w:rsidRPr="00C361AA">
        <w:t xml:space="preserve"> sampling day</w:t>
      </w:r>
      <w:r w:rsidR="005A70E2">
        <w:t>,</w:t>
      </w:r>
      <w:r w:rsidRPr="00C361AA">
        <w:t xml:space="preserve"> and infection status (Supplemental Table 1). These samples were sent to the Northwest Genomics Center at Foege Hall at </w:t>
      </w:r>
      <w:r w:rsidRPr="00C361AA">
        <w:lastRenderedPageBreak/>
        <w:t xml:space="preserve">the University of Washington for </w:t>
      </w:r>
      <w:proofErr w:type="spellStart"/>
      <w:r w:rsidRPr="00C361AA">
        <w:t>RNAseq</w:t>
      </w:r>
      <w:proofErr w:type="spellEnd"/>
      <w:r w:rsidRPr="00C361AA">
        <w:t xml:space="preserve"> and library construction.</w:t>
      </w:r>
      <w:r>
        <w:t xml:space="preserve"> </w:t>
      </w:r>
      <w:proofErr w:type="gramStart"/>
      <w:r w:rsidRPr="00C361AA">
        <w:t>Samples</w:t>
      </w:r>
      <w:proofErr w:type="gramEnd"/>
      <w:r w:rsidRPr="00C361AA">
        <w:t xml:space="preserve"> were sequenced as paired end (100bp and 150bp) on </w:t>
      </w:r>
      <w:proofErr w:type="spellStart"/>
      <w:r w:rsidRPr="00C361AA">
        <w:t>NovaSeq</w:t>
      </w:r>
      <w:proofErr w:type="spellEnd"/>
      <w:r w:rsidRPr="00C361AA">
        <w:t xml:space="preserve"> (Illumina, Inc.) sequencers.</w:t>
      </w:r>
    </w:p>
    <w:p w14:paraId="65244170" w14:textId="13AACB14" w:rsidR="00C361AA" w:rsidRDefault="00C361AA" w:rsidP="00C361AA">
      <w:pPr>
        <w:pStyle w:val="Heading2"/>
      </w:pPr>
      <w:r>
        <w:t>Transcriptome Assembly and Annotation</w:t>
      </w:r>
    </w:p>
    <w:p w14:paraId="646798A1" w14:textId="4C11211D" w:rsidR="00C361AA" w:rsidRDefault="00C361AA" w:rsidP="00C361AA">
      <w:r>
        <w:t xml:space="preserve">Raw sequence data were assessed using </w:t>
      </w:r>
      <w:proofErr w:type="spellStart"/>
      <w:r>
        <w:t>FastQC</w:t>
      </w:r>
      <w:proofErr w:type="spellEnd"/>
      <w:r>
        <w:t xml:space="preserve"> (v0.11.8; Andrews 2010) and MultiQC (v1.6; </w:t>
      </w:r>
      <w:proofErr w:type="spellStart"/>
      <w:r>
        <w:t>Ewels</w:t>
      </w:r>
      <w:proofErr w:type="spellEnd"/>
      <w:r>
        <w:t xml:space="preserve"> et al. 2016) pre- and post-trimming. Data were quality trimmed using </w:t>
      </w:r>
      <w:proofErr w:type="spellStart"/>
      <w:r>
        <w:t>fastp</w:t>
      </w:r>
      <w:proofErr w:type="spellEnd"/>
      <w:r>
        <w:t xml:space="preserve"> (v0.20.0</w:t>
      </w:r>
      <w:r w:rsidR="005A70E2">
        <w:t xml:space="preserve">; </w:t>
      </w:r>
      <w:r>
        <w:t>Chen et al. 2018). Trimmed reads were used for all subsequent analyses. All raw sequencing data is available in the NCBI Sequence Read Archive (SRR11548643-SRR11548677).</w:t>
      </w:r>
    </w:p>
    <w:p w14:paraId="311DC50E" w14:textId="66ECCB5B" w:rsidR="00C361AA" w:rsidRPr="00124A9D" w:rsidRDefault="00C361AA" w:rsidP="00C361AA">
      <w:pPr>
        <w:rPr>
          <w:rFonts w:cs="Times New Roman"/>
          <w:szCs w:val="24"/>
        </w:rPr>
      </w:pPr>
      <w:r w:rsidRPr="00124A9D">
        <w:rPr>
          <w:rFonts w:cs="Times New Roman"/>
          <w:szCs w:val="24"/>
        </w:rPr>
        <w:t xml:space="preserve">A transcriptome was </w:t>
      </w:r>
      <w:r w:rsidRPr="00124A9D">
        <w:rPr>
          <w:rFonts w:cs="Times New Roman"/>
          <w:i/>
          <w:iCs/>
          <w:szCs w:val="24"/>
        </w:rPr>
        <w:t>de novo</w:t>
      </w:r>
      <w:r w:rsidRPr="00124A9D">
        <w:rPr>
          <w:rFonts w:cs="Times New Roman"/>
          <w:szCs w:val="24"/>
        </w:rPr>
        <w:t xml:space="preserve"> assembled from all individual and pooled libraries using Trinity </w:t>
      </w:r>
      <w:r w:rsidRPr="00124A9D">
        <w:rPr>
          <w:rFonts w:cs="Times New Roman"/>
          <w:szCs w:val="24"/>
        </w:rPr>
        <w:t xml:space="preserve">(v2.9.0; </w:t>
      </w:r>
      <w:proofErr w:type="spellStart"/>
      <w:r w:rsidRPr="00124A9D">
        <w:rPr>
          <w:rFonts w:cs="Times New Roman"/>
          <w:szCs w:val="24"/>
        </w:rPr>
        <w:t>Grabherr</w:t>
      </w:r>
      <w:proofErr w:type="spellEnd"/>
      <w:r w:rsidRPr="00124A9D">
        <w:rPr>
          <w:rFonts w:cs="Times New Roman"/>
          <w:szCs w:val="24"/>
        </w:rPr>
        <w:t xml:space="preserve"> et al. 2011; Haas et al. 2013)</w:t>
      </w:r>
      <w:r w:rsidRPr="00124A9D">
        <w:rPr>
          <w:rFonts w:cs="Times New Roman"/>
          <w:szCs w:val="24"/>
        </w:rPr>
        <w:t xml:space="preserve">. This is hereafter referred to as the complete transcriptome. The complete transcriptome was assessed with BUSCO </w:t>
      </w:r>
      <w:r w:rsidRPr="00124A9D">
        <w:rPr>
          <w:rFonts w:cs="Times New Roman"/>
          <w:szCs w:val="24"/>
        </w:rPr>
        <w:t>(v3.0.2; Simão et al. 2015; Waterhouse et al. 2018)</w:t>
      </w:r>
      <w:r w:rsidRPr="00124A9D">
        <w:rPr>
          <w:rFonts w:cs="Times New Roman"/>
          <w:szCs w:val="24"/>
        </w:rPr>
        <w:t xml:space="preserve"> using the metazoa_odb9 database, Augustus </w:t>
      </w:r>
      <w:r w:rsidRPr="00124A9D">
        <w:rPr>
          <w:rFonts w:cs="Times New Roman"/>
          <w:szCs w:val="24"/>
        </w:rPr>
        <w:t>(v3.3.2; Stanke and Waack 2003; Stanke et al. 2008)</w:t>
      </w:r>
      <w:r w:rsidRPr="00124A9D">
        <w:rPr>
          <w:rFonts w:cs="Times New Roman"/>
          <w:szCs w:val="24"/>
        </w:rPr>
        <w:t xml:space="preserve"> with species set as fly, and </w:t>
      </w:r>
      <w:proofErr w:type="spellStart"/>
      <w:r w:rsidRPr="00124A9D">
        <w:rPr>
          <w:rFonts w:cs="Times New Roman"/>
          <w:szCs w:val="24"/>
        </w:rPr>
        <w:t>hmmer</w:t>
      </w:r>
      <w:proofErr w:type="spellEnd"/>
      <w:r w:rsidRPr="00124A9D">
        <w:rPr>
          <w:rFonts w:cs="Times New Roman"/>
          <w:szCs w:val="24"/>
        </w:rPr>
        <w:t xml:space="preserve"> </w:t>
      </w:r>
      <w:r w:rsidRPr="00124A9D">
        <w:rPr>
          <w:rFonts w:cs="Times New Roman"/>
          <w:szCs w:val="24"/>
        </w:rPr>
        <w:t>(v3.2.1;</w:t>
      </w:r>
      <w:r w:rsidR="00124A9D">
        <w:rPr>
          <w:rFonts w:cs="Times New Roman"/>
          <w:szCs w:val="24"/>
        </w:rPr>
        <w:t xml:space="preserve"> hmmer.org</w:t>
      </w:r>
      <w:r w:rsidRPr="00124A9D">
        <w:rPr>
          <w:rFonts w:cs="Times New Roman"/>
          <w:szCs w:val="24"/>
        </w:rPr>
        <w:t>)</w:t>
      </w:r>
      <w:r w:rsidRPr="00124A9D">
        <w:rPr>
          <w:rFonts w:cs="Times New Roman"/>
          <w:szCs w:val="24"/>
        </w:rPr>
        <w:t xml:space="preserve">. The transcriptome was then annotated and GO terms were obtained using DIAMOND </w:t>
      </w:r>
      <w:proofErr w:type="spellStart"/>
      <w:r w:rsidRPr="00124A9D">
        <w:rPr>
          <w:rFonts w:cs="Times New Roman"/>
          <w:szCs w:val="24"/>
        </w:rPr>
        <w:t>BLASTx</w:t>
      </w:r>
      <w:proofErr w:type="spellEnd"/>
      <w:r w:rsidRPr="00124A9D">
        <w:rPr>
          <w:rFonts w:cs="Times New Roman"/>
          <w:szCs w:val="24"/>
        </w:rPr>
        <w:t xml:space="preserve"> against the </w:t>
      </w:r>
      <w:proofErr w:type="spellStart"/>
      <w:r w:rsidRPr="00124A9D">
        <w:rPr>
          <w:rFonts w:cs="Times New Roman"/>
          <w:szCs w:val="24"/>
        </w:rPr>
        <w:t>UniProtKB</w:t>
      </w:r>
      <w:proofErr w:type="spellEnd"/>
      <w:r w:rsidRPr="00124A9D">
        <w:rPr>
          <w:rFonts w:cs="Times New Roman"/>
          <w:szCs w:val="24"/>
        </w:rPr>
        <w:t>/Swiss-Prot database (downloaded 2021-02-09).</w:t>
      </w:r>
    </w:p>
    <w:p w14:paraId="2A7B0DE1" w14:textId="555AD4B4" w:rsidR="00C361AA" w:rsidRDefault="00C361AA" w:rsidP="00C361AA">
      <w:r>
        <w:t xml:space="preserve">To examine host expression, a crab-specific transcriptome was created. </w:t>
      </w:r>
      <w:r w:rsidR="00124A9D">
        <w:t>T</w:t>
      </w:r>
      <w:r>
        <w:t xml:space="preserve">o identify crab-specific sequencing reads, sequencing reads from all individual and pooled libraries were compared to the publicly available proteome (NCBI Acc: GCA_016584305.1) of a congener, </w:t>
      </w:r>
      <w:r>
        <w:rPr>
          <w:i/>
          <w:iCs/>
        </w:rPr>
        <w:t>Chionoecetes opilio</w:t>
      </w:r>
      <w:r>
        <w:t xml:space="preserve"> (snow crab) using DIAMOND </w:t>
      </w:r>
      <w:proofErr w:type="spellStart"/>
      <w:r>
        <w:t>BLASTx</w:t>
      </w:r>
      <w:proofErr w:type="spellEnd"/>
      <w:r>
        <w:t xml:space="preserve"> (v0.9.29; </w:t>
      </w:r>
      <w:proofErr w:type="spellStart"/>
      <w:r>
        <w:t>Buchfink</w:t>
      </w:r>
      <w:proofErr w:type="spellEnd"/>
      <w:r>
        <w:t xml:space="preserve"> et al. 2015). Reads identified as matching (e-value &lt;= 1E-04) </w:t>
      </w:r>
      <w:r>
        <w:rPr>
          <w:i/>
          <w:iCs/>
        </w:rPr>
        <w:t>C. opilio</w:t>
      </w:r>
      <w:r>
        <w:t xml:space="preserve"> were extracted from the </w:t>
      </w:r>
      <w:proofErr w:type="spellStart"/>
      <w:r>
        <w:t>FastQs</w:t>
      </w:r>
      <w:proofErr w:type="spellEnd"/>
      <w:r>
        <w:t xml:space="preserve"> using </w:t>
      </w:r>
      <w:proofErr w:type="spellStart"/>
      <w:r>
        <w:t>seqkit</w:t>
      </w:r>
      <w:proofErr w:type="spellEnd"/>
      <w:r>
        <w:t xml:space="preserve"> (v.0.15.0; Shen et al. 2016). These crab specific reads were </w:t>
      </w:r>
      <w:r>
        <w:rPr>
          <w:i/>
          <w:iCs/>
        </w:rPr>
        <w:t>de novo</w:t>
      </w:r>
      <w:r>
        <w:t xml:space="preserve"> assembled using Trinity (v2.12.0; </w:t>
      </w:r>
      <w:proofErr w:type="spellStart"/>
      <w:r>
        <w:t>Grabherr</w:t>
      </w:r>
      <w:proofErr w:type="spellEnd"/>
      <w:r>
        <w:t xml:space="preserve"> et al. 2011; Haas et al. 2013). This assembly is hereafter referred to as the </w:t>
      </w:r>
      <w:r>
        <w:rPr>
          <w:i/>
          <w:iCs/>
        </w:rPr>
        <w:t>C. bairdi</w:t>
      </w:r>
      <w:r>
        <w:t xml:space="preserve"> transcriptome. The </w:t>
      </w:r>
      <w:r>
        <w:rPr>
          <w:i/>
          <w:iCs/>
        </w:rPr>
        <w:t xml:space="preserve">C. bairdi </w:t>
      </w:r>
      <w:r>
        <w:t xml:space="preserve">transcriptome was assessed for completeness with BUSCO (v3.0.2; Simão et al. 2015; Waterhouse et al. 2018) using the metazoa_odb9 database, Augustus (v3.3.2; Stanke and Waack 2003; Stanke et al. 2008) with species set as fly, and </w:t>
      </w:r>
      <w:proofErr w:type="spellStart"/>
      <w:r>
        <w:t>hmmer</w:t>
      </w:r>
      <w:proofErr w:type="spellEnd"/>
      <w:r>
        <w:t xml:space="preserve"> (v3.2.1; hmmer.org). The transcriptome was then annotated and GO terms were obtained using DIAMOND </w:t>
      </w:r>
      <w:proofErr w:type="spellStart"/>
      <w:r>
        <w:t>BLASTx</w:t>
      </w:r>
      <w:proofErr w:type="spellEnd"/>
      <w:r>
        <w:t xml:space="preserve"> against the </w:t>
      </w:r>
      <w:proofErr w:type="spellStart"/>
      <w:r>
        <w:t>UniProtKB</w:t>
      </w:r>
      <w:proofErr w:type="spellEnd"/>
      <w:r>
        <w:t>/Swiss-Prot database (downloaded 2021-02-09).</w:t>
      </w:r>
    </w:p>
    <w:p w14:paraId="47D8C352" w14:textId="3C25CBE1" w:rsidR="00C361AA" w:rsidRDefault="00C361AA" w:rsidP="00C361AA">
      <w:r>
        <w:t xml:space="preserve">A third transcriptome was created to examine expression in </w:t>
      </w:r>
      <w:r>
        <w:rPr>
          <w:i/>
          <w:iCs/>
        </w:rPr>
        <w:t xml:space="preserve">Hematodinium </w:t>
      </w:r>
      <w:r>
        <w:t xml:space="preserve">sp. Sequences from all individual and pooled libraries were taxonomically categorized with a combination of DIAMOND </w:t>
      </w:r>
      <w:proofErr w:type="spellStart"/>
      <w:r>
        <w:t>BLASTx</w:t>
      </w:r>
      <w:proofErr w:type="spellEnd"/>
      <w:r>
        <w:t xml:space="preserve"> (0.9.26; </w:t>
      </w:r>
      <w:proofErr w:type="spellStart"/>
      <w:r>
        <w:t>Buchfink</w:t>
      </w:r>
      <w:proofErr w:type="spellEnd"/>
      <w:r>
        <w:t xml:space="preserve"> et al. 2015) and MEGAN6 (6.18.3; (Huson et al. 2016)). DIAMOND </w:t>
      </w:r>
      <w:proofErr w:type="spellStart"/>
      <w:r>
        <w:t>BLASTx</w:t>
      </w:r>
      <w:proofErr w:type="spellEnd"/>
      <w:r>
        <w:t xml:space="preserve"> was run against NCBI nr database (downloaded 2019-09-25). The resulting DAA files were converted to RMA6 files for importing into MEGAN6 with the daa2rma utility, using the following MEGAN6 mapping files: prot_acc2tax-Jul2019X1.abin, acc2interpro-Jul2019X.abin, acc2eggnog-Jul2019X.abin. All sequencing reads categorized within and below the phylum </w:t>
      </w:r>
      <w:proofErr w:type="spellStart"/>
      <w:r>
        <w:t>Alveolata</w:t>
      </w:r>
      <w:proofErr w:type="spellEnd"/>
      <w:r>
        <w:t xml:space="preserve"> were identified using MEGAN6 (v6.18.3; Huson et al. 2016). Subsequently, these reads were extracted from the </w:t>
      </w:r>
      <w:proofErr w:type="spellStart"/>
      <w:r>
        <w:t>FastQ</w:t>
      </w:r>
      <w:proofErr w:type="spellEnd"/>
      <w:r>
        <w:t xml:space="preserve"> files using </w:t>
      </w:r>
      <w:proofErr w:type="spellStart"/>
      <w:r>
        <w:t>seqtk</w:t>
      </w:r>
      <w:proofErr w:type="spellEnd"/>
      <w:r>
        <w:t xml:space="preserve"> (Shen et al. 2016) and </w:t>
      </w:r>
      <w:r>
        <w:rPr>
          <w:i/>
          <w:iCs/>
        </w:rPr>
        <w:t>de novo</w:t>
      </w:r>
      <w:r>
        <w:t xml:space="preserve"> assembled using Trinity (v2.12.0; </w:t>
      </w:r>
      <w:proofErr w:type="spellStart"/>
      <w:r>
        <w:t>Grabherr</w:t>
      </w:r>
      <w:proofErr w:type="spellEnd"/>
      <w:r>
        <w:t xml:space="preserve"> et al. 2011; Haas et al. 2013). </w:t>
      </w:r>
      <w:r w:rsidR="00E6471A">
        <w:t xml:space="preserve">Since all crabs were confirmed to be infected with </w:t>
      </w:r>
      <w:r w:rsidR="00E6471A" w:rsidRPr="00E6471A">
        <w:rPr>
          <w:i/>
          <w:iCs/>
        </w:rPr>
        <w:t>Hematodinium</w:t>
      </w:r>
      <w:r w:rsidR="007969FD">
        <w:rPr>
          <w:i/>
          <w:iCs/>
        </w:rPr>
        <w:t xml:space="preserve">, </w:t>
      </w:r>
      <w:r w:rsidR="007969FD">
        <w:t xml:space="preserve">and no other </w:t>
      </w:r>
      <w:proofErr w:type="spellStart"/>
      <w:r w:rsidR="007969FD">
        <w:t>Alveolata</w:t>
      </w:r>
      <w:proofErr w:type="spellEnd"/>
      <w:r w:rsidR="007969FD">
        <w:t xml:space="preserve"> parasites of </w:t>
      </w:r>
      <w:r w:rsidR="007969FD">
        <w:rPr>
          <w:i/>
          <w:iCs/>
        </w:rPr>
        <w:t>C. bairdi</w:t>
      </w:r>
      <w:r w:rsidR="007969FD">
        <w:t xml:space="preserve"> have been identified, this transcriptome likely contains only </w:t>
      </w:r>
      <w:r w:rsidR="007969FD">
        <w:rPr>
          <w:i/>
          <w:iCs/>
        </w:rPr>
        <w:t>Hematodinium</w:t>
      </w:r>
      <w:r w:rsidR="007969FD">
        <w:t xml:space="preserve"> sequences. However, as the presence of other </w:t>
      </w:r>
      <w:proofErr w:type="spellStart"/>
      <w:r w:rsidR="007969FD">
        <w:t>Alveolata</w:t>
      </w:r>
      <w:proofErr w:type="spellEnd"/>
      <w:r w:rsidR="007969FD">
        <w:t xml:space="preserve"> species could not be ruled out, t</w:t>
      </w:r>
      <w:r w:rsidRPr="00E6471A">
        <w:t>his</w:t>
      </w:r>
      <w:r>
        <w:t xml:space="preserve"> is hereafter referred to as the </w:t>
      </w:r>
      <w:proofErr w:type="spellStart"/>
      <w:r>
        <w:t>Alveolata</w:t>
      </w:r>
      <w:proofErr w:type="spellEnd"/>
      <w:r>
        <w:t xml:space="preserve"> transcriptome. The </w:t>
      </w:r>
      <w:proofErr w:type="spellStart"/>
      <w:r>
        <w:t>Alveolata</w:t>
      </w:r>
      <w:proofErr w:type="spellEnd"/>
      <w:r>
        <w:t xml:space="preserve"> transcriptome was assessed for completeness with BUSCO (v3.0.2; Simão et al. 2015; Waterhouse et al. 2018) using the metazoa_odb9 database, Augustus (v3.3.2; Stanke and Waack 2003; Stanke et al. 2008) with species set as fly, and </w:t>
      </w:r>
      <w:proofErr w:type="spellStart"/>
      <w:r>
        <w:t>hmmer</w:t>
      </w:r>
      <w:proofErr w:type="spellEnd"/>
      <w:r>
        <w:t xml:space="preserve"> (v3.2.1; hmmer.org). The transcriptome was then annotated and GO terms were obtained using DIAMOND </w:t>
      </w:r>
      <w:proofErr w:type="spellStart"/>
      <w:r>
        <w:t>BLASTx</w:t>
      </w:r>
      <w:proofErr w:type="spellEnd"/>
      <w:r>
        <w:t xml:space="preserve"> against the </w:t>
      </w:r>
      <w:proofErr w:type="spellStart"/>
      <w:r>
        <w:t>UniProtKB</w:t>
      </w:r>
      <w:proofErr w:type="spellEnd"/>
      <w:r>
        <w:t>/Swiss-Prot database (downloaded 2021-02-09).</w:t>
      </w:r>
    </w:p>
    <w:p w14:paraId="61C9FFB9" w14:textId="77777777" w:rsidR="00C361AA" w:rsidRDefault="00C361AA" w:rsidP="00C361AA">
      <w:r>
        <w:lastRenderedPageBreak/>
        <w:t xml:space="preserve">This work was facilitated </w:t>
      </w:r>
      <w:proofErr w:type="gramStart"/>
      <w:r>
        <w:t>through the use of</w:t>
      </w:r>
      <w:proofErr w:type="gramEnd"/>
      <w:r>
        <w:t xml:space="preserve"> advanced computational, storage, and networking infrastructure provided by the Hyak supercomputer system at the University of Washington</w:t>
      </w:r>
      <w:r>
        <w:rPr>
          <w:color w:val="172B4D"/>
        </w:rPr>
        <w:t>.</w:t>
      </w:r>
      <w:r>
        <w:t> </w:t>
      </w:r>
    </w:p>
    <w:p w14:paraId="1A3D68D4" w14:textId="6560DF60" w:rsidR="00C361AA" w:rsidRDefault="00C361AA" w:rsidP="00C361AA">
      <w:pPr>
        <w:pStyle w:val="Heading2"/>
      </w:pPr>
      <w:r>
        <w:t>Differential Expression Analysis</w:t>
      </w:r>
    </w:p>
    <w:p w14:paraId="2084D921" w14:textId="0C0787CD" w:rsidR="00C361AA" w:rsidRPr="00C361AA" w:rsidRDefault="00C361AA" w:rsidP="00C361AA">
      <w:r w:rsidRPr="00C361AA">
        <w:t xml:space="preserve">Quality trimmed libraries of individual crab were </w:t>
      </w:r>
      <w:proofErr w:type="spellStart"/>
      <w:r w:rsidRPr="00C361AA">
        <w:t>pseudoaligned</w:t>
      </w:r>
      <w:proofErr w:type="spellEnd"/>
      <w:r w:rsidRPr="00C361AA">
        <w:t xml:space="preserve"> to each of the three transcriptomes (complete,</w:t>
      </w:r>
      <w:r w:rsidRPr="00C361AA">
        <w:rPr>
          <w:i/>
          <w:iCs/>
        </w:rPr>
        <w:t xml:space="preserve"> C. bairdi</w:t>
      </w:r>
      <w:r w:rsidRPr="00C361AA">
        <w:t xml:space="preserve">, and </w:t>
      </w:r>
      <w:proofErr w:type="spellStart"/>
      <w:r w:rsidRPr="00C361AA">
        <w:t>Alveolata</w:t>
      </w:r>
      <w:proofErr w:type="spellEnd"/>
      <w:r w:rsidRPr="00C361AA">
        <w:t xml:space="preserve">) using </w:t>
      </w:r>
      <w:proofErr w:type="spellStart"/>
      <w:r w:rsidRPr="00C361AA">
        <w:t>kallisto</w:t>
      </w:r>
      <w:proofErr w:type="spellEnd"/>
      <w:r w:rsidRPr="00C361AA">
        <w:t xml:space="preserve"> (Bray et al. 2016). Two different approaches were then used to examine differential expression. </w:t>
      </w:r>
    </w:p>
    <w:p w14:paraId="1A7180ED" w14:textId="744B0545" w:rsidR="00C361AA" w:rsidRDefault="00C361AA" w:rsidP="00C361AA">
      <w:r w:rsidRPr="00C361AA">
        <w:t xml:space="preserve">To evaluate the impact of changes in temperature on expression, the R package DESeq2 (Love et al. 2014) was used to perform pairwise comparisons. Pairwise comparisons were performed within each temperature regime, comparing expression prior to, and following, the initiation of temperature changes. Abundance matrices were produced using a </w:t>
      </w:r>
      <w:proofErr w:type="spellStart"/>
      <w:r w:rsidRPr="00C361AA">
        <w:t>perl</w:t>
      </w:r>
      <w:proofErr w:type="spellEnd"/>
      <w:r w:rsidRPr="00C361AA">
        <w:t xml:space="preserve"> script provided within the Trinity pipeline (v2.12.0). Differentially expressed contigs, along with their accompanying accession IDs, were obtained for each comparison (Table 2).</w:t>
      </w:r>
    </w:p>
    <w:p w14:paraId="33E1BAB7" w14:textId="0EE3533B" w:rsidR="00C361AA" w:rsidRPr="00C361AA" w:rsidRDefault="00C361AA" w:rsidP="00C361AA">
      <w:r w:rsidRPr="00C361AA">
        <w:t xml:space="preserve">In addition to pairwise comparisons within temperature regimes, a clustering approach was utilized to enable comparisons between treatment groups and examine correlation in expression to each variable. The R package WGCNA was used (Langfelder &amp; Horvath 2008), which clusters contigs into eigengenes based on expression pattern and then calculates correlation between eigengene modules and experimental variables. Categorical variables were binarized, and a signed network was used. This analysis was performed once with all samples, and then again with only samples from crabs that did not die prior to the end of the experiment. This latter analysis </w:t>
      </w:r>
      <w:r w:rsidR="00C876D3">
        <w:t>included an examination of</w:t>
      </w:r>
      <w:r w:rsidRPr="00C361AA">
        <w:t xml:space="preserve"> change in </w:t>
      </w:r>
      <w:r w:rsidRPr="00C361AA">
        <w:rPr>
          <w:i/>
          <w:iCs/>
        </w:rPr>
        <w:t>Hematodinium</w:t>
      </w:r>
      <w:r w:rsidRPr="00C361AA">
        <w:t xml:space="preserve"> infection level over the 17-day experimental period.</w:t>
      </w:r>
    </w:p>
    <w:p w14:paraId="7D162245" w14:textId="15CEF909" w:rsidR="00C361AA" w:rsidRDefault="00C361AA" w:rsidP="00C361AA">
      <w:pPr>
        <w:pStyle w:val="Heading2"/>
      </w:pPr>
      <w:r>
        <w:t>Functional Enrichment</w:t>
      </w:r>
    </w:p>
    <w:p w14:paraId="0EAADD51" w14:textId="68E5284A" w:rsidR="00C361AA" w:rsidRPr="00C361AA" w:rsidRDefault="00C361AA" w:rsidP="00C361AA">
      <w:pPr>
        <w:rPr>
          <w:rFonts w:cs="Times New Roman"/>
          <w:szCs w:val="24"/>
        </w:rPr>
      </w:pPr>
      <w:r w:rsidRPr="00C361AA">
        <w:t>Gene ontology (GO) terms were obtained by cross-referencing the accession IDs of each contig with the Gene Ontology database. For differential expression analysis using pairwise comparisons, the log2-fold changes were extracted from the DESeq2 output and paired with GO terms as input for GO-MWU (Wright et al. 2015), which performs a Mann-Whitney U test and utilizes adaptive clustering to examine gene ontology term enrichment. </w:t>
      </w:r>
    </w:p>
    <w:p w14:paraId="4BF93435" w14:textId="77777777" w:rsidR="00C361AA" w:rsidRPr="00C361AA" w:rsidRDefault="00C361AA" w:rsidP="00C361AA">
      <w:pPr>
        <w:rPr>
          <w:rFonts w:cs="Times New Roman"/>
          <w:szCs w:val="24"/>
        </w:rPr>
      </w:pPr>
      <w:r w:rsidRPr="00C361AA">
        <w:t>For WGCNA analyses performed with eigengene clustering, all modules with a significant correlation to a sample trait were examined, and if the significance appeared to be due to correlation to libraries from a single crab, the module was discarded. For all remaining significant modules, the module membership (</w:t>
      </w:r>
      <w:proofErr w:type="spellStart"/>
      <w:r w:rsidRPr="00C361AA">
        <w:t>kME</w:t>
      </w:r>
      <w:proofErr w:type="spellEnd"/>
      <w:r w:rsidRPr="00C361AA">
        <w:t xml:space="preserve">) of its contigs was extracted, and functional enrichment of the module was analyzed using GO-MWU. This procedure was followed twice, once with all samples and once with only control and decreased treatment samples. The latter specifically examined change in </w:t>
      </w:r>
      <w:r w:rsidRPr="00C361AA">
        <w:rPr>
          <w:i/>
          <w:iCs/>
        </w:rPr>
        <w:t>Hematodinium</w:t>
      </w:r>
      <w:r w:rsidRPr="00C361AA">
        <w:t xml:space="preserve"> infection level over time, as only one time point for </w:t>
      </w:r>
      <w:r w:rsidRPr="00C361AA">
        <w:rPr>
          <w:i/>
          <w:iCs/>
        </w:rPr>
        <w:t>Hematodinium</w:t>
      </w:r>
      <w:r w:rsidRPr="00C361AA">
        <w:t xml:space="preserve"> infection level was available for the elevated treatment group.</w:t>
      </w:r>
    </w:p>
    <w:p w14:paraId="4034972D" w14:textId="513AAF73" w:rsidR="00C361AA" w:rsidRDefault="00C361AA" w:rsidP="00C361AA">
      <w:pPr>
        <w:pStyle w:val="Heading1"/>
      </w:pPr>
      <w:r>
        <w:t>Results</w:t>
      </w:r>
    </w:p>
    <w:p w14:paraId="5369AE89" w14:textId="27730AF0" w:rsidR="00C361AA" w:rsidRDefault="00C361AA" w:rsidP="00C361AA">
      <w:pPr>
        <w:pStyle w:val="Heading2"/>
        <w:rPr>
          <w:i/>
          <w:iCs/>
        </w:rPr>
      </w:pPr>
      <w:r>
        <w:t xml:space="preserve">Mortality and </w:t>
      </w:r>
      <w:r>
        <w:rPr>
          <w:i/>
          <w:iCs/>
        </w:rPr>
        <w:t>Hematodinium</w:t>
      </w:r>
      <w:r>
        <w:t xml:space="preserve"> Detection</w:t>
      </w:r>
    </w:p>
    <w:p w14:paraId="03776744" w14:textId="196A7C3A" w:rsidR="00C361AA" w:rsidRPr="00C361AA" w:rsidRDefault="00C361AA" w:rsidP="00C361AA">
      <w:r>
        <w:t xml:space="preserve">Analysis with qPCR revealed </w:t>
      </w:r>
      <w:r>
        <w:rPr>
          <w:i/>
          <w:iCs/>
        </w:rPr>
        <w:t>Hematodinium</w:t>
      </w:r>
      <w:r>
        <w:t xml:space="preserve"> infections were present in all crabs. Quantities of </w:t>
      </w:r>
      <w:r>
        <w:rPr>
          <w:i/>
          <w:iCs/>
        </w:rPr>
        <w:t>Hematodinium</w:t>
      </w:r>
      <w:r>
        <w:t xml:space="preserve"> DNA were compared over the course of the experiment in control and decreased temperature treatment groups. In four of the six crabs, </w:t>
      </w:r>
      <w:r>
        <w:rPr>
          <w:i/>
          <w:iCs/>
        </w:rPr>
        <w:t>Hematodinium</w:t>
      </w:r>
      <w:r>
        <w:t xml:space="preserve"> infection intensity decreased, and in three it decreased by at least two orders of magnitude (Supplemental Table 4)</w:t>
      </w:r>
    </w:p>
    <w:p w14:paraId="50664509" w14:textId="6E8554F7" w:rsidR="00C361AA" w:rsidRDefault="00C361AA" w:rsidP="00C361AA">
      <w:pPr>
        <w:pStyle w:val="Heading2"/>
      </w:pPr>
      <w:r>
        <w:lastRenderedPageBreak/>
        <w:t>Transcriptome Characterization</w:t>
      </w:r>
    </w:p>
    <w:p w14:paraId="0C19841D" w14:textId="5E90ABDC" w:rsidR="00E6471A" w:rsidRPr="00E6471A" w:rsidRDefault="00E6471A" w:rsidP="00E6471A">
      <w:pPr>
        <w:pStyle w:val="Heading3"/>
      </w:pPr>
      <w:r>
        <w:t>Complete Transcriptome</w:t>
      </w:r>
    </w:p>
    <w:p w14:paraId="799C9EEB" w14:textId="3293E728" w:rsidR="00C361AA" w:rsidRDefault="00C361AA" w:rsidP="00C361AA">
      <w:r>
        <w:t xml:space="preserve">The complete transcriptome (https://owl.fish.washington.edu/halfshell/genomic-databank/cbai_transcriptome_v2.0.fasta) was assembled into 1,412,254 consensus sequences. DIAMOND </w:t>
      </w:r>
      <w:proofErr w:type="spellStart"/>
      <w:r>
        <w:t>BLASTx</w:t>
      </w:r>
      <w:proofErr w:type="spellEnd"/>
      <w:r>
        <w:t xml:space="preserve"> against the </w:t>
      </w:r>
      <w:proofErr w:type="spellStart"/>
      <w:r>
        <w:t>UniProtKB</w:t>
      </w:r>
      <w:proofErr w:type="spellEnd"/>
      <w:r>
        <w:t>/Swiss-Prot database produced 43,789 annotated contigs (Supplemental table 3)</w:t>
      </w:r>
      <w:r>
        <w:t xml:space="preserve">. </w:t>
      </w:r>
    </w:p>
    <w:p w14:paraId="6F17BDAC" w14:textId="27C818AC" w:rsidR="00E6471A" w:rsidRDefault="00E6471A" w:rsidP="00E6471A">
      <w:pPr>
        <w:pStyle w:val="Heading3"/>
      </w:pPr>
      <w:r>
        <w:rPr>
          <w:i/>
          <w:iCs/>
        </w:rPr>
        <w:t>C. bairdi</w:t>
      </w:r>
      <w:r>
        <w:t xml:space="preserve"> Transcriptome</w:t>
      </w:r>
    </w:p>
    <w:p w14:paraId="684FDE04" w14:textId="5F3495A6" w:rsidR="00E6471A" w:rsidRDefault="00E6471A" w:rsidP="00E6471A">
      <w:r>
        <w:t xml:space="preserve">Assembly of quality trimmed and crab-specific reads into a transcriptome produced 88,302 consensus sequences (https://gannet.fish.washington.edu/Atumefaciens/20210317_cbai_trinity_RNAseq_transcriptome-v4.0/cbai_transcriptome_v4.0.fasta_trinity_out_dir/cbai_transcriptome_v4.0.fasta). A comparison against the </w:t>
      </w:r>
      <w:proofErr w:type="spellStart"/>
      <w:r>
        <w:t>UniProtKB</w:t>
      </w:r>
      <w:proofErr w:type="spellEnd"/>
      <w:r>
        <w:t>/Swiss-Prot database resulted in 30,094 annotated contigs</w:t>
      </w:r>
      <w:r>
        <w:t xml:space="preserve"> (Supplemental table 3</w:t>
      </w:r>
      <w:r>
        <w:t>).</w:t>
      </w:r>
    </w:p>
    <w:p w14:paraId="7F5DDA8A" w14:textId="3EE19138" w:rsidR="00E6471A" w:rsidRDefault="00E6471A" w:rsidP="00E6471A">
      <w:pPr>
        <w:pStyle w:val="Heading3"/>
      </w:pPr>
      <w:proofErr w:type="spellStart"/>
      <w:r>
        <w:t>Alveolata</w:t>
      </w:r>
      <w:proofErr w:type="spellEnd"/>
      <w:r>
        <w:t xml:space="preserve"> Transcriptome</w:t>
      </w:r>
    </w:p>
    <w:p w14:paraId="45ED7494" w14:textId="4D9AF309" w:rsidR="00E6471A" w:rsidRDefault="00E6471A" w:rsidP="00E6471A">
      <w:r>
        <w:t xml:space="preserve">Assembly of quality trimmed reads within the phylum </w:t>
      </w:r>
      <w:proofErr w:type="spellStart"/>
      <w:r>
        <w:t>Alveolata</w:t>
      </w:r>
      <w:proofErr w:type="spellEnd"/>
      <w:r>
        <w:t xml:space="preserve"> into a transcriptome yielded 6,176 consensus sequences (https://gannet.fish.washington.edu/Atumefaciens/20210308_hemat_trinity_v1.6_v1.7/hemat_transcriptome_v1.6.fasta_trinity_out_dir/hemat_transcriptome_v1.6.fasta). Comparison against the </w:t>
      </w:r>
      <w:proofErr w:type="spellStart"/>
      <w:r>
        <w:t>UniProt</w:t>
      </w:r>
      <w:proofErr w:type="spellEnd"/>
      <w:r>
        <w:t>/Swiss-Prot database produced 3,889 annotated contigs (</w:t>
      </w:r>
      <w:r>
        <w:t>Supplemental table 3</w:t>
      </w:r>
      <w:r>
        <w:t>). </w:t>
      </w:r>
    </w:p>
    <w:p w14:paraId="6E8CDE25" w14:textId="70F368D9" w:rsidR="00E6471A" w:rsidRDefault="00E6471A" w:rsidP="00E6471A">
      <w:pPr>
        <w:pStyle w:val="Heading2"/>
      </w:pPr>
      <w:r>
        <w:t>Immune Gene Characterization</w:t>
      </w:r>
    </w:p>
    <w:p w14:paraId="450A4D8F" w14:textId="0888F282" w:rsidR="00E6471A" w:rsidRDefault="00E6471A" w:rsidP="00E6471A">
      <w:pPr>
        <w:pStyle w:val="Heading3"/>
      </w:pPr>
      <w:r>
        <w:rPr>
          <w:i/>
          <w:iCs/>
        </w:rPr>
        <w:t>C. bairdi</w:t>
      </w:r>
    </w:p>
    <w:p w14:paraId="7F5D16E5" w14:textId="61411A92" w:rsidR="00E6471A" w:rsidRPr="00E6471A" w:rsidRDefault="00E6471A" w:rsidP="00E6471A">
      <w:pPr>
        <w:rPr>
          <w:rFonts w:cs="Times New Roman"/>
          <w:szCs w:val="24"/>
        </w:rPr>
      </w:pPr>
      <w:proofErr w:type="gramStart"/>
      <w:r w:rsidRPr="00E6471A">
        <w:t>A number of</w:t>
      </w:r>
      <w:proofErr w:type="gramEnd"/>
      <w:r w:rsidRPr="00E6471A">
        <w:t xml:space="preserve"> genes within the </w:t>
      </w:r>
      <w:r w:rsidRPr="00E6471A">
        <w:rPr>
          <w:i/>
          <w:iCs/>
        </w:rPr>
        <w:t>C. bairdi</w:t>
      </w:r>
      <w:r w:rsidRPr="00E6471A">
        <w:t xml:space="preserve"> transcriptome (n = 49) were associated with immune function (GO:0006955). Many were members of the cathepsin family, with cathepsins C, J, L, S, U, V, and W present. Cathepsin L was particularly broadly expressed, with seven distinct</w:t>
      </w:r>
      <w:r w:rsidR="00C876D3">
        <w:t xml:space="preserve"> </w:t>
      </w:r>
      <w:r w:rsidRPr="00E6471A">
        <w:t xml:space="preserve">genes coding for cathepsin and </w:t>
      </w:r>
      <w:proofErr w:type="spellStart"/>
      <w:r w:rsidRPr="00E6471A">
        <w:t>procathepsin</w:t>
      </w:r>
      <w:proofErr w:type="spellEnd"/>
      <w:r w:rsidRPr="00E6471A">
        <w:t xml:space="preserve"> L. </w:t>
      </w:r>
      <w:proofErr w:type="spellStart"/>
      <w:r w:rsidRPr="00E6471A">
        <w:t>Procathepsin</w:t>
      </w:r>
      <w:proofErr w:type="spellEnd"/>
      <w:r w:rsidRPr="00E6471A">
        <w:t xml:space="preserve"> L (transcriptome ID) was differentially expressed in the elevated treatment group over days 0 and 2. Multiple types of MAPKs (mitogen-activated protein kinases) were also present within the transcriptome, including two p38 MAPKs and one MAP4K. MAPKs are part of the IMD (immune deficiency) pathway, a notable component of the crustacean immune system. Several other genes associated with the IMD pathway were observed, including the transcription factor Relish and the kinase inhibitor </w:t>
      </w:r>
      <w:proofErr w:type="spellStart"/>
      <w:r w:rsidRPr="00E6471A">
        <w:t>IκK</w:t>
      </w:r>
      <w:proofErr w:type="spellEnd"/>
      <w:r w:rsidRPr="00E6471A">
        <w:t>. NFIL3, a nuclear factor with a role in regulating Relish expression in similar systems, was also present.</w:t>
      </w:r>
    </w:p>
    <w:p w14:paraId="31443B17" w14:textId="2273E253" w:rsidR="00E6471A" w:rsidRDefault="00E6471A" w:rsidP="00E6471A">
      <w:r w:rsidRPr="00E6471A">
        <w:t xml:space="preserve">Other notable immune-linked genes observed were Transcription Activator Protein-1 (TF AP-1) and Granzyme A. TF AP-1 acts as an immune system regulator within other crab species, along with a potential role as an </w:t>
      </w:r>
      <w:proofErr w:type="spellStart"/>
      <w:r w:rsidRPr="00E6471A">
        <w:t>osmoregulator</w:t>
      </w:r>
      <w:proofErr w:type="spellEnd"/>
      <w:r w:rsidRPr="00E6471A">
        <w:t xml:space="preserve"> (Wang et al. 2018). Little research on the role of Granzyme A in invertebrates has been performed, but in vertebrates it has a cytotoxic role against intracellular pathogens.</w:t>
      </w:r>
    </w:p>
    <w:p w14:paraId="52BE5BAC" w14:textId="7576FCB6" w:rsidR="00E6471A" w:rsidRDefault="007969FD" w:rsidP="00E6471A">
      <w:pPr>
        <w:pStyle w:val="Heading3"/>
        <w:rPr>
          <w:rFonts w:eastAsia="Times New Roman"/>
        </w:rPr>
      </w:pPr>
      <w:r w:rsidRPr="007969FD">
        <w:rPr>
          <w:rFonts w:eastAsia="Times New Roman"/>
          <w:i/>
          <w:iCs/>
        </w:rPr>
        <w:t>Hematodinium</w:t>
      </w:r>
      <w:r>
        <w:rPr>
          <w:rFonts w:eastAsia="Times New Roman"/>
          <w:i/>
          <w:iCs/>
        </w:rPr>
        <w:t xml:space="preserve"> </w:t>
      </w:r>
      <w:r>
        <w:rPr>
          <w:rFonts w:eastAsia="Times New Roman"/>
        </w:rPr>
        <w:t>sp.</w:t>
      </w:r>
    </w:p>
    <w:p w14:paraId="05A48A6E" w14:textId="77D07C62" w:rsidR="00E6471A" w:rsidRDefault="00E6471A" w:rsidP="00E6471A">
      <w:r>
        <w:t xml:space="preserve">Within the </w:t>
      </w:r>
      <w:proofErr w:type="spellStart"/>
      <w:r>
        <w:t>Alveolata</w:t>
      </w:r>
      <w:proofErr w:type="spellEnd"/>
      <w:r>
        <w:t xml:space="preserve"> transcriptome, 4 genes were linked to immune function. All four of these were cysteine proteases, which can function in blood cell degradation and invasion, surface proteins processing, and cell egress for intracellular parasites (Verma et al. 2016). Three of the four were cathepsins, including both </w:t>
      </w:r>
      <w:proofErr w:type="spellStart"/>
      <w:r>
        <w:t>procathepsin</w:t>
      </w:r>
      <w:proofErr w:type="spellEnd"/>
      <w:r>
        <w:t xml:space="preserve"> and cathepsin L.</w:t>
      </w:r>
    </w:p>
    <w:p w14:paraId="1440B3DD" w14:textId="4DCC106C" w:rsidR="007969FD" w:rsidRDefault="007969FD" w:rsidP="007969FD">
      <w:pPr>
        <w:pStyle w:val="Heading2"/>
      </w:pPr>
      <w:r>
        <w:lastRenderedPageBreak/>
        <w:t>Differential Expression</w:t>
      </w:r>
    </w:p>
    <w:p w14:paraId="289EE3A4" w14:textId="7B323FEC" w:rsidR="007969FD" w:rsidRDefault="007969FD" w:rsidP="007969FD">
      <w:pPr>
        <w:pStyle w:val="Heading3"/>
      </w:pPr>
      <w:r>
        <w:rPr>
          <w:i/>
          <w:iCs/>
        </w:rPr>
        <w:t>C. bairdi</w:t>
      </w:r>
    </w:p>
    <w:p w14:paraId="51CB2BBB" w14:textId="427B2BCB" w:rsidR="007969FD" w:rsidRDefault="007969FD" w:rsidP="007969FD">
      <w:pPr>
        <w:pStyle w:val="Heading4"/>
      </w:pPr>
      <w:r>
        <w:t>Temperature</w:t>
      </w:r>
    </w:p>
    <w:p w14:paraId="16CC29B0" w14:textId="05596601" w:rsidR="007969FD" w:rsidRDefault="007969FD" w:rsidP="007969FD">
      <w:r>
        <w:t xml:space="preserve">To determine the influence of acute temperature change on gene expression in </w:t>
      </w:r>
      <w:r>
        <w:rPr>
          <w:i/>
          <w:iCs/>
        </w:rPr>
        <w:t>C. bairdi</w:t>
      </w:r>
      <w:r>
        <w:t>, comparisons of gene expression were made within each treatment group prior to, and two days after, the initiation of temperature changes. Within the elevated treatment group (libraries G0, H0, I0, G2, H2, I2), 1721 contigs were identified as differentially expressed (</w:t>
      </w:r>
      <w:proofErr w:type="spellStart"/>
      <w:r>
        <w:t>padj</w:t>
      </w:r>
      <w:proofErr w:type="spellEnd"/>
      <w:r>
        <w:t xml:space="preserve"> </w:t>
      </w:r>
      <w:r>
        <w:rPr>
          <w:u w:val="single"/>
        </w:rPr>
        <w:t>&lt;</w:t>
      </w:r>
      <w:r>
        <w:t xml:space="preserve"> 0.05). Of these, 1473 were expressed at higher levels after the increase from 7.5°C to 10°C. Within the decreased treatment group (libraries D0, E0, F0, D2, E2, F2), 7 contigs were identified as differentially expressed (</w:t>
      </w:r>
      <w:proofErr w:type="spellStart"/>
      <w:r>
        <w:t>padj</w:t>
      </w:r>
      <w:proofErr w:type="spellEnd"/>
      <w:r>
        <w:t xml:space="preserve"> </w:t>
      </w:r>
      <w:r>
        <w:rPr>
          <w:u w:val="single"/>
        </w:rPr>
        <w:t xml:space="preserve">&lt; </w:t>
      </w:r>
      <w:r>
        <w:t>0.05), all of which were expressed at higher levels after the decrease in temperature from 7.5°C to 4°C. </w:t>
      </w:r>
    </w:p>
    <w:p w14:paraId="51AAD901" w14:textId="280BAE34" w:rsidR="007969FD" w:rsidRDefault="007969FD" w:rsidP="007969FD">
      <w:pPr>
        <w:pStyle w:val="Heading4"/>
      </w:pPr>
      <w:r>
        <w:t>Time</w:t>
      </w:r>
    </w:p>
    <w:p w14:paraId="6326BC75" w14:textId="07F2085C" w:rsidR="007969FD" w:rsidRDefault="007969FD" w:rsidP="007969FD">
      <w:r>
        <w:t>To examine host gene expression changes as the infection develops, gene expression within the control group on Day 0 was compared to expression on Day 17 (libraries A0, B0, C0, A17, B17, C17). A total of 473 contigs were differentially expressed. Of these, 251 were expressed on higher levels on Day 17. To determine when the changes in expression occurred, each of these groups were compared to libraries from Day 2 from the same crab. Between the first two days, there were 78 differentially expressed contigs, while the subsequent 15 days had 473 differentially expressed contigs.</w:t>
      </w:r>
    </w:p>
    <w:p w14:paraId="6B375E00" w14:textId="4C0E7638" w:rsidR="007969FD" w:rsidRDefault="007969FD" w:rsidP="007969FD">
      <w:pPr>
        <w:pStyle w:val="Heading3"/>
      </w:pPr>
      <w:r>
        <w:rPr>
          <w:i/>
          <w:iCs/>
        </w:rPr>
        <w:t xml:space="preserve">Hematodinium </w:t>
      </w:r>
      <w:r>
        <w:t>sp.</w:t>
      </w:r>
    </w:p>
    <w:p w14:paraId="61DA11EA" w14:textId="77D7F70F" w:rsidR="007969FD" w:rsidRDefault="007969FD" w:rsidP="007969FD">
      <w:pPr>
        <w:pStyle w:val="Heading4"/>
      </w:pPr>
      <w:r>
        <w:t>Temperature</w:t>
      </w:r>
    </w:p>
    <w:p w14:paraId="3222F9CA" w14:textId="0D430AA1" w:rsidR="007969FD" w:rsidRDefault="007969FD" w:rsidP="007969FD">
      <w:r>
        <w:t xml:space="preserve">To examine the impact of acute temperature change on gene expression in </w:t>
      </w:r>
      <w:r>
        <w:rPr>
          <w:i/>
          <w:iCs/>
        </w:rPr>
        <w:t>Hematodinium</w:t>
      </w:r>
      <w:r>
        <w:t xml:space="preserve">, the same comparisons were made with libraries aligned to the </w:t>
      </w:r>
      <w:proofErr w:type="spellStart"/>
      <w:r>
        <w:t>Alveolata</w:t>
      </w:r>
      <w:proofErr w:type="spellEnd"/>
      <w:r>
        <w:t xml:space="preserve"> transcriptome. Within the elevated treatment group, four contigs were identified as differentially expressed. Three of these — two (P85200 &amp; O23717) proteasome subunits, and mitochondrial membrane ATP synthase (Q06056) — were matched to the </w:t>
      </w:r>
      <w:proofErr w:type="spellStart"/>
      <w:r>
        <w:t>UniProtKB</w:t>
      </w:r>
      <w:proofErr w:type="spellEnd"/>
      <w:r>
        <w:t>/Swiss-Prot database. Over the same timeframe, no contigs were identified as differentially expressed within the decreased treatment group. </w:t>
      </w:r>
    </w:p>
    <w:p w14:paraId="5FFB6793" w14:textId="2F5F2FC3" w:rsidR="007969FD" w:rsidRDefault="007969FD" w:rsidP="007969FD">
      <w:pPr>
        <w:pStyle w:val="Heading4"/>
      </w:pPr>
      <w:r>
        <w:t>Time</w:t>
      </w:r>
    </w:p>
    <w:p w14:paraId="58542057" w14:textId="6A0E3081" w:rsidR="007969FD" w:rsidRPr="007969FD" w:rsidRDefault="007969FD" w:rsidP="007969FD">
      <w:pPr>
        <w:rPr>
          <w:rFonts w:cs="Times New Roman"/>
          <w:szCs w:val="24"/>
        </w:rPr>
      </w:pPr>
      <w:r w:rsidRPr="007969FD">
        <w:t xml:space="preserve">An examination of change in </w:t>
      </w:r>
      <w:r w:rsidRPr="007969FD">
        <w:rPr>
          <w:i/>
          <w:iCs/>
        </w:rPr>
        <w:t>Hematodinium</w:t>
      </w:r>
      <w:r w:rsidRPr="007969FD">
        <w:t xml:space="preserve"> expression as the infection develops was also performed by comparing expression in the control group between Day 0 and Day 17. A total of 7 contigs were identified as differentially expressed, and all were expressed at higher levels by the end of the experiment. When matched to the </w:t>
      </w:r>
      <w:proofErr w:type="spellStart"/>
      <w:r w:rsidRPr="007969FD">
        <w:t>UniProtKB</w:t>
      </w:r>
      <w:proofErr w:type="spellEnd"/>
      <w:r w:rsidRPr="007969FD">
        <w:t>/Swiss-Prot database, the protein coding gene C16orf89 (Q6UX73) and a serine protease (P52717) were identified.</w:t>
      </w:r>
    </w:p>
    <w:p w14:paraId="2E69817F" w14:textId="5BA30FE0" w:rsidR="007969FD" w:rsidRDefault="007969FD" w:rsidP="007969FD">
      <w:r w:rsidRPr="007969FD">
        <w:t>Significant changes in functional enrichment were observed between Day 0 and Day 17 (Fig</w:t>
      </w:r>
      <w:r w:rsidR="00355282">
        <w:t>ure</w:t>
      </w:r>
      <w:r w:rsidRPr="007969FD">
        <w:t xml:space="preserve"> 2). Expression decreased with time in several RNA-related processes, along with ribosomal assembly and cellular component assembly. Simultaneously, expression increased in microtubule-based processes, developmental processes, and movement of cell or subcellular components. </w:t>
      </w:r>
    </w:p>
    <w:p w14:paraId="3FDD2EBC" w14:textId="6852812E" w:rsidR="007969FD" w:rsidRDefault="007969FD" w:rsidP="007969FD">
      <w:pPr>
        <w:pStyle w:val="Heading2"/>
      </w:pPr>
      <w:r>
        <w:t>Clustering By Expression Patterns</w:t>
      </w:r>
    </w:p>
    <w:p w14:paraId="4032C237" w14:textId="3F8B5CCE" w:rsidR="007969FD" w:rsidRDefault="007969FD" w:rsidP="007969FD">
      <w:pPr>
        <w:pStyle w:val="Heading3"/>
      </w:pPr>
      <w:r>
        <w:rPr>
          <w:i/>
          <w:iCs/>
        </w:rPr>
        <w:t>C. bairdi</w:t>
      </w:r>
    </w:p>
    <w:p w14:paraId="075A32DE" w14:textId="5D0BDF6C" w:rsidR="007969FD" w:rsidRPr="007969FD" w:rsidRDefault="007969FD" w:rsidP="007969FD">
      <w:pPr>
        <w:rPr>
          <w:rFonts w:cs="Times New Roman"/>
          <w:szCs w:val="24"/>
        </w:rPr>
      </w:pPr>
      <w:r w:rsidRPr="007969FD">
        <w:t xml:space="preserve">Groups of genes were identified based on similar expression patterns across samples and clustered into modules. Those modules were then correlated with day, temperature at time of sample, initial </w:t>
      </w:r>
      <w:r w:rsidRPr="007969FD">
        <w:rPr>
          <w:i/>
          <w:iCs/>
        </w:rPr>
        <w:lastRenderedPageBreak/>
        <w:t>Hematodinium</w:t>
      </w:r>
      <w:r w:rsidRPr="007969FD">
        <w:t xml:space="preserve"> infection level, carapace width, and shell condition. Modules that were significantly correlated to a variable were examined to see if that correlation appeared to be </w:t>
      </w:r>
      <w:proofErr w:type="gramStart"/>
      <w:r w:rsidRPr="007969FD">
        <w:t>due to the effect</w:t>
      </w:r>
      <w:proofErr w:type="gramEnd"/>
      <w:r w:rsidRPr="007969FD">
        <w:t xml:space="preserve"> of a single crab. If so, that module was ignored. This process produced two significant modules, black (n = 117) and brown (n = 1903). Expression in both was significantly linked to temperature response (Fig</w:t>
      </w:r>
      <w:r w:rsidR="00355282">
        <w:t>ure</w:t>
      </w:r>
      <w:r w:rsidRPr="007969FD">
        <w:t xml:space="preserve"> 3). </w:t>
      </w:r>
    </w:p>
    <w:p w14:paraId="2A5E3036" w14:textId="254098A5" w:rsidR="007969FD" w:rsidRDefault="007969FD" w:rsidP="007969FD">
      <w:r w:rsidRPr="007969FD">
        <w:t xml:space="preserve">To examine change in </w:t>
      </w:r>
      <w:r w:rsidRPr="007969FD">
        <w:rPr>
          <w:i/>
          <w:iCs/>
        </w:rPr>
        <w:t>Hematodinium</w:t>
      </w:r>
      <w:r w:rsidRPr="007969FD">
        <w:t xml:space="preserve"> infection over the course of the experiment, the analysis was repeated excluding samples from crabs that died prior to the final sample collection. The same procedure was followed, except all modules that showed significant correlation to variables other than change in </w:t>
      </w:r>
      <w:r w:rsidRPr="007969FD">
        <w:rPr>
          <w:i/>
          <w:iCs/>
        </w:rPr>
        <w:t>Hematodinium</w:t>
      </w:r>
      <w:r w:rsidRPr="007969FD">
        <w:t xml:space="preserve"> infection were discarded. One module (red) was significantly linked to change in </w:t>
      </w:r>
      <w:r w:rsidRPr="007969FD">
        <w:rPr>
          <w:i/>
          <w:iCs/>
        </w:rPr>
        <w:t xml:space="preserve">Hematodinium </w:t>
      </w:r>
      <w:r w:rsidRPr="007969FD">
        <w:t>infection (n = 128). </w:t>
      </w:r>
    </w:p>
    <w:p w14:paraId="3A2CC710" w14:textId="353A9283" w:rsidR="007969FD" w:rsidRPr="007969FD" w:rsidRDefault="007969FD" w:rsidP="007969FD">
      <w:pPr>
        <w:pStyle w:val="Heading3"/>
        <w:rPr>
          <w:rFonts w:eastAsia="Times New Roman"/>
        </w:rPr>
      </w:pPr>
      <w:r>
        <w:rPr>
          <w:rFonts w:eastAsia="Times New Roman"/>
          <w:i/>
          <w:iCs/>
        </w:rPr>
        <w:t>Hematodinium</w:t>
      </w:r>
      <w:r>
        <w:rPr>
          <w:rFonts w:eastAsia="Times New Roman"/>
        </w:rPr>
        <w:t xml:space="preserve"> sp.</w:t>
      </w:r>
    </w:p>
    <w:p w14:paraId="6318FFCD" w14:textId="3FC6671B" w:rsidR="007969FD" w:rsidRDefault="007969FD" w:rsidP="007969FD">
      <w:r>
        <w:t xml:space="preserve">An examination of correlation between gene clusters and experimental variables revealed linkage between the pink module (n = 14) and day, along with the brown module (n = 21) and initial </w:t>
      </w:r>
      <w:r>
        <w:rPr>
          <w:i/>
          <w:iCs/>
        </w:rPr>
        <w:t>Hematodinium</w:t>
      </w:r>
      <w:r>
        <w:t xml:space="preserve"> infection level (Fig</w:t>
      </w:r>
      <w:r w:rsidR="00355282">
        <w:t>ure</w:t>
      </w:r>
      <w:r>
        <w:t xml:space="preserve"> 4). Within the pink module, significant enrichment of negative regulation of biological processes (</w:t>
      </w:r>
      <w:proofErr w:type="spellStart"/>
      <w:r>
        <w:t>padj</w:t>
      </w:r>
      <w:proofErr w:type="spellEnd"/>
      <w:r>
        <w:t xml:space="preserve"> = 0.025) and of cellular macromolecule catabolic processes (</w:t>
      </w:r>
      <w:proofErr w:type="spellStart"/>
      <w:r>
        <w:t>padj</w:t>
      </w:r>
      <w:proofErr w:type="spellEnd"/>
      <w:r>
        <w:t xml:space="preserve"> = 1 x 10</w:t>
      </w:r>
      <w:r>
        <w:rPr>
          <w:sz w:val="13"/>
          <w:szCs w:val="13"/>
          <w:vertAlign w:val="superscript"/>
        </w:rPr>
        <w:t>-15</w:t>
      </w:r>
      <w:r>
        <w:t>) was present. The brown module had numerous enriched pathways, including cytokinesis, vacuole organization, and translational elongation (Fig</w:t>
      </w:r>
      <w:r w:rsidR="00355282">
        <w:t>ure</w:t>
      </w:r>
      <w:r>
        <w:t xml:space="preserve"> 5). </w:t>
      </w:r>
    </w:p>
    <w:p w14:paraId="340305AE" w14:textId="06C4F988" w:rsidR="007969FD" w:rsidRDefault="007969FD" w:rsidP="007969FD">
      <w:pPr>
        <w:pStyle w:val="Heading1"/>
      </w:pPr>
      <w:r>
        <w:t>Discussion</w:t>
      </w:r>
    </w:p>
    <w:p w14:paraId="4DA58DA1" w14:textId="6A3A3A72" w:rsidR="007969FD" w:rsidRDefault="007969FD" w:rsidP="007969FD">
      <w:pPr>
        <w:pStyle w:val="Heading2"/>
      </w:pPr>
      <w:r>
        <w:t>Transcriptome Description</w:t>
      </w:r>
    </w:p>
    <w:p w14:paraId="2055A3FD" w14:textId="15DAC0A0" w:rsidR="007969FD" w:rsidRDefault="007969FD" w:rsidP="007969FD">
      <w:r>
        <w:t xml:space="preserve">We provide a </w:t>
      </w:r>
      <w:r>
        <w:rPr>
          <w:i/>
          <w:iCs/>
        </w:rPr>
        <w:t>C. bairdi</w:t>
      </w:r>
      <w:r>
        <w:t xml:space="preserve"> transcriptome, along with the first transcriptome for any </w:t>
      </w:r>
      <w:r>
        <w:rPr>
          <w:i/>
          <w:iCs/>
        </w:rPr>
        <w:t>Hematodinium</w:t>
      </w:r>
      <w:r>
        <w:t xml:space="preserve"> species. We also produce the first transcriptional description of a crustacean parasitized by a dinoflagellate, providing valuable insight into the function of a host/parasite system. BUSCO scores indicate that transcriptome completeness was 73.8% for </w:t>
      </w:r>
      <w:r>
        <w:rPr>
          <w:i/>
          <w:iCs/>
        </w:rPr>
        <w:t xml:space="preserve">C. bairdi </w:t>
      </w:r>
      <w:r>
        <w:t xml:space="preserve">and 26.5% for </w:t>
      </w:r>
      <w:r>
        <w:rPr>
          <w:i/>
          <w:iCs/>
        </w:rPr>
        <w:t>Hematodinium</w:t>
      </w:r>
      <w:r>
        <w:t>, indicating we produced robust transcriptomes for two species of major commercial and ecological importance and provided a scaffold for related species.</w:t>
      </w:r>
    </w:p>
    <w:p w14:paraId="041C6A02" w14:textId="148810E9" w:rsidR="007969FD" w:rsidRDefault="007969FD" w:rsidP="007969FD">
      <w:pPr>
        <w:pStyle w:val="Heading2"/>
      </w:pPr>
      <w:r>
        <w:t>Immune Description</w:t>
      </w:r>
    </w:p>
    <w:p w14:paraId="42FD7A55" w14:textId="4D0726FA" w:rsidR="007969FD" w:rsidRDefault="007969FD" w:rsidP="007969FD">
      <w:pPr>
        <w:pStyle w:val="Heading3"/>
      </w:pPr>
      <w:r>
        <w:rPr>
          <w:i/>
          <w:iCs/>
        </w:rPr>
        <w:t>C. bairdi</w:t>
      </w:r>
    </w:p>
    <w:p w14:paraId="266F24A8" w14:textId="63326302" w:rsidR="007969FD" w:rsidRDefault="007969FD" w:rsidP="007969FD">
      <w:pPr>
        <w:rPr>
          <w:color w:val="222222"/>
        </w:rPr>
      </w:pPr>
      <w:r>
        <w:t xml:space="preserve">Of the 49 immune genes observed within the </w:t>
      </w:r>
      <w:r>
        <w:rPr>
          <w:i/>
          <w:iCs/>
        </w:rPr>
        <w:t xml:space="preserve">C. bairdi </w:t>
      </w:r>
      <w:r>
        <w:t xml:space="preserve">transcriptome, over 20% (n = 11) were members of the cathepsin family. Seven of those code for cathepsin or </w:t>
      </w:r>
      <w:proofErr w:type="spellStart"/>
      <w:r>
        <w:t>procathepsin</w:t>
      </w:r>
      <w:proofErr w:type="spellEnd"/>
      <w:r>
        <w:t xml:space="preserve"> L. In multiple crustaceans, cathepsin L has been shown to be upregulated in response to pathogen exposure (Li et al. 2010) (Dai et al. 2017), indicating that further research on </w:t>
      </w:r>
      <w:r>
        <w:rPr>
          <w:i/>
          <w:iCs/>
        </w:rPr>
        <w:t xml:space="preserve">C. bairdi </w:t>
      </w:r>
      <w:r>
        <w:t>cathepsins may prove fruitful for uncovering the consequences of rising temperatures. Furthermore, cathepsin C, which plays an important role in cru</w:t>
      </w:r>
      <w:r>
        <w:rPr>
          <w:color w:val="222222"/>
        </w:rPr>
        <w:t xml:space="preserve">stacean immunoregulatory function (Liu et al. 2020) was also observed within the transcriptome. Several genes associated with the IMD pathway were observed, including several MAPKs, Relish, </w:t>
      </w:r>
      <w:proofErr w:type="spellStart"/>
      <w:r>
        <w:rPr>
          <w:color w:val="222222"/>
        </w:rPr>
        <w:t>IκK</w:t>
      </w:r>
      <w:proofErr w:type="spellEnd"/>
      <w:r>
        <w:rPr>
          <w:color w:val="222222"/>
        </w:rPr>
        <w:t>, and NFIL3. The IMD pathway is a vital component of the crustacean innate immune system (Zhou et al. 2018). This study represents the first evidence that this pathway may be involved in response to infection by a parasitic dinoflagellate.</w:t>
      </w:r>
    </w:p>
    <w:p w14:paraId="1F0D2AD5" w14:textId="3DDBC90B" w:rsidR="007969FD" w:rsidRPr="007969FD" w:rsidRDefault="007969FD" w:rsidP="007969FD">
      <w:pPr>
        <w:pStyle w:val="Heading3"/>
      </w:pPr>
      <w:r>
        <w:rPr>
          <w:i/>
          <w:iCs/>
        </w:rPr>
        <w:t>Hematodinium</w:t>
      </w:r>
      <w:r>
        <w:t xml:space="preserve"> sp.</w:t>
      </w:r>
    </w:p>
    <w:p w14:paraId="56E11E40" w14:textId="3BF8738C" w:rsidR="007969FD" w:rsidRDefault="007969FD" w:rsidP="007969FD">
      <w:r>
        <w:t xml:space="preserve">Four genes within the parasite transcriptome were linked to immune function, three of which were papain-family proteases. This provides an intriguing indication of the mechanism by which </w:t>
      </w:r>
      <w:r>
        <w:rPr>
          <w:i/>
          <w:iCs/>
        </w:rPr>
        <w:t>Hematodinium</w:t>
      </w:r>
      <w:r>
        <w:t xml:space="preserve"> proliferates within the host. Within other parasitic members of Apicomplexa, papain-</w:t>
      </w:r>
      <w:r>
        <w:lastRenderedPageBreak/>
        <w:t xml:space="preserve">family proteases have been identified as having important roles in cell invasion (Que et al. 2002), including blood cell degradation (Pandey et al. 2005) and cell egress (Verma et al. 2016). Previous studies have found that </w:t>
      </w:r>
      <w:r>
        <w:rPr>
          <w:i/>
          <w:iCs/>
        </w:rPr>
        <w:t>Hematodinium</w:t>
      </w:r>
      <w:r>
        <w:t xml:space="preserve"> primarily proliferates within the hemolymph of the host (Wheeler et al. 2007), but the exact mechanism of that proliferation has been undetermined. This provides an intriguing indication that papain-family proteases may play important roles in infecting and multiplying within hosts.</w:t>
      </w:r>
    </w:p>
    <w:p w14:paraId="45759BEC" w14:textId="6810744A" w:rsidR="007969FD" w:rsidRDefault="007969FD" w:rsidP="007969FD">
      <w:pPr>
        <w:pStyle w:val="Heading2"/>
      </w:pPr>
      <w:r>
        <w:t>Differential Expression</w:t>
      </w:r>
    </w:p>
    <w:p w14:paraId="5A4A3730" w14:textId="31485E80" w:rsidR="007969FD" w:rsidRDefault="007969FD" w:rsidP="007969FD">
      <w:pPr>
        <w:pStyle w:val="Heading3"/>
      </w:pPr>
      <w:r>
        <w:rPr>
          <w:i/>
          <w:iCs/>
        </w:rPr>
        <w:t>C. bairdi</w:t>
      </w:r>
    </w:p>
    <w:p w14:paraId="10B36AA6" w14:textId="5B1ABB4E" w:rsidR="009310E6" w:rsidRPr="009310E6" w:rsidRDefault="009310E6" w:rsidP="009310E6">
      <w:pPr>
        <w:rPr>
          <w:rFonts w:cs="Times New Roman"/>
          <w:szCs w:val="24"/>
        </w:rPr>
      </w:pPr>
      <w:r w:rsidRPr="009310E6">
        <w:t xml:space="preserve">Our pairwise comparison of gene expression within treatment groups identified 1721 contigs as </w:t>
      </w:r>
      <w:proofErr w:type="gramStart"/>
      <w:r w:rsidRPr="009310E6">
        <w:t>differentially-expressed</w:t>
      </w:r>
      <w:proofErr w:type="gramEnd"/>
      <w:r w:rsidRPr="009310E6">
        <w:t xml:space="preserve"> between ambient and elevated temperatures. Of these, 86% </w:t>
      </w:r>
      <w:proofErr w:type="spellStart"/>
      <w:r w:rsidRPr="009310E6">
        <w:t>increased</w:t>
      </w:r>
      <w:proofErr w:type="spellEnd"/>
      <w:r w:rsidRPr="009310E6">
        <w:t xml:space="preserve"> in expression following a temperature rise. This likely indicates that short-term heat exposure represents a substantial metabolic increase or stress response. Previous studies found no increase in growth rate for juvenile male </w:t>
      </w:r>
      <w:r w:rsidRPr="009310E6">
        <w:rPr>
          <w:i/>
          <w:iCs/>
        </w:rPr>
        <w:t>C. bairdi</w:t>
      </w:r>
      <w:r w:rsidRPr="009310E6">
        <w:t xml:space="preserve"> raised at 6°C and 9°C (Paul &amp; Paul 2001), suggesting that this increase in expression is largely a stress response. Since very few contigs were differentially expressed when exposed to a decrease in temperature (n = 7), this provides evidence that for infected</w:t>
      </w:r>
      <w:r w:rsidRPr="009310E6">
        <w:rPr>
          <w:i/>
          <w:iCs/>
        </w:rPr>
        <w:t xml:space="preserve"> C. bairdi</w:t>
      </w:r>
      <w:r w:rsidRPr="009310E6">
        <w:t xml:space="preserve">, short-term temperature increases are much more physiologically stressful than short-term temperature decreases. Given the increase in frequency and severity of marine heat waves throughout much of the range of </w:t>
      </w:r>
      <w:r w:rsidRPr="009310E6">
        <w:rPr>
          <w:i/>
          <w:iCs/>
        </w:rPr>
        <w:t xml:space="preserve">C. bairdi </w:t>
      </w:r>
      <w:r w:rsidRPr="009310E6">
        <w:t xml:space="preserve">(Carvalho et al. 2021, Di Lorenzo &amp; Mantua 2016), this indicates the substantial portion of wild </w:t>
      </w:r>
      <w:r w:rsidRPr="009310E6">
        <w:rPr>
          <w:i/>
          <w:iCs/>
        </w:rPr>
        <w:t>C. bairdi</w:t>
      </w:r>
      <w:r w:rsidRPr="009310E6">
        <w:t xml:space="preserve"> populations that are infected by </w:t>
      </w:r>
      <w:r w:rsidRPr="009310E6">
        <w:rPr>
          <w:i/>
          <w:iCs/>
        </w:rPr>
        <w:t>Hematodinium</w:t>
      </w:r>
      <w:r w:rsidRPr="009310E6">
        <w:t xml:space="preserve"> may experience a considerable increase in energetic costs. </w:t>
      </w:r>
    </w:p>
    <w:p w14:paraId="3458E49B" w14:textId="36F986A3" w:rsidR="009310E6" w:rsidRPr="009310E6" w:rsidRDefault="009310E6" w:rsidP="009310E6">
      <w:pPr>
        <w:rPr>
          <w:rFonts w:cs="Times New Roman"/>
          <w:szCs w:val="24"/>
        </w:rPr>
      </w:pPr>
      <w:r w:rsidRPr="009310E6">
        <w:t>The increase in temperature significantly altered expression of numerous stress-related genes. These include cytochrome p450, which is involved in detoxification in crustaceans (Steele et al. 2018), glutathione peroxidase, an enzyme that protects against oxidative stress (Cheng et al. 2020), and PAK2, which stimulates cell survival and growth (Qiu et al. 2017). Additionally, many genes with altered expression patterns were involved with both stress response and the immune system. Three chitinase genes were differentially expressed at elevated temperatures, along with two serine protease inhibitors. Studies in other crab species have shown these genes to be involved in responding to both physiological stress and bacterial infection (Zhou et al. 2018, Bao et al. 2019). </w:t>
      </w:r>
    </w:p>
    <w:p w14:paraId="5146D138" w14:textId="77777777" w:rsidR="009310E6" w:rsidRPr="009310E6" w:rsidRDefault="009310E6" w:rsidP="009310E6">
      <w:pPr>
        <w:rPr>
          <w:rFonts w:cs="Times New Roman"/>
          <w:szCs w:val="24"/>
        </w:rPr>
      </w:pPr>
      <w:r w:rsidRPr="009310E6">
        <w:t xml:space="preserve">Interestingly, C-type lectin, which is a key component of the innate immune system (Zhu et al. 2016), decreased significantly in expression both after an increase in temperatures and over the 17-day course of the experiment in crabs within the ambient treatment group. The same pattern was observed in cathepsin L, another important protein involved in the crab immune system (Li et al. 2010), and in several genes related to ubiquitin, which is involved in muscle atrophy (Koenders et al. 2002). This overlap is also seen more broadly — of the 151 identified genes that were differentially expressed between the start and end of the experiment within the ambient treatment group, 48 were also differentially expressed within the elevated treatment group following the two-day increase in temperature. For all 48, the change in expression occurred in the same direction. The changes within the ambient treatment group show how host expression changes as </w:t>
      </w:r>
      <w:r w:rsidRPr="009310E6">
        <w:rPr>
          <w:i/>
          <w:iCs/>
        </w:rPr>
        <w:t>Hematodinium</w:t>
      </w:r>
      <w:r w:rsidRPr="009310E6">
        <w:t xml:space="preserve"> infection develops over the 17-day period. Since many of the same expression patterns were observed after only two days at elevated temperatures, this indicates that warming temperatures may speed the development of the infection. As mortality rates for </w:t>
      </w:r>
      <w:r w:rsidRPr="009310E6">
        <w:rPr>
          <w:i/>
          <w:iCs/>
        </w:rPr>
        <w:t>Chionoecetes</w:t>
      </w:r>
      <w:r w:rsidRPr="009310E6">
        <w:t xml:space="preserve"> spp. infected by </w:t>
      </w:r>
      <w:r w:rsidRPr="009310E6">
        <w:rPr>
          <w:i/>
          <w:iCs/>
        </w:rPr>
        <w:t xml:space="preserve">Hematodinium </w:t>
      </w:r>
      <w:r w:rsidRPr="009310E6">
        <w:t>are remarkably high (Shields et al. 2005), heat waves could cause large mortality events.</w:t>
      </w:r>
    </w:p>
    <w:p w14:paraId="405E3143" w14:textId="6B7284CA" w:rsidR="007969FD" w:rsidRDefault="009310E6" w:rsidP="009310E6">
      <w:pPr>
        <w:pStyle w:val="Heading3"/>
      </w:pPr>
      <w:r>
        <w:rPr>
          <w:i/>
          <w:iCs/>
        </w:rPr>
        <w:lastRenderedPageBreak/>
        <w:t xml:space="preserve">Hematodinium </w:t>
      </w:r>
      <w:r>
        <w:t>sp.</w:t>
      </w:r>
    </w:p>
    <w:p w14:paraId="54CA670B" w14:textId="42842430" w:rsidR="009310E6" w:rsidRDefault="009310E6" w:rsidP="009310E6">
      <w:r>
        <w:t xml:space="preserve">Within the ambient temperature treatment group, over the course of the experiment RNA processing and splicing decreased significantly, as did cellular component assembly and mRNA metabolic processes. Meanwhile, microtubule-based processes and developmental processes both increased in expression significantly. Our clustering-based analysis of expression in all crabs also located a module of genes linked </w:t>
      </w:r>
      <w:proofErr w:type="gramStart"/>
      <w:r>
        <w:t>to day</w:t>
      </w:r>
      <w:proofErr w:type="gramEnd"/>
      <w:r>
        <w:t xml:space="preserve">, with significant enrichment of cellular macromolecule catabolic processes within the module. This enrichment is possibly due to changes in dominant life stages for </w:t>
      </w:r>
      <w:r>
        <w:rPr>
          <w:i/>
          <w:iCs/>
        </w:rPr>
        <w:t>Hematodinium</w:t>
      </w:r>
      <w:r>
        <w:t xml:space="preserve"> sp. infections. </w:t>
      </w:r>
      <w:r>
        <w:rPr>
          <w:i/>
          <w:iCs/>
        </w:rPr>
        <w:t>Hematodinium</w:t>
      </w:r>
      <w:r>
        <w:t xml:space="preserve"> has a notoriously complex life cycle (Appleton &amp; Vickerman 1997), with </w:t>
      </w:r>
      <w:proofErr w:type="gramStart"/>
      <w:r>
        <w:t>a number of</w:t>
      </w:r>
      <w:proofErr w:type="gramEnd"/>
      <w:r>
        <w:t xml:space="preserve"> different stages developing within a single host. Since we eliminated all modules predominantly linked to a single crab, this indicates that the potential change in life stage occurred within multiple hosts. Though we are unable to identify those life stages without histology samples, this provides evidence that gene expression may vary substantially between stages, and indicates that RNA sequencing may be an excellent tool for such a diagnostic.</w:t>
      </w:r>
    </w:p>
    <w:p w14:paraId="626D12B0" w14:textId="06918453" w:rsidR="009310E6" w:rsidRDefault="009310E6" w:rsidP="009310E6">
      <w:pPr>
        <w:pStyle w:val="Heading1"/>
      </w:pPr>
      <w:r>
        <w:t>Conclusion</w:t>
      </w:r>
    </w:p>
    <w:p w14:paraId="178E1875" w14:textId="3B9461F6" w:rsidR="009310E6" w:rsidRDefault="009310E6" w:rsidP="009310E6">
      <w:r>
        <w:t xml:space="preserve">Given the economic, social, and ecological importance of </w:t>
      </w:r>
      <w:r>
        <w:rPr>
          <w:i/>
          <w:iCs/>
        </w:rPr>
        <w:t xml:space="preserve">C. bairdi, </w:t>
      </w:r>
      <w:r>
        <w:t xml:space="preserve">along with the prevalence and highly pathogenic nature of </w:t>
      </w:r>
      <w:r>
        <w:rPr>
          <w:i/>
          <w:iCs/>
        </w:rPr>
        <w:t>Hematodinium</w:t>
      </w:r>
      <w:r>
        <w:t xml:space="preserve">, research illuminating the response of this complex host—parasite system to changes in temperature is of crucial importance. Our research identifies immune genes expressed by </w:t>
      </w:r>
      <w:r>
        <w:rPr>
          <w:i/>
          <w:iCs/>
        </w:rPr>
        <w:t>Hematodinium</w:t>
      </w:r>
      <w:r>
        <w:t xml:space="preserve"> sp. along with those expressed by </w:t>
      </w:r>
      <w:r>
        <w:rPr>
          <w:i/>
          <w:iCs/>
        </w:rPr>
        <w:t>C. bairdi</w:t>
      </w:r>
      <w:r>
        <w:t xml:space="preserve"> infected with </w:t>
      </w:r>
      <w:r>
        <w:rPr>
          <w:i/>
          <w:iCs/>
        </w:rPr>
        <w:t>Hematodinium</w:t>
      </w:r>
      <w:r>
        <w:t xml:space="preserve"> sp., thus indicating the mechanisms through which the host defends itself and the parasite overcomes the host’s immune response. Furthermore, changes in host response under different temperature regimes, along with over the course of infection, are also identified. To better comprehend this system, future research is needed to identify the infectious stage of the parasite, determine links between expression and life stage, and more fully understand the variables associated with the development of a </w:t>
      </w:r>
      <w:r>
        <w:rPr>
          <w:i/>
          <w:iCs/>
        </w:rPr>
        <w:t xml:space="preserve">Hematodinium </w:t>
      </w:r>
      <w:r>
        <w:t>sp. infection. These studies would provide essential information to guide management decisions surrounding this critical resource.</w:t>
      </w:r>
    </w:p>
    <w:p w14:paraId="467EDFE7" w14:textId="240DF18E" w:rsidR="009310E6" w:rsidRDefault="009310E6" w:rsidP="009310E6">
      <w:pPr>
        <w:pStyle w:val="Heading1"/>
      </w:pPr>
      <w:r>
        <w:t>Literature Cited</w:t>
      </w:r>
    </w:p>
    <w:p w14:paraId="049FED13" w14:textId="77777777" w:rsidR="004C4D50" w:rsidRDefault="004C4D50" w:rsidP="004C4D50">
      <w:r>
        <w:t>Andrews, S. 2010. “</w:t>
      </w:r>
      <w:proofErr w:type="spellStart"/>
      <w:r>
        <w:t>FastQC</w:t>
      </w:r>
      <w:proofErr w:type="spellEnd"/>
      <w:r>
        <w:t>: A Quality Control Tool for High Throughput Sequence Data.” https://www.bioinformatics.babraham.ac.uk/projects/fastqc/.</w:t>
      </w:r>
      <w:r>
        <w:br/>
      </w:r>
      <w:r>
        <w:br/>
        <w:t>Appleton, P. L., and K. Vickerman. 1998. “In Vitro Cultivation and Developmental Cycle in Culture of a Parasitic Dinoflagellate (Hematodinium Sp.) Associated with Mortality of the Norway Lobster (</w:t>
      </w:r>
      <w:proofErr w:type="spellStart"/>
      <w:r>
        <w:t>Nephrops</w:t>
      </w:r>
      <w:proofErr w:type="spellEnd"/>
      <w:r>
        <w:t xml:space="preserve"> Norvegicus) in British Waters.” </w:t>
      </w:r>
      <w:r>
        <w:rPr>
          <w:i/>
          <w:iCs/>
        </w:rPr>
        <w:t>Parasitology</w:t>
      </w:r>
      <w:r>
        <w:t xml:space="preserve"> 116 </w:t>
      </w:r>
      <w:proofErr w:type="gramStart"/>
      <w:r>
        <w:t>( Pt</w:t>
      </w:r>
      <w:proofErr w:type="gramEnd"/>
      <w:r>
        <w:t xml:space="preserve"> 2) (February): 115–30.</w:t>
      </w:r>
      <w:r>
        <w:br/>
      </w:r>
      <w:r>
        <w:br/>
        <w:t>Bao, Jie, Yue-Nan Xing, Hong-Bo Jiang, and Xiao-Dong Li. 2019. “Identification of Immune-Related Genes in Gills of Chinese Mitten Crabs (</w:t>
      </w:r>
      <w:proofErr w:type="spellStart"/>
      <w:r>
        <w:t>Eriocheir</w:t>
      </w:r>
      <w:proofErr w:type="spellEnd"/>
      <w:r>
        <w:t xml:space="preserve"> Sinensis) during Adaptation to Air Exposure Stress.” </w:t>
      </w:r>
      <w:r>
        <w:rPr>
          <w:i/>
          <w:iCs/>
        </w:rPr>
        <w:t>Fish &amp; Shellfish Immunology</w:t>
      </w:r>
      <w:r>
        <w:t xml:space="preserve"> 84 (January): 885–93.</w:t>
      </w:r>
      <w:r>
        <w:br/>
      </w:r>
      <w:r>
        <w:br/>
        <w:t xml:space="preserve">Bednarski, J., C. E. Siddon, G. H. Bishop, and J. F. Morado. 2011. “Overview of Bitter Crab Disease in Tanner Crabs, Chionoecetes Bairdi, in Southeast Alaska from 2001 to 2008.” In </w:t>
      </w:r>
      <w:r>
        <w:rPr>
          <w:i/>
          <w:iCs/>
        </w:rPr>
        <w:t>Biology and Management of Exploited Crab Populations under Climate Change</w:t>
      </w:r>
      <w:r>
        <w:t>. Alaska Sea Grant, University of Alaska Fairbanks. https://doi.org/10.4027/bmecpcc.2010.07.</w:t>
      </w:r>
      <w:r>
        <w:br/>
      </w:r>
      <w:r>
        <w:br/>
        <w:t xml:space="preserve">Bray, Nicolas L., Harold Pimentel, Páll Melsted, and Lior Pachter. 2016. “Near-Optimal Probabilistic RNA-Seq Quantification.” </w:t>
      </w:r>
      <w:r>
        <w:rPr>
          <w:i/>
          <w:iCs/>
        </w:rPr>
        <w:t>Nature Biotechnology</w:t>
      </w:r>
      <w:r>
        <w:t xml:space="preserve"> 34 (5): 525–27.</w:t>
      </w:r>
      <w:r>
        <w:br/>
      </w:r>
      <w:r>
        <w:br/>
      </w:r>
      <w:proofErr w:type="spellStart"/>
      <w:r>
        <w:lastRenderedPageBreak/>
        <w:t>Buchfink</w:t>
      </w:r>
      <w:proofErr w:type="spellEnd"/>
      <w:r>
        <w:t xml:space="preserve">, Benjamin, Chao Xie, and Daniel H. Huson. 2015. “Fast and Sensitive Protein Alignment Using DIAMOND.” </w:t>
      </w:r>
      <w:r>
        <w:rPr>
          <w:i/>
          <w:iCs/>
        </w:rPr>
        <w:t>Nature Methods</w:t>
      </w:r>
      <w:r>
        <w:t xml:space="preserve"> 12 (1): 59–60.</w:t>
      </w:r>
      <w:r>
        <w:br/>
      </w:r>
      <w:r>
        <w:br/>
        <w:t xml:space="preserve">Carvalho, K. S., T. E. Smith, and S. Wang. 2021. “Bering Sea Marine Heatwaves: Patterns, Trends and Connections with the Arctic.” </w:t>
      </w:r>
      <w:r>
        <w:rPr>
          <w:i/>
          <w:iCs/>
        </w:rPr>
        <w:t>Journal of Hydrology</w:t>
      </w:r>
      <w:r>
        <w:t xml:space="preserve"> 600 (September): 126462.</w:t>
      </w:r>
      <w:r>
        <w:br/>
      </w:r>
      <w:r>
        <w:br/>
        <w:t xml:space="preserve">Chen, Shifu, Yanqing Zhou, </w:t>
      </w:r>
      <w:proofErr w:type="spellStart"/>
      <w:r>
        <w:t>Yaru</w:t>
      </w:r>
      <w:proofErr w:type="spellEnd"/>
      <w:r>
        <w:t xml:space="preserve"> Chen, and Jia Gu. 2018. “</w:t>
      </w:r>
      <w:proofErr w:type="spellStart"/>
      <w:r>
        <w:t>Fastp</w:t>
      </w:r>
      <w:proofErr w:type="spellEnd"/>
      <w:r>
        <w:t xml:space="preserve">: An Ultra-Fast All-in-One FASTQ Preprocessor.” </w:t>
      </w:r>
      <w:r>
        <w:rPr>
          <w:i/>
          <w:iCs/>
        </w:rPr>
        <w:t xml:space="preserve">Bioinformatics </w:t>
      </w:r>
      <w:r>
        <w:t>34 (17): i884–90.</w:t>
      </w:r>
      <w:r>
        <w:br/>
      </w:r>
      <w:r>
        <w:br/>
        <w:t xml:space="preserve">Cheng, Chang-Hong, Hong-Ling Ma, Yi-Qin Deng, Juan Feng, Xiao-Long Chen, and Zhi-Xun Guo. 2020. “Glutathione Peroxidase 3 in the Mud Crab Scylla </w:t>
      </w:r>
      <w:proofErr w:type="spellStart"/>
      <w:r>
        <w:t>Paramamosain</w:t>
      </w:r>
      <w:proofErr w:type="spellEnd"/>
      <w:r>
        <w:t xml:space="preserve">: Characterization and Regulation under Nitrite Stress.” </w:t>
      </w:r>
      <w:r>
        <w:rPr>
          <w:i/>
          <w:iCs/>
        </w:rPr>
        <w:t>Comparative Biochemistry and Physiology. Toxicology &amp; Pharmacology: CBP</w:t>
      </w:r>
      <w:r>
        <w:t xml:space="preserve"> 229 (March): 108673.</w:t>
      </w:r>
      <w:r>
        <w:br/>
      </w:r>
      <w:r>
        <w:br/>
        <w:t xml:space="preserve">Cheung, William W. L., and Thomas L. </w:t>
      </w:r>
      <w:proofErr w:type="spellStart"/>
      <w:r>
        <w:t>Frölicher</w:t>
      </w:r>
      <w:proofErr w:type="spellEnd"/>
      <w:r>
        <w:t xml:space="preserve">. 2020. “Marine Heatwaves Exacerbate Climate Change Impacts for Fisheries in the Northeast Pacific.” </w:t>
      </w:r>
      <w:r>
        <w:rPr>
          <w:i/>
          <w:iCs/>
        </w:rPr>
        <w:t>Scientific Reports</w:t>
      </w:r>
      <w:r>
        <w:t xml:space="preserve"> 10 (1): 6678.</w:t>
      </w:r>
      <w:r>
        <w:br/>
      </w:r>
      <w:r>
        <w:br/>
        <w:t>Crosson, Lisa M. 2011. “Development and Validation of a Quantitative Real-Time Polymerase Chain Reaction (qPCR) Assay to Assess the Impact of Hematodinium, a Parasitic Dinoflagellate, on Tanner Crab Populations in Alaska.” University of Washington.</w:t>
      </w:r>
      <w:r>
        <w:br/>
      </w:r>
      <w:r>
        <w:br/>
        <w:t>Dai, Li-Shang, Sheng-Hui Chu, Xiao-Min Yu, and Yan-Yan Li. 2017. “A Role of Cathepsin L Gene in Innate Immune Response of Crayfish (</w:t>
      </w:r>
      <w:proofErr w:type="spellStart"/>
      <w:r>
        <w:t>Procambarus</w:t>
      </w:r>
      <w:proofErr w:type="spellEnd"/>
      <w:r>
        <w:t xml:space="preserve"> </w:t>
      </w:r>
      <w:proofErr w:type="spellStart"/>
      <w:r>
        <w:t>Clarkii</w:t>
      </w:r>
      <w:proofErr w:type="spellEnd"/>
      <w:r>
        <w:t xml:space="preserve">).” </w:t>
      </w:r>
      <w:r>
        <w:rPr>
          <w:i/>
          <w:iCs/>
        </w:rPr>
        <w:t>Fish &amp; Shellfish Immunology</w:t>
      </w:r>
      <w:r>
        <w:t xml:space="preserve"> 71 (December): 246–54.</w:t>
      </w:r>
      <w:r>
        <w:br/>
      </w:r>
      <w:r>
        <w:br/>
        <w:t xml:space="preserve">Davies, Charlotte E., Frederico M. Batista, Sophie H. Malkin, Jessica E. Thomas, Charlotte C. Bryan, Peter </w:t>
      </w:r>
      <w:proofErr w:type="spellStart"/>
      <w:r>
        <w:t>Crocombe</w:t>
      </w:r>
      <w:proofErr w:type="spellEnd"/>
      <w:r>
        <w:t xml:space="preserve">, Christopher J. Coates, and Andrew F. Rowley. 2019. “Spatial and Temporal Disease Dynamics of the Parasite Hematodinium Sp. in Shore Crabs, Carcinus Maenas.” </w:t>
      </w:r>
      <w:r>
        <w:rPr>
          <w:i/>
          <w:iCs/>
        </w:rPr>
        <w:t>Parasites &amp; Vectors</w:t>
      </w:r>
      <w:r>
        <w:t xml:space="preserve"> 12 (1): 472.</w:t>
      </w:r>
      <w:r>
        <w:br/>
      </w:r>
      <w:r>
        <w:br/>
        <w:t xml:space="preserve">Di Lorenzo, Emanuele, and Nathan Mantua. 2016. “Multi-Year Persistence of the 2014/15 North Pacific Marine Heatwave.” </w:t>
      </w:r>
      <w:r>
        <w:rPr>
          <w:i/>
          <w:iCs/>
        </w:rPr>
        <w:t>Nature Climate Change</w:t>
      </w:r>
      <w:r>
        <w:t xml:space="preserve"> 6 (11): 1042–47.</w:t>
      </w:r>
      <w:r>
        <w:br/>
      </w:r>
      <w:r>
        <w:br/>
        <w:t xml:space="preserve">Eaton, W. D., D. C. Love, C. Botelho, T. R. Meyers, K. Imamura, and T. Koeneman. 1991. “Preliminary Results on the Seasonality and Life Cycle of the Parasitic Dinoflagellate Causing Bitter Crab Disease in Alaskan Tanner Crabs (Chionoecetes Bairdi).” </w:t>
      </w:r>
      <w:r>
        <w:rPr>
          <w:i/>
          <w:iCs/>
        </w:rPr>
        <w:t>Journal of Invertebrate Pathology</w:t>
      </w:r>
      <w:r>
        <w:t xml:space="preserve"> 57 (3): 426–34.</w:t>
      </w:r>
      <w:r>
        <w:br/>
      </w:r>
      <w:r>
        <w:br/>
      </w:r>
      <w:proofErr w:type="spellStart"/>
      <w:r>
        <w:t>Ewels</w:t>
      </w:r>
      <w:proofErr w:type="spellEnd"/>
      <w:r>
        <w:t xml:space="preserve">, Philip, Måns Magnusson, Sverker Lundin, and Max </w:t>
      </w:r>
      <w:proofErr w:type="spellStart"/>
      <w:r>
        <w:t>Käller</w:t>
      </w:r>
      <w:proofErr w:type="spellEnd"/>
      <w:r>
        <w:t xml:space="preserve">. 2016. “MultiQC: Summarize Analysis Results for Multiple Tools and Samples in a Single Report.” </w:t>
      </w:r>
      <w:r>
        <w:rPr>
          <w:i/>
          <w:iCs/>
        </w:rPr>
        <w:t xml:space="preserve">Bioinformatics </w:t>
      </w:r>
      <w:r>
        <w:t>32 (19): 3047–48.</w:t>
      </w:r>
      <w:r>
        <w:br/>
      </w:r>
      <w:r>
        <w:br/>
      </w:r>
      <w:proofErr w:type="spellStart"/>
      <w:r>
        <w:t>Grabherr</w:t>
      </w:r>
      <w:proofErr w:type="spellEnd"/>
      <w:r>
        <w:t xml:space="preserve">, Manfred G., Brian J. Haas, Moran </w:t>
      </w:r>
      <w:proofErr w:type="spellStart"/>
      <w:r>
        <w:t>Yassour</w:t>
      </w:r>
      <w:proofErr w:type="spellEnd"/>
      <w:r>
        <w:t xml:space="preserve">, Joshua Z. Levin, Dawn A. Thompson, Ido Amit, Xian </w:t>
      </w:r>
      <w:proofErr w:type="spellStart"/>
      <w:r>
        <w:t>Adiconis</w:t>
      </w:r>
      <w:proofErr w:type="spellEnd"/>
      <w:r>
        <w:t xml:space="preserve">, et al. 2011. “Full-Length Transcriptome Assembly from RNA-Seq Data without a Reference Genome.” </w:t>
      </w:r>
      <w:r>
        <w:rPr>
          <w:i/>
          <w:iCs/>
        </w:rPr>
        <w:t>Nature Biotechnology</w:t>
      </w:r>
      <w:r>
        <w:t xml:space="preserve"> 29 (7): 644–52.</w:t>
      </w:r>
      <w:r>
        <w:br/>
      </w:r>
      <w:r>
        <w:br/>
        <w:t xml:space="preserve">Haas, Brian J., Alexie Papanicolaou, Moran </w:t>
      </w:r>
      <w:proofErr w:type="spellStart"/>
      <w:r>
        <w:t>Yassour</w:t>
      </w:r>
      <w:proofErr w:type="spellEnd"/>
      <w:r>
        <w:t xml:space="preserve">, Manfred </w:t>
      </w:r>
      <w:proofErr w:type="spellStart"/>
      <w:r>
        <w:t>Grabherr</w:t>
      </w:r>
      <w:proofErr w:type="spellEnd"/>
      <w:r>
        <w:t xml:space="preserve">, Philip D. Blood, Joshua Bowden, Matthew Brian Couger, et al. 2013. “De Novo Transcript Sequence Reconstruction from RNA-Seq Using the Trinity Platform for Reference Generation and Analysis.” </w:t>
      </w:r>
      <w:r>
        <w:rPr>
          <w:i/>
          <w:iCs/>
        </w:rPr>
        <w:t>Nature Protocols</w:t>
      </w:r>
      <w:r>
        <w:t xml:space="preserve"> 8 </w:t>
      </w:r>
      <w:r>
        <w:lastRenderedPageBreak/>
        <w:t>(8): 1494–1512.</w:t>
      </w:r>
      <w:r>
        <w:br/>
      </w:r>
      <w:r>
        <w:br/>
        <w:t>Hamilton, K. M., P. W. Shaw, and D. Morritt. 2009. “Prevalence and Seasonality of Hematodinium (</w:t>
      </w:r>
      <w:proofErr w:type="spellStart"/>
      <w:r>
        <w:t>Alveolata</w:t>
      </w:r>
      <w:proofErr w:type="spellEnd"/>
      <w:r>
        <w:t xml:space="preserve">: </w:t>
      </w:r>
      <w:proofErr w:type="spellStart"/>
      <w:r>
        <w:t>Syndinea</w:t>
      </w:r>
      <w:proofErr w:type="spellEnd"/>
      <w:r>
        <w:t xml:space="preserve">) in a Scottish Crustacean Community.” </w:t>
      </w:r>
      <w:r>
        <w:rPr>
          <w:i/>
          <w:iCs/>
        </w:rPr>
        <w:t>ICES Journal of Marine Science: Journal Du Conseil</w:t>
      </w:r>
      <w:r>
        <w:t xml:space="preserve"> 66 (9): 1837–45.</w:t>
      </w:r>
      <w:r>
        <w:br/>
      </w:r>
      <w:r>
        <w:br/>
        <w:t xml:space="preserve">Heller-Shipley, Madison A., William T. Stockhausen, Benjamin J. Daly, André E. Punt, and Scott E. Goodman. 2021. “Should Harvest Control Rules for Male-Only Fisheries Include Reproductive Buffers? A Bering Sea Tanner Crab (Chionoecetes Bairdi) Case Study.” </w:t>
      </w:r>
      <w:r>
        <w:rPr>
          <w:i/>
          <w:iCs/>
        </w:rPr>
        <w:t>Fisheries Research</w:t>
      </w:r>
      <w:r>
        <w:t xml:space="preserve"> 243 (November): 106049.</w:t>
      </w:r>
      <w:r>
        <w:br/>
      </w:r>
      <w:r>
        <w:br/>
      </w:r>
      <w:proofErr w:type="spellStart"/>
      <w:r>
        <w:t>Holdo</w:t>
      </w:r>
      <w:proofErr w:type="spellEnd"/>
      <w:r>
        <w:t xml:space="preserve">, Ricardo M., Anthony R. E. Sinclair, Andrew P. Dobson, Kristine L. Metzger, Benjamin M. Bolker, Mark E. Ritchie, and Robert D. Holt. 2009. “A Disease-Mediated Trophic Cascade in the Serengeti and Its Implications for Ecosystem C.” </w:t>
      </w:r>
      <w:proofErr w:type="spellStart"/>
      <w:r>
        <w:rPr>
          <w:i/>
          <w:iCs/>
        </w:rPr>
        <w:t>PLoS</w:t>
      </w:r>
      <w:proofErr w:type="spellEnd"/>
      <w:r>
        <w:rPr>
          <w:i/>
          <w:iCs/>
        </w:rPr>
        <w:t xml:space="preserve"> Biology</w:t>
      </w:r>
      <w:r>
        <w:t xml:space="preserve"> 7 (9): e1000210.</w:t>
      </w:r>
      <w:r>
        <w:br/>
      </w:r>
      <w:r>
        <w:br/>
        <w:t>Howard Hughes Medical Institute. n.d. “</w:t>
      </w:r>
      <w:proofErr w:type="spellStart"/>
      <w:r>
        <w:t>Hmmscan</w:t>
      </w:r>
      <w:proofErr w:type="spellEnd"/>
      <w:r>
        <w:t>: Search Sequence(s) against a Profile Database:” hmmer.org.</w:t>
      </w:r>
      <w:r>
        <w:br/>
      </w:r>
      <w:r>
        <w:br/>
        <w:t xml:space="preserve">Huson, Daniel H., </w:t>
      </w:r>
      <w:proofErr w:type="spellStart"/>
      <w:r>
        <w:t>Sina</w:t>
      </w:r>
      <w:proofErr w:type="spellEnd"/>
      <w:r>
        <w:t xml:space="preserve"> Beier, Isabell Flade, Anna </w:t>
      </w:r>
      <w:proofErr w:type="spellStart"/>
      <w:r>
        <w:t>Górska</w:t>
      </w:r>
      <w:proofErr w:type="spellEnd"/>
      <w:r>
        <w:t>, Mohamed El-</w:t>
      </w:r>
      <w:proofErr w:type="spellStart"/>
      <w:r>
        <w:t>Hadidi</w:t>
      </w:r>
      <w:proofErr w:type="spellEnd"/>
      <w:r>
        <w:t xml:space="preserve">, Suparna Mitra, Hans-Joachim </w:t>
      </w:r>
      <w:proofErr w:type="spellStart"/>
      <w:r>
        <w:t>Ruscheweyh</w:t>
      </w:r>
      <w:proofErr w:type="spellEnd"/>
      <w:r>
        <w:t xml:space="preserve">, and Rewati </w:t>
      </w:r>
      <w:proofErr w:type="spellStart"/>
      <w:r>
        <w:t>Tappu</w:t>
      </w:r>
      <w:proofErr w:type="spellEnd"/>
      <w:r>
        <w:t xml:space="preserve">. 2016. “MEGAN Community Edition - Interactive Exploration and Analysis of Large-Scale Microbiome Sequencing Data.” </w:t>
      </w:r>
      <w:proofErr w:type="spellStart"/>
      <w:r>
        <w:rPr>
          <w:i/>
          <w:iCs/>
        </w:rPr>
        <w:t>PLoS</w:t>
      </w:r>
      <w:proofErr w:type="spellEnd"/>
      <w:r>
        <w:rPr>
          <w:i/>
          <w:iCs/>
        </w:rPr>
        <w:t xml:space="preserve"> Computational Biology</w:t>
      </w:r>
      <w:r>
        <w:t xml:space="preserve"> 12 (6): e1004957.</w:t>
      </w:r>
    </w:p>
    <w:p w14:paraId="4F567914" w14:textId="5F3437EB" w:rsidR="004C4D50" w:rsidRDefault="004C4D50" w:rsidP="004C4D50">
      <w:r>
        <w:t xml:space="preserve">IPCC. 2019. “IPCC Special Report on the Ocean and Cryosphere in a Changing Climate [H.-O. </w:t>
      </w:r>
      <w:proofErr w:type="spellStart"/>
      <w:r>
        <w:t>Pörtner</w:t>
      </w:r>
      <w:proofErr w:type="spellEnd"/>
      <w:r>
        <w:t xml:space="preserve">, D.C. Roberts, V. Masson-Delmotte, P. Zhai, M. Tignor, E. </w:t>
      </w:r>
      <w:proofErr w:type="spellStart"/>
      <w:r>
        <w:t>Poloczanska</w:t>
      </w:r>
      <w:proofErr w:type="spellEnd"/>
      <w:r>
        <w:t xml:space="preserve">, K. </w:t>
      </w:r>
      <w:proofErr w:type="spellStart"/>
      <w:r>
        <w:t>Mintenbeck</w:t>
      </w:r>
      <w:proofErr w:type="spellEnd"/>
      <w:r>
        <w:t xml:space="preserve">, A. </w:t>
      </w:r>
      <w:proofErr w:type="spellStart"/>
      <w:r>
        <w:t>Alegría</w:t>
      </w:r>
      <w:proofErr w:type="spellEnd"/>
      <w:r>
        <w:t xml:space="preserve">, M. Nicolai, A. </w:t>
      </w:r>
      <w:proofErr w:type="spellStart"/>
      <w:r>
        <w:t>Okem</w:t>
      </w:r>
      <w:proofErr w:type="spellEnd"/>
      <w:r>
        <w:t>, J. Petzold, B. Rama, N.M. Weyer (eds.)].”</w:t>
      </w:r>
      <w:r>
        <w:br/>
      </w:r>
      <w:r>
        <w:br/>
        <w:t xml:space="preserve">Jensen, Pamela C., Katy Califf, Vanessa Lowe, Lorenz Hauser, and J. Frank Morado. 2010. “Molecular Detection of Hematodinium Sp. in Northeast Pacific Chionoecetes Spp. and Evidence of Two Species in the Northern Hemisphere.” </w:t>
      </w:r>
      <w:r>
        <w:rPr>
          <w:i/>
          <w:iCs/>
        </w:rPr>
        <w:t>Diseases of Aquatic Organisms</w:t>
      </w:r>
      <w:r>
        <w:t xml:space="preserve"> 89 (2): 155–66.</w:t>
      </w:r>
      <w:r>
        <w:br/>
      </w:r>
      <w:r>
        <w:br/>
        <w:t xml:space="preserve">Koenders, Annette, Xiaoli Yu, Ernest S. Chang, and Donald L. </w:t>
      </w:r>
      <w:proofErr w:type="spellStart"/>
      <w:r>
        <w:t>Mykles</w:t>
      </w:r>
      <w:proofErr w:type="spellEnd"/>
      <w:r>
        <w:t xml:space="preserve">. 2002. “Ubiquitin and Actin Expression in Claw Muscles of Land Crab, </w:t>
      </w:r>
      <w:proofErr w:type="spellStart"/>
      <w:r>
        <w:t>Gecarcinus</w:t>
      </w:r>
      <w:proofErr w:type="spellEnd"/>
      <w:r>
        <w:t xml:space="preserve"> Lateralis, and American Lobster, Homarus Americanus: Differential Expression of Ubiquitin in Two Slow Muscle Fiber Types during Molt-Induced Atrophy.” </w:t>
      </w:r>
      <w:r>
        <w:rPr>
          <w:i/>
          <w:iCs/>
        </w:rPr>
        <w:t>The Journal of Experimental Zoology</w:t>
      </w:r>
      <w:r>
        <w:t xml:space="preserve"> 292 (7): 618–32.</w:t>
      </w:r>
      <w:r>
        <w:br/>
      </w:r>
      <w:r>
        <w:br/>
        <w:t xml:space="preserve">Langfelder, Peter, and Steve Horvath. 2008. “WGCNA: An R Package for Weighted Correlation Network Analysis.” </w:t>
      </w:r>
      <w:r>
        <w:rPr>
          <w:i/>
          <w:iCs/>
        </w:rPr>
        <w:t>BMC Bioinformatics</w:t>
      </w:r>
      <w:r>
        <w:t xml:space="preserve"> 9 (December): 559.</w:t>
      </w:r>
      <w:r>
        <w:br/>
      </w:r>
      <w:r>
        <w:br/>
        <w:t xml:space="preserve">Li, </w:t>
      </w:r>
      <w:proofErr w:type="spellStart"/>
      <w:r>
        <w:t>Caiwen</w:t>
      </w:r>
      <w:proofErr w:type="spellEnd"/>
      <w:r>
        <w:t xml:space="preserve">, Meng Li, and Qian Huang. 2021. “The Parasitic Dinoflagellate Hematodinium Infects Marine Crustaceans.” </w:t>
      </w:r>
      <w:r>
        <w:rPr>
          <w:i/>
          <w:iCs/>
        </w:rPr>
        <w:t>Marine Life Science &amp; Technology</w:t>
      </w:r>
      <w:r>
        <w:t>, January. https://doi.org/10.1007/s42995-020-00061-z.</w:t>
      </w:r>
      <w:r>
        <w:br/>
      </w:r>
      <w:r>
        <w:br/>
        <w:t xml:space="preserve">Li, </w:t>
      </w:r>
      <w:proofErr w:type="spellStart"/>
      <w:r>
        <w:t>Caiwen</w:t>
      </w:r>
      <w:proofErr w:type="spellEnd"/>
      <w:r>
        <w:t xml:space="preserve">, Terrence L. Miller, Hamish J. Small, and Jeffrey D. Shields. 2011. “In Vitro Culture and Developmental Cycle of the Parasitic Dinoflagellate Hematodinium Sp. from the Blue Crab Callinectes Sapidus.” </w:t>
      </w:r>
      <w:r>
        <w:rPr>
          <w:i/>
          <w:iCs/>
        </w:rPr>
        <w:t>Parasitology</w:t>
      </w:r>
      <w:r>
        <w:t xml:space="preserve"> 138 (14): 1924–34.</w:t>
      </w:r>
      <w:r>
        <w:br/>
      </w:r>
      <w:r>
        <w:br/>
        <w:t xml:space="preserve">Li, </w:t>
      </w:r>
      <w:proofErr w:type="spellStart"/>
      <w:r>
        <w:t>Caiwen</w:t>
      </w:r>
      <w:proofErr w:type="spellEnd"/>
      <w:r>
        <w:t xml:space="preserve">, Jeffrey D. Shields, Terrence L. Miller, Hamish J. Small, Katrina M. </w:t>
      </w:r>
      <w:proofErr w:type="spellStart"/>
      <w:r>
        <w:t>Pagenkopp</w:t>
      </w:r>
      <w:proofErr w:type="spellEnd"/>
      <w:r>
        <w:t xml:space="preserve">, and Kimberly S. Reece. 2010. “Detection and Quantification of the Free-Living Stage of the Parasitic </w:t>
      </w:r>
      <w:r>
        <w:lastRenderedPageBreak/>
        <w:t xml:space="preserve">Dinoflagellate Hematodinium Sp. in Laboratory and Environmental Samples.” </w:t>
      </w:r>
      <w:r>
        <w:rPr>
          <w:i/>
          <w:iCs/>
        </w:rPr>
        <w:t>Harmful Algae</w:t>
      </w:r>
      <w:r>
        <w:t xml:space="preserve"> 9 (5): 515–21.</w:t>
      </w:r>
      <w:r>
        <w:br/>
      </w:r>
      <w:r>
        <w:br/>
        <w:t xml:space="preserve">Li, Wei-Wei, Xing-Kun </w:t>
      </w:r>
      <w:proofErr w:type="spellStart"/>
      <w:r>
        <w:t>Jin</w:t>
      </w:r>
      <w:proofErr w:type="spellEnd"/>
      <w:r>
        <w:t xml:space="preserve">, Lin He, Hui Jiang, </w:t>
      </w:r>
      <w:proofErr w:type="spellStart"/>
      <w:r>
        <w:t>Ya</w:t>
      </w:r>
      <w:proofErr w:type="spellEnd"/>
      <w:r>
        <w:t xml:space="preserve">-Nan Gong, Yan-Nan Xie, and Qun Wang. 2010. “Molecular Cloning, Characterization, Expression and Activity Analysis of Cathepsin L in Chinese Mitten Crab, </w:t>
      </w:r>
      <w:proofErr w:type="spellStart"/>
      <w:r>
        <w:t>Eriocheir</w:t>
      </w:r>
      <w:proofErr w:type="spellEnd"/>
      <w:r>
        <w:t xml:space="preserve"> Sinensis.” </w:t>
      </w:r>
      <w:r>
        <w:rPr>
          <w:i/>
          <w:iCs/>
        </w:rPr>
        <w:t>Fish &amp; Shellfish Immunology</w:t>
      </w:r>
      <w:r>
        <w:t xml:space="preserve"> 29 (6): 1010–18.</w:t>
      </w:r>
      <w:r>
        <w:br/>
      </w:r>
      <w:r>
        <w:br/>
        <w:t xml:space="preserve">Li, </w:t>
      </w:r>
      <w:proofErr w:type="spellStart"/>
      <w:r>
        <w:t>Yingdong</w:t>
      </w:r>
      <w:proofErr w:type="spellEnd"/>
      <w:r>
        <w:t xml:space="preserve">, </w:t>
      </w:r>
      <w:proofErr w:type="spellStart"/>
      <w:r>
        <w:t>Weibin</w:t>
      </w:r>
      <w:proofErr w:type="spellEnd"/>
      <w:r>
        <w:t xml:space="preserve"> Xu, Xin Li, </w:t>
      </w:r>
      <w:proofErr w:type="spellStart"/>
      <w:r>
        <w:t>Hongbo</w:t>
      </w:r>
      <w:proofErr w:type="spellEnd"/>
      <w:r>
        <w:t xml:space="preserve"> Jiang, </w:t>
      </w:r>
      <w:proofErr w:type="spellStart"/>
      <w:r>
        <w:t>Qiuxin</w:t>
      </w:r>
      <w:proofErr w:type="spellEnd"/>
      <w:r>
        <w:t xml:space="preserve"> She, </w:t>
      </w:r>
      <w:proofErr w:type="spellStart"/>
      <w:r>
        <w:t>Zhibin</w:t>
      </w:r>
      <w:proofErr w:type="spellEnd"/>
      <w:r>
        <w:t xml:space="preserve"> Han, Xiaodong Li, and </w:t>
      </w:r>
      <w:proofErr w:type="spellStart"/>
      <w:r>
        <w:t>Qijun</w:t>
      </w:r>
      <w:proofErr w:type="spellEnd"/>
      <w:r>
        <w:t xml:space="preserve"> Chen. 2018. “Comparative Transcriptome Analysis of Chinese Grass Shrimp (</w:t>
      </w:r>
      <w:proofErr w:type="spellStart"/>
      <w:r>
        <w:t>Palaemonetes</w:t>
      </w:r>
      <w:proofErr w:type="spellEnd"/>
      <w:r>
        <w:t xml:space="preserve"> Sinensis) Infected with Isopod Parasite </w:t>
      </w:r>
      <w:proofErr w:type="spellStart"/>
      <w:r>
        <w:t>Tachaea</w:t>
      </w:r>
      <w:proofErr w:type="spellEnd"/>
      <w:r>
        <w:t xml:space="preserve"> Chinensis.” </w:t>
      </w:r>
      <w:r>
        <w:rPr>
          <w:i/>
          <w:iCs/>
        </w:rPr>
        <w:t>Fish &amp; Shellfish Immunology</w:t>
      </w:r>
      <w:r>
        <w:t xml:space="preserve"> 82 (November): 153–61.</w:t>
      </w:r>
      <w:r>
        <w:br/>
      </w:r>
      <w:r>
        <w:br/>
        <w:t xml:space="preserve">Lindner, Scott E., Kristian E. Swearingen, Melanie J. Shears, Michael P. Walker, Erin N. Vrana, Kevin J. Hart, Allen M. Minns, Photini </w:t>
      </w:r>
      <w:proofErr w:type="spellStart"/>
      <w:r>
        <w:t>Sinnis</w:t>
      </w:r>
      <w:proofErr w:type="spellEnd"/>
      <w:r>
        <w:t xml:space="preserve">, Robert L. Moritz, and Stefan H. I. Kappe. 2019. “Transcriptomics and Proteomics Reveal Two Waves of Translational Repression during the Maturation of Malaria Parasite Sporozoites.” </w:t>
      </w:r>
      <w:r>
        <w:rPr>
          <w:i/>
          <w:iCs/>
        </w:rPr>
        <w:t>Nature Communications</w:t>
      </w:r>
      <w:r>
        <w:t xml:space="preserve"> 10 (1): 4964.</w:t>
      </w:r>
      <w:r>
        <w:br/>
      </w:r>
      <w:r>
        <w:br/>
        <w:t xml:space="preserve">Liu, Qiu-Ning, Saima Kausar, Isma Gul, Hai-Ling Zhou, Muhammad Nadeem Abbas, and Li-Shang Dai. 2020. “The Red Swamp Crayfish, </w:t>
      </w:r>
      <w:proofErr w:type="spellStart"/>
      <w:r>
        <w:t>Procambarus</w:t>
      </w:r>
      <w:proofErr w:type="spellEnd"/>
      <w:r>
        <w:t xml:space="preserve"> </w:t>
      </w:r>
      <w:proofErr w:type="spellStart"/>
      <w:r>
        <w:t>Clarkii</w:t>
      </w:r>
      <w:proofErr w:type="spellEnd"/>
      <w:r>
        <w:t xml:space="preserve"> Cathepsin C, Participates in the Innate Immune Response to the Viral and Bacterial Pathogens.” </w:t>
      </w:r>
      <w:r>
        <w:rPr>
          <w:i/>
          <w:iCs/>
        </w:rPr>
        <w:t>Fish &amp; Shellfish Immunology</w:t>
      </w:r>
      <w:r>
        <w:t xml:space="preserve"> 100 (May): 436–44.</w:t>
      </w:r>
      <w:r>
        <w:br/>
      </w:r>
      <w:r>
        <w:br/>
        <w:t xml:space="preserve">Love, D. C., S. D. Rice, D. A. Moles, and W. D. Eaton. 1993. “Seasonal Prevalence and Intensity of Bitter Crab Dinoflagellate Infection and Host Mortality in Alaskan Tanner Crabs </w:t>
      </w:r>
      <w:proofErr w:type="spellStart"/>
      <w:r>
        <w:t>Chionoeceles</w:t>
      </w:r>
      <w:proofErr w:type="spellEnd"/>
      <w:r>
        <w:t xml:space="preserve"> Bairdi from Auke Bay, Alaska, USA.” </w:t>
      </w:r>
      <w:r>
        <w:rPr>
          <w:i/>
          <w:iCs/>
        </w:rPr>
        <w:t>Diseases of Aquatic Organisms</w:t>
      </w:r>
      <w:r>
        <w:t xml:space="preserve"> 15: 1–7.</w:t>
      </w:r>
      <w:r>
        <w:br/>
      </w:r>
      <w:r>
        <w:br/>
        <w:t xml:space="preserve">Love, Michael I., Wolfgang Huber, and Simon Anders. 2014. “Moderated Estimation of Fold Change and Dispersion for RNA-Seq Data with DESeq2.” </w:t>
      </w:r>
      <w:r>
        <w:rPr>
          <w:i/>
          <w:iCs/>
        </w:rPr>
        <w:t>Genome Biology</w:t>
      </w:r>
      <w:r>
        <w:t xml:space="preserve"> 15 (12): 550.</w:t>
      </w:r>
      <w:r>
        <w:br/>
      </w:r>
      <w:r>
        <w:br/>
        <w:t xml:space="preserve">Martin, Melanie, Aaron D. Blackwell, Michael </w:t>
      </w:r>
      <w:proofErr w:type="spellStart"/>
      <w:r>
        <w:t>Gurven</w:t>
      </w:r>
      <w:proofErr w:type="spellEnd"/>
      <w:r>
        <w:t xml:space="preserve">, and Hillard Kaplan. 2013. “Make New Friends and Keep the Old? Parasite Coinfection and Comorbidity in Homo Sapiens.” In </w:t>
      </w:r>
      <w:r>
        <w:rPr>
          <w:i/>
          <w:iCs/>
        </w:rPr>
        <w:t>Primates, Pathogens, and Evolution</w:t>
      </w:r>
      <w:r>
        <w:t xml:space="preserve">, edited by Jessica F. Brinkworth and Kate </w:t>
      </w:r>
      <w:proofErr w:type="spellStart"/>
      <w:r>
        <w:t>Pechenkina</w:t>
      </w:r>
      <w:proofErr w:type="spellEnd"/>
      <w:r>
        <w:t>, 363–87. New York, NY: Springer New York.</w:t>
      </w:r>
      <w:r>
        <w:br/>
      </w:r>
      <w:r>
        <w:br/>
        <w:t xml:space="preserve">Messick, G. A. 1994. “Hematodinium </w:t>
      </w:r>
      <w:proofErr w:type="spellStart"/>
      <w:r>
        <w:t>Perezi</w:t>
      </w:r>
      <w:proofErr w:type="spellEnd"/>
      <w:r>
        <w:t xml:space="preserve"> Infections in Adult Arid Juvenile Blue Crabs Callinectes Sapidus from Coastal Bays of Maryland and Virginia, USA.” </w:t>
      </w:r>
      <w:r>
        <w:rPr>
          <w:i/>
          <w:iCs/>
        </w:rPr>
        <w:t>Diseases of Aquatic Organisms</w:t>
      </w:r>
      <w:r>
        <w:t xml:space="preserve"> 19: 77–82.</w:t>
      </w:r>
      <w:r>
        <w:br/>
      </w:r>
      <w:r>
        <w:br/>
        <w:t xml:space="preserve">Meyers, T. R., C. Botelho, T. M. Koeneman, S. Short, and K. Imamura. 1990. “Distribution of Bitter Crab Dinoflagellate Syndrome in Southeast Alaskan Tanner Crabs Chionoecetes Bairdi.” </w:t>
      </w:r>
      <w:r>
        <w:rPr>
          <w:i/>
          <w:iCs/>
        </w:rPr>
        <w:t>Diseases of Aquatic Organisms</w:t>
      </w:r>
      <w:r>
        <w:t xml:space="preserve"> 9: 37–43.</w:t>
      </w:r>
      <w:r>
        <w:br/>
      </w:r>
      <w:r>
        <w:br/>
        <w:t xml:space="preserve">Morado, J. F., E. G. Dawe, D. Mullowney, C. A. </w:t>
      </w:r>
      <w:proofErr w:type="spellStart"/>
      <w:r>
        <w:t>Shavey</w:t>
      </w:r>
      <w:proofErr w:type="spellEnd"/>
      <w:r>
        <w:t xml:space="preserve">, V. C. Lowe, and R. J. Cawthorn. 2011. “Climate Change and the Worldwide Emergence of Hematodinium-Associated Disease: Is There Evidence for a Relationship?” In </w:t>
      </w:r>
      <w:r>
        <w:rPr>
          <w:i/>
          <w:iCs/>
        </w:rPr>
        <w:t>Biology and Management of Exploited Crab Populations under Climate Change</w:t>
      </w:r>
      <w:r>
        <w:t>, 153–73. Alaska Sea Grant, University of Alaska Fairbanks.</w:t>
      </w:r>
      <w:r>
        <w:br/>
      </w:r>
      <w:r>
        <w:br/>
        <w:t xml:space="preserve">Pandey, Kailash C., Stephanie X. Wang, Puran S. </w:t>
      </w:r>
      <w:proofErr w:type="spellStart"/>
      <w:r>
        <w:t>Sijwali</w:t>
      </w:r>
      <w:proofErr w:type="spellEnd"/>
      <w:r>
        <w:t xml:space="preserve">, Anthony L. Lau, James H. McKerrow, and Philip J. Rosenthal. 2005. “The Plasmodium Falciparum Cysteine Protease Falcipain-2 Captures Its </w:t>
      </w:r>
      <w:r>
        <w:lastRenderedPageBreak/>
        <w:t xml:space="preserve">Substrate, Hemoglobin, via a Unique Motif.” </w:t>
      </w:r>
      <w:r>
        <w:rPr>
          <w:i/>
          <w:iCs/>
        </w:rPr>
        <w:t>Proceedings of the National Academy of Sciences of the United States of America</w:t>
      </w:r>
      <w:r>
        <w:t xml:space="preserve"> 102 (26): 9138–43.</w:t>
      </w:r>
      <w:r>
        <w:br/>
      </w:r>
      <w:r>
        <w:br/>
        <w:t xml:space="preserve">Paul, A. J., and J. M. Paul. 2001. “Effects of Temperature on Length of Intermolt Periods in Juvenile Male Chionoecetes Bairdi.” </w:t>
      </w:r>
      <w:r>
        <w:rPr>
          <w:i/>
          <w:iCs/>
        </w:rPr>
        <w:t>Alaska Fisheries Research Bulletin</w:t>
      </w:r>
      <w:r>
        <w:t xml:space="preserve"> 8: 132–34.</w:t>
      </w:r>
      <w:r>
        <w:br/>
      </w:r>
      <w:r>
        <w:br/>
        <w:t>Qiu, Gao-Feng, Liang-Wei Xiong, Zhi-</w:t>
      </w:r>
      <w:proofErr w:type="spellStart"/>
      <w:r>
        <w:t>Ke</w:t>
      </w:r>
      <w:proofErr w:type="spellEnd"/>
      <w:r>
        <w:t xml:space="preserve"> Han, Zhi-Qiang Liu, Jian-Bin Feng, Xu-Gan Wu, Yin-Long Yan, Hong Shen, Long Huang, and Li Chen. 2017. “A </w:t>
      </w:r>
      <w:proofErr w:type="gramStart"/>
      <w:r>
        <w:t>Second Generation</w:t>
      </w:r>
      <w:proofErr w:type="gramEnd"/>
      <w:r>
        <w:t xml:space="preserve"> SNP and SSR Integrated Linkage Map and QTL Mapping for the Chinese Mitten Crab </w:t>
      </w:r>
      <w:proofErr w:type="spellStart"/>
      <w:r>
        <w:t>Eriocheir</w:t>
      </w:r>
      <w:proofErr w:type="spellEnd"/>
      <w:r>
        <w:t xml:space="preserve"> Sinensis.” </w:t>
      </w:r>
      <w:r>
        <w:rPr>
          <w:i/>
          <w:iCs/>
        </w:rPr>
        <w:t>Scientific Reports</w:t>
      </w:r>
      <w:r>
        <w:t xml:space="preserve"> 7 (January): 39826.</w:t>
      </w:r>
      <w:r>
        <w:br/>
      </w:r>
      <w:r>
        <w:br/>
        <w:t xml:space="preserve">Que, </w:t>
      </w:r>
      <w:proofErr w:type="spellStart"/>
      <w:r>
        <w:t>Xuchu</w:t>
      </w:r>
      <w:proofErr w:type="spellEnd"/>
      <w:r>
        <w:t xml:space="preserve">, Huân Ngo, Jeffrey Lawton, Mary Gray, Qing Liu, Juan Engel, Linda Brinen, Partho Ghosh, Keith A. Joiner, and Sharon L. Reed. 2002. “The Cathepsin B of Toxoplasma Gondii, Toxopain-1, Is Critical for Parasite Invasion and Rhoptry Protein Processing.” </w:t>
      </w:r>
      <w:r>
        <w:rPr>
          <w:i/>
          <w:iCs/>
        </w:rPr>
        <w:t>The Journal of Biological Chemistry</w:t>
      </w:r>
      <w:r>
        <w:t xml:space="preserve"> 277 (28): 25791–97.</w:t>
      </w:r>
      <w:r>
        <w:br/>
      </w:r>
      <w:r>
        <w:br/>
        <w:t xml:space="preserve">Ryazanova, T. V., M. G. </w:t>
      </w:r>
      <w:proofErr w:type="spellStart"/>
      <w:r>
        <w:t>Eliseikina</w:t>
      </w:r>
      <w:proofErr w:type="spellEnd"/>
      <w:r>
        <w:t xml:space="preserve">, and A. D. </w:t>
      </w:r>
      <w:proofErr w:type="spellStart"/>
      <w:r>
        <w:t>Kukhlevsky</w:t>
      </w:r>
      <w:proofErr w:type="spellEnd"/>
      <w:r>
        <w:t xml:space="preserve">. 2021. “First Detection of Hematodinium Sp. in Spiny King Crab Paralithodes </w:t>
      </w:r>
      <w:proofErr w:type="spellStart"/>
      <w:r>
        <w:t>Brevipes</w:t>
      </w:r>
      <w:proofErr w:type="spellEnd"/>
      <w:r>
        <w:t xml:space="preserve">, and New Geographic Areas for the Parasite in Tanner Crab Chionoecetes Bairdi, and Red King Crab Paralithodes </w:t>
      </w:r>
      <w:proofErr w:type="spellStart"/>
      <w:r>
        <w:t>Camtschaticus</w:t>
      </w:r>
      <w:proofErr w:type="spellEnd"/>
      <w:r>
        <w:t xml:space="preserve">.” </w:t>
      </w:r>
      <w:r>
        <w:rPr>
          <w:i/>
          <w:iCs/>
        </w:rPr>
        <w:t>Journal of Invertebrate Pathology</w:t>
      </w:r>
      <w:r>
        <w:t>, August, 107651.</w:t>
      </w:r>
      <w:r>
        <w:br/>
      </w:r>
      <w:r>
        <w:br/>
        <w:t>Shen, Wei, Shuai Le, Yan Li, and Fuquan Hu. 2016. “</w:t>
      </w:r>
      <w:proofErr w:type="spellStart"/>
      <w:r>
        <w:t>SeqKit</w:t>
      </w:r>
      <w:proofErr w:type="spellEnd"/>
      <w:r>
        <w:t xml:space="preserve">: A Cross-Platform and Ultrafast Toolkit for FASTA/Q File Manipulation.” </w:t>
      </w:r>
      <w:proofErr w:type="spellStart"/>
      <w:r>
        <w:rPr>
          <w:i/>
          <w:iCs/>
        </w:rPr>
        <w:t>PloS</w:t>
      </w:r>
      <w:proofErr w:type="spellEnd"/>
      <w:r>
        <w:rPr>
          <w:i/>
          <w:iCs/>
        </w:rPr>
        <w:t xml:space="preserve"> One</w:t>
      </w:r>
      <w:r>
        <w:t xml:space="preserve"> 11 (10): e0163962.</w:t>
      </w:r>
      <w:r>
        <w:br/>
      </w:r>
      <w:r>
        <w:br/>
        <w:t xml:space="preserve">Shields, Jeffrey D., Juan Pablo Huchin-Mian </w:t>
      </w:r>
      <w:proofErr w:type="spellStart"/>
      <w:r>
        <w:t>Huchin-Mian</w:t>
      </w:r>
      <w:proofErr w:type="spellEnd"/>
      <w:r>
        <w:t xml:space="preserve">, Pattie A. O’Leary, and Hamish J. Small. 2017. “New Insight into the Transmission Dynamics of the Crustacean Pathogen Hematodinium </w:t>
      </w:r>
      <w:proofErr w:type="spellStart"/>
      <w:r>
        <w:t>Perezi</w:t>
      </w:r>
      <w:proofErr w:type="spellEnd"/>
      <w:r>
        <w:t xml:space="preserve"> (</w:t>
      </w:r>
      <w:proofErr w:type="spellStart"/>
      <w:r>
        <w:t>Dinoflagellata</w:t>
      </w:r>
      <w:proofErr w:type="spellEnd"/>
      <w:r>
        <w:t xml:space="preserve">) Using a Novel Sentinel Methodology.” </w:t>
      </w:r>
      <w:r>
        <w:rPr>
          <w:i/>
          <w:iCs/>
        </w:rPr>
        <w:t>Marine Ecology Progress Series</w:t>
      </w:r>
      <w:r>
        <w:t xml:space="preserve"> 573: 73.</w:t>
      </w:r>
      <w:r>
        <w:br/>
      </w:r>
      <w:r>
        <w:br/>
        <w:t xml:space="preserve">Shields, Jeffrey D., David M. Taylor, Paul G. O’Keefe, Eugene Colbourne, and Elaine Hynick. 2007. “Epidemiological Determinants in Outbreaks of Bitter Crab Disease (Hematodinium Sp.) in Snow Crabs Chionoecetes Opilio from Conception Bay, Newfoundland, Canada.” </w:t>
      </w:r>
      <w:r>
        <w:rPr>
          <w:i/>
          <w:iCs/>
        </w:rPr>
        <w:t>Diseases of Aquatic Organisms</w:t>
      </w:r>
      <w:r>
        <w:t xml:space="preserve"> 77 (1): 61–72.</w:t>
      </w:r>
      <w:r>
        <w:br/>
      </w:r>
      <w:r>
        <w:br/>
        <w:t xml:space="preserve">Shields, Jeffrey D., David M. Taylor, Stephen G. Sutton, Paul G. O’Keefe, Danny W. Ings, and Amanda L. Pardy. 2005. “Epidemiology of Bitter Crab Disease (Hematodinium Sp.) in Snow Crabs Chionoecetes Opilio from Newfoundland, Canada.” </w:t>
      </w:r>
      <w:r>
        <w:rPr>
          <w:i/>
          <w:iCs/>
        </w:rPr>
        <w:t>Diseases of Aquatic Organisms</w:t>
      </w:r>
      <w:r>
        <w:t xml:space="preserve"> 64 (3): 253–64.</w:t>
      </w:r>
      <w:r>
        <w:br/>
      </w:r>
      <w:r>
        <w:br/>
        <w:t xml:space="preserve">Simão, Felipe A., Robert M. Waterhouse, Panagiotis Ioannidis, Evgenia V. </w:t>
      </w:r>
      <w:proofErr w:type="spellStart"/>
      <w:r>
        <w:t>Kriventseva</w:t>
      </w:r>
      <w:proofErr w:type="spellEnd"/>
      <w:r>
        <w:t xml:space="preserve">, and Evgeny M. </w:t>
      </w:r>
      <w:proofErr w:type="spellStart"/>
      <w:r>
        <w:t>Zdobnov</w:t>
      </w:r>
      <w:proofErr w:type="spellEnd"/>
      <w:r>
        <w:t xml:space="preserve">. 2015. “BUSCO: Assessing Genome Assembly and Annotation Completeness with Single-Copy Orthologs.” </w:t>
      </w:r>
      <w:r>
        <w:rPr>
          <w:i/>
          <w:iCs/>
        </w:rPr>
        <w:t xml:space="preserve">Bioinformatics </w:t>
      </w:r>
      <w:r>
        <w:t>31 (19): 3210–12.</w:t>
      </w:r>
      <w:r>
        <w:br/>
      </w:r>
      <w:r>
        <w:br/>
        <w:t xml:space="preserve">Small, Hamish J. 2012. “Advances in Our Understanding of the Global Diversity and Distribution of Hematodinium Spp. - Significant Pathogens of Commercially Exploited Crustaceans.” </w:t>
      </w:r>
      <w:r>
        <w:rPr>
          <w:i/>
          <w:iCs/>
        </w:rPr>
        <w:t>Journal of Invertebrate Pathology</w:t>
      </w:r>
      <w:r>
        <w:t xml:space="preserve"> 110 (2): 234–46.</w:t>
      </w:r>
      <w:r>
        <w:br/>
      </w:r>
      <w:r>
        <w:br/>
        <w:t xml:space="preserve">Stanke, Mario, Mark </w:t>
      </w:r>
      <w:proofErr w:type="spellStart"/>
      <w:r>
        <w:t>Diekhans</w:t>
      </w:r>
      <w:proofErr w:type="spellEnd"/>
      <w:r>
        <w:t xml:space="preserve">, Robert Baertsch, and David Haussler. 2008. “Using Native and </w:t>
      </w:r>
      <w:proofErr w:type="spellStart"/>
      <w:r>
        <w:t>Syntenically</w:t>
      </w:r>
      <w:proofErr w:type="spellEnd"/>
      <w:r>
        <w:t xml:space="preserve"> Mapped cDNA Alignments to Improve de Novo Gene Finding.” </w:t>
      </w:r>
      <w:r>
        <w:rPr>
          <w:i/>
          <w:iCs/>
        </w:rPr>
        <w:t xml:space="preserve">Bioinformatics </w:t>
      </w:r>
      <w:r>
        <w:t>24 (5): 637–44.</w:t>
      </w:r>
      <w:r>
        <w:br/>
      </w:r>
      <w:r>
        <w:lastRenderedPageBreak/>
        <w:br/>
        <w:t xml:space="preserve">Stanke, Mario, and Stephan Waack. 2003. “Gene Prediction with a Hidden Markov Model and a New Intron </w:t>
      </w:r>
      <w:proofErr w:type="spellStart"/>
      <w:r>
        <w:t>Submodel</w:t>
      </w:r>
      <w:proofErr w:type="spellEnd"/>
      <w:r>
        <w:t xml:space="preserve">.” </w:t>
      </w:r>
      <w:r>
        <w:rPr>
          <w:i/>
          <w:iCs/>
        </w:rPr>
        <w:t xml:space="preserve">Bioinformatics </w:t>
      </w:r>
      <w:r>
        <w:t>19 Suppl 2 (October): ii215–25.</w:t>
      </w:r>
      <w:r>
        <w:br/>
      </w:r>
      <w:r>
        <w:br/>
        <w:t xml:space="preserve">Steele, Alexandra N., Rachelle M. Belanger, and Paul A. Moore. 2018. “Exposure Through Runoff and Ground Water Contamination Differentially Impact Behavior and Physiology of Crustaceans in Fluvial Systems.” </w:t>
      </w:r>
      <w:r>
        <w:rPr>
          <w:i/>
          <w:iCs/>
        </w:rPr>
        <w:t>Archives of Environmental Contamination and Toxicology</w:t>
      </w:r>
      <w:r>
        <w:t xml:space="preserve"> 75 (3): 436–48.</w:t>
      </w:r>
      <w:r>
        <w:br/>
      </w:r>
      <w:r>
        <w:br/>
        <w:t xml:space="preserve">Stentiford, Grant D., and Jeffrey D. Shields. 2005. “A Review of the Parasitic Dinoflagellates Hematodinium Species and Hematodinium-like Infections in Marine Crustaceans.” </w:t>
      </w:r>
      <w:r>
        <w:rPr>
          <w:i/>
          <w:iCs/>
        </w:rPr>
        <w:t>Diseases of Aquatic Organisms</w:t>
      </w:r>
      <w:r>
        <w:t xml:space="preserve"> 66 (1): 47–70.</w:t>
      </w:r>
      <w:r>
        <w:br/>
      </w:r>
      <w:r>
        <w:br/>
        <w:t xml:space="preserve">Tompkins, D. M., A. R. White, and M. Boots. 2003. “Ecological Replacement of Native Red Squirrels by Invasive Greys Driven by Disease.” </w:t>
      </w:r>
      <w:r>
        <w:rPr>
          <w:i/>
          <w:iCs/>
        </w:rPr>
        <w:t>Ecology Letters</w:t>
      </w:r>
      <w:r>
        <w:t xml:space="preserve"> 6 (3): 189–96.</w:t>
      </w:r>
      <w:r>
        <w:br/>
      </w:r>
      <w:r>
        <w:br/>
        <w:t xml:space="preserve">Verma, Sonia, Rajnikant Dixit, and Kailash C. Pandey. 2016. “Cysteine Proteases: Modes of Activation and Future Prospects as Pharmacological Targets.” </w:t>
      </w:r>
      <w:r>
        <w:rPr>
          <w:i/>
          <w:iCs/>
        </w:rPr>
        <w:t>Frontiers in Pharmacology</w:t>
      </w:r>
      <w:r>
        <w:t xml:space="preserve"> 7 (April): 107.</w:t>
      </w:r>
      <w:r>
        <w:br/>
      </w:r>
      <w:r>
        <w:br/>
        <w:t xml:space="preserve">Wang, Huan, Ce Shi, Mengyao Kong, </w:t>
      </w:r>
      <w:proofErr w:type="spellStart"/>
      <w:r>
        <w:t>Changkao</w:t>
      </w:r>
      <w:proofErr w:type="spellEnd"/>
      <w:r>
        <w:t xml:space="preserve"> Mu, </w:t>
      </w:r>
      <w:proofErr w:type="spellStart"/>
      <w:r>
        <w:t>Hongling</w:t>
      </w:r>
      <w:proofErr w:type="spellEnd"/>
      <w:r>
        <w:t xml:space="preserve"> Wei, and Chunlin Wang. 2018. “Cloning and Expression of a Transcription Factor Activator Protein-1 Member Identified from the Swimming Crab </w:t>
      </w:r>
      <w:proofErr w:type="spellStart"/>
      <w:r>
        <w:t>Portunus</w:t>
      </w:r>
      <w:proofErr w:type="spellEnd"/>
      <w:r>
        <w:t xml:space="preserve"> </w:t>
      </w:r>
      <w:proofErr w:type="spellStart"/>
      <w:r>
        <w:t>Trituberculatus</w:t>
      </w:r>
      <w:proofErr w:type="spellEnd"/>
      <w:r>
        <w:t xml:space="preserve">.” </w:t>
      </w:r>
      <w:r>
        <w:rPr>
          <w:i/>
          <w:iCs/>
        </w:rPr>
        <w:t>Cell Stress &amp; Chaperones</w:t>
      </w:r>
      <w:r>
        <w:t xml:space="preserve"> 23 (6): 1275–82.</w:t>
      </w:r>
      <w:r>
        <w:br/>
      </w:r>
      <w:r>
        <w:br/>
        <w:t xml:space="preserve">Waterhouse, Robert M., Mathieu </w:t>
      </w:r>
      <w:proofErr w:type="spellStart"/>
      <w:r>
        <w:t>Seppey</w:t>
      </w:r>
      <w:proofErr w:type="spellEnd"/>
      <w:r>
        <w:t xml:space="preserve">, Felipe A. Simão, </w:t>
      </w:r>
      <w:proofErr w:type="spellStart"/>
      <w:r>
        <w:t>Mosè</w:t>
      </w:r>
      <w:proofErr w:type="spellEnd"/>
      <w:r>
        <w:t xml:space="preserve"> Manni, Panagiotis Ioannidis, </w:t>
      </w:r>
      <w:proofErr w:type="spellStart"/>
      <w:r>
        <w:t>Guennadi</w:t>
      </w:r>
      <w:proofErr w:type="spellEnd"/>
      <w:r>
        <w:t xml:space="preserve"> </w:t>
      </w:r>
      <w:proofErr w:type="spellStart"/>
      <w:r>
        <w:t>Klioutchnikov</w:t>
      </w:r>
      <w:proofErr w:type="spellEnd"/>
      <w:r>
        <w:t xml:space="preserve">, Evgenia V. </w:t>
      </w:r>
      <w:proofErr w:type="spellStart"/>
      <w:r>
        <w:t>Kriventseva</w:t>
      </w:r>
      <w:proofErr w:type="spellEnd"/>
      <w:r>
        <w:t xml:space="preserve">, and Evgeny M. </w:t>
      </w:r>
      <w:proofErr w:type="spellStart"/>
      <w:r>
        <w:t>Zdobnov</w:t>
      </w:r>
      <w:proofErr w:type="spellEnd"/>
      <w:r>
        <w:t xml:space="preserve">. 2018. “BUSCO Applications from Quality Assessments to Gene Prediction and </w:t>
      </w:r>
      <w:proofErr w:type="spellStart"/>
      <w:r>
        <w:t>Phylogenomics</w:t>
      </w:r>
      <w:proofErr w:type="spellEnd"/>
      <w:r>
        <w:t xml:space="preserve">.” </w:t>
      </w:r>
      <w:r>
        <w:rPr>
          <w:i/>
          <w:iCs/>
        </w:rPr>
        <w:t>Molecular Biology and Evolution</w:t>
      </w:r>
      <w:r>
        <w:t xml:space="preserve"> 35 (3): 543–48.</w:t>
      </w:r>
      <w:r>
        <w:br/>
      </w:r>
      <w:r>
        <w:br/>
        <w:t xml:space="preserve">Wheeler, Kersten, Jeffrey D. Shields, and David M. Taylor. 2007. “Pathology of Hematodinium Infections in Snow Crabs (Chionoecetes Opilio) from Newfoundland, Canada.” </w:t>
      </w:r>
      <w:r>
        <w:rPr>
          <w:i/>
          <w:iCs/>
        </w:rPr>
        <w:t>Journal of Invertebrate Pathology</w:t>
      </w:r>
      <w:r>
        <w:t xml:space="preserve"> 95 (2): 93–100.</w:t>
      </w:r>
      <w:r>
        <w:br/>
      </w:r>
      <w:r>
        <w:br/>
        <w:t xml:space="preserve">Wood, Chelsea L., and Pieter </w:t>
      </w:r>
      <w:proofErr w:type="spellStart"/>
      <w:r>
        <w:t>Tj</w:t>
      </w:r>
      <w:proofErr w:type="spellEnd"/>
      <w:r>
        <w:t xml:space="preserve"> Johnson. 2015. “A World without Parasites: Exploring the Hidden Ecology of Infection.” </w:t>
      </w:r>
      <w:r>
        <w:rPr>
          <w:i/>
          <w:iCs/>
        </w:rPr>
        <w:t>Frontiers in Ecology and the Environment</w:t>
      </w:r>
      <w:r>
        <w:t xml:space="preserve"> 13 (8): 425–34.</w:t>
      </w:r>
      <w:r>
        <w:br/>
      </w:r>
      <w:r>
        <w:br/>
        <w:t xml:space="preserve">Wright, Rachel M., Galina V. </w:t>
      </w:r>
      <w:proofErr w:type="spellStart"/>
      <w:r>
        <w:t>Aglyamova</w:t>
      </w:r>
      <w:proofErr w:type="spellEnd"/>
      <w:r>
        <w:t xml:space="preserve">, Eli Meyer, and Mikhail V. Matz. 2015. “Gene Expression Associated with White Syndromes in a Reef Building Coral, Acropora Hyacinthus.” </w:t>
      </w:r>
      <w:r>
        <w:rPr>
          <w:i/>
          <w:iCs/>
        </w:rPr>
        <w:t>BMC Genomics</w:t>
      </w:r>
      <w:r>
        <w:t xml:space="preserve"> 16 (May): 371.</w:t>
      </w:r>
      <w:r>
        <w:br/>
      </w:r>
      <w:r>
        <w:br/>
        <w:t xml:space="preserve">Zhang, </w:t>
      </w:r>
      <w:proofErr w:type="spellStart"/>
      <w:r>
        <w:t>Runfeng</w:t>
      </w:r>
      <w:proofErr w:type="spellEnd"/>
      <w:r>
        <w:t xml:space="preserve">, Fang Liu, Peter Hunt, </w:t>
      </w:r>
      <w:proofErr w:type="spellStart"/>
      <w:r>
        <w:t>Congjun</w:t>
      </w:r>
      <w:proofErr w:type="spellEnd"/>
      <w:r>
        <w:t xml:space="preserve"> Li, </w:t>
      </w:r>
      <w:proofErr w:type="spellStart"/>
      <w:r>
        <w:t>Lichun</w:t>
      </w:r>
      <w:proofErr w:type="spellEnd"/>
      <w:r>
        <w:t xml:space="preserve"> Zhang, Aaron Ingham, and Robert W. Li. 2019. “Transcriptome Analysis Unraveled Potential Mechanisms of Resistance to </w:t>
      </w:r>
      <w:proofErr w:type="spellStart"/>
      <w:r>
        <w:t>Haemonchus</w:t>
      </w:r>
      <w:proofErr w:type="spellEnd"/>
      <w:r>
        <w:t xml:space="preserve"> </w:t>
      </w:r>
      <w:proofErr w:type="spellStart"/>
      <w:r>
        <w:t>Contortus</w:t>
      </w:r>
      <w:proofErr w:type="spellEnd"/>
      <w:r>
        <w:t xml:space="preserve"> Infection in Merino Sheep Populations Bred for Parasite Resistance.” </w:t>
      </w:r>
      <w:r>
        <w:rPr>
          <w:i/>
          <w:iCs/>
        </w:rPr>
        <w:t>Veterinary Research</w:t>
      </w:r>
      <w:r>
        <w:t xml:space="preserve"> 50 (1): 7.</w:t>
      </w:r>
      <w:r>
        <w:br/>
      </w:r>
      <w:r>
        <w:br/>
        <w:t xml:space="preserve">Zhou, Falin, </w:t>
      </w:r>
      <w:proofErr w:type="spellStart"/>
      <w:r>
        <w:t>Kaimin</w:t>
      </w:r>
      <w:proofErr w:type="spellEnd"/>
      <w:r>
        <w:t xml:space="preserve"> Zhou, Jianhua Huang, </w:t>
      </w:r>
      <w:proofErr w:type="spellStart"/>
      <w:r>
        <w:t>Qibin</w:t>
      </w:r>
      <w:proofErr w:type="spellEnd"/>
      <w:r>
        <w:t xml:space="preserve"> Yang, Song Jiang, Lihua Qiu, </w:t>
      </w:r>
      <w:proofErr w:type="spellStart"/>
      <w:r>
        <w:t>Lishi</w:t>
      </w:r>
      <w:proofErr w:type="spellEnd"/>
      <w:r>
        <w:t xml:space="preserve"> Yang, and </w:t>
      </w:r>
      <w:proofErr w:type="spellStart"/>
      <w:r>
        <w:t>Shigui</w:t>
      </w:r>
      <w:proofErr w:type="spellEnd"/>
      <w:r>
        <w:t xml:space="preserve"> Jiang. 2018. “Characterization and Expression Analysis of a Chitinase Gene (PmChi-5) from Black Tiger Shrimp (Penaeus Monodon) under Pathogens Infection and Ambient Ammonia-N Stress.” </w:t>
      </w:r>
      <w:r>
        <w:rPr>
          <w:i/>
          <w:iCs/>
        </w:rPr>
        <w:t>Fish &amp; Shellfish Immunology</w:t>
      </w:r>
      <w:r>
        <w:t xml:space="preserve"> 72 (January): 117–23.</w:t>
      </w:r>
      <w:r>
        <w:br/>
      </w:r>
      <w:r>
        <w:br/>
      </w:r>
      <w:r>
        <w:lastRenderedPageBreak/>
        <w:t>Zhou, Yi-Lian, Lan-Zhi Wang, Wen-Bin Gu, Cong Wang, Qi-Hui Zhu, Ze-Peng Liu, Yu-Yin Chen, and Miao-</w:t>
      </w:r>
      <w:proofErr w:type="gramStart"/>
      <w:r>
        <w:t>An</w:t>
      </w:r>
      <w:proofErr w:type="gramEnd"/>
      <w:r>
        <w:t xml:space="preserve"> Shu. 2018. “Identification and Functional Analysis of Immune Deficiency (IMD) from Scylla </w:t>
      </w:r>
      <w:proofErr w:type="spellStart"/>
      <w:r>
        <w:t>Paramamosain</w:t>
      </w:r>
      <w:proofErr w:type="spellEnd"/>
      <w:r>
        <w:t xml:space="preserve">: The First Evidence of IMD Signaling Pathway Involved in Immune Defense against Bacterial Infection in Crab Species.” </w:t>
      </w:r>
      <w:r>
        <w:rPr>
          <w:i/>
          <w:iCs/>
        </w:rPr>
        <w:t>Fish &amp; Shellfish Immunology</w:t>
      </w:r>
      <w:r>
        <w:t xml:space="preserve"> 81 (October): 150–60.</w:t>
      </w:r>
      <w:r>
        <w:br/>
      </w:r>
      <w:r>
        <w:br/>
        <w:t xml:space="preserve">Zhu, You-Ting, Xing Zhang, Shi-Chuang Wang, Wei-Wei Li, and Qun Wang. 2016. “Antimicrobial Functions of </w:t>
      </w:r>
      <w:proofErr w:type="spellStart"/>
      <w:r>
        <w:t>EsLecH</w:t>
      </w:r>
      <w:proofErr w:type="spellEnd"/>
      <w:r>
        <w:t xml:space="preserve">, a C-Type Lectin, via JNK Pathway in the Chinese Mitten Crab, </w:t>
      </w:r>
      <w:proofErr w:type="spellStart"/>
      <w:r>
        <w:t>Eriocheir</w:t>
      </w:r>
      <w:proofErr w:type="spellEnd"/>
      <w:r>
        <w:t xml:space="preserve"> Sinensis.” </w:t>
      </w:r>
      <w:r>
        <w:rPr>
          <w:i/>
          <w:iCs/>
        </w:rPr>
        <w:t>Developmental and Comparative Immunology</w:t>
      </w:r>
      <w:r>
        <w:t xml:space="preserve"> 61 (August): 225–35.</w:t>
      </w:r>
    </w:p>
    <w:p w14:paraId="4D7649F0" w14:textId="2E7B6821" w:rsidR="00CB43D5" w:rsidRDefault="00CB43D5" w:rsidP="00CB43D5">
      <w:pPr>
        <w:pStyle w:val="Heading1"/>
      </w:pPr>
      <w:r>
        <w:t>Conflict of Interest</w:t>
      </w:r>
    </w:p>
    <w:p w14:paraId="57F5D7D1" w14:textId="77777777" w:rsidR="00CB43D5" w:rsidRPr="00CB43D5" w:rsidRDefault="00CB43D5" w:rsidP="00CB43D5">
      <w:r w:rsidRPr="00A545C6">
        <w:rPr>
          <w:rFonts w:eastAsia="Times New Roman" w:cs="Times New Roman"/>
          <w:i/>
          <w:szCs w:val="24"/>
          <w:lang w:val="en-GB" w:eastAsia="en-GB"/>
        </w:rPr>
        <w:t>The authors declare that the research was conducted in the absence of any commercial or financial relationships that could be construed as a potential conflict of interest</w:t>
      </w:r>
      <w:r w:rsidRPr="00CB43D5">
        <w:rPr>
          <w:rFonts w:eastAsia="Times New Roman" w:cs="Times New Roman"/>
          <w:szCs w:val="24"/>
          <w:lang w:val="en-GB" w:eastAsia="en-GB"/>
        </w:rPr>
        <w:t>.</w:t>
      </w:r>
    </w:p>
    <w:p w14:paraId="0D6553A8" w14:textId="77777777" w:rsidR="00045678" w:rsidRDefault="00045678" w:rsidP="00045678">
      <w:pPr>
        <w:pStyle w:val="Heading1"/>
      </w:pPr>
      <w:r>
        <w:t>Author Contributions</w:t>
      </w:r>
    </w:p>
    <w:p w14:paraId="621A1805" w14:textId="2F38605B" w:rsidR="007C5330" w:rsidRDefault="007C5330" w:rsidP="00265660">
      <w:pPr>
        <w:rPr>
          <w:lang w:val="en-GB"/>
        </w:rPr>
      </w:pPr>
      <w:r>
        <w:rPr>
          <w:lang w:val="en-GB"/>
        </w:rPr>
        <w:t xml:space="preserve">GC, PJ, and SR planned and carried out the experiment, SW annotated and assembled the transcriptomes, and AC characterized immune genes and analysed gene expression. AC wrote </w:t>
      </w:r>
      <w:proofErr w:type="gramStart"/>
      <w:r>
        <w:rPr>
          <w:lang w:val="en-GB"/>
        </w:rPr>
        <w:t>the majority of</w:t>
      </w:r>
      <w:proofErr w:type="gramEnd"/>
      <w:r>
        <w:rPr>
          <w:lang w:val="en-GB"/>
        </w:rPr>
        <w:t xml:space="preserve"> the manuscript, with contributions and approval from all other authors.</w:t>
      </w:r>
    </w:p>
    <w:p w14:paraId="5722F5F5" w14:textId="77777777" w:rsidR="00AC3EA3" w:rsidRPr="00376CC5" w:rsidRDefault="00AC3EA3" w:rsidP="00A53000">
      <w:pPr>
        <w:pStyle w:val="Heading1"/>
      </w:pPr>
      <w:r w:rsidRPr="00376CC5">
        <w:t>Funding</w:t>
      </w:r>
    </w:p>
    <w:p w14:paraId="7342A04E" w14:textId="021B898E" w:rsidR="00AC3EA3" w:rsidRPr="00376CC5" w:rsidRDefault="00EE3BA4" w:rsidP="00AC3EA3">
      <w:pPr>
        <w:rPr>
          <w:szCs w:val="24"/>
        </w:rPr>
      </w:pPr>
      <w:r w:rsidRPr="00EE3BA4">
        <w:t xml:space="preserve">This project was funded by the North Pacific Research Board (NPRB), project 1705. This work was facilitated </w:t>
      </w:r>
      <w:proofErr w:type="gramStart"/>
      <w:r w:rsidRPr="00EE3BA4">
        <w:t>through the use of</w:t>
      </w:r>
      <w:proofErr w:type="gramEnd"/>
      <w:r w:rsidRPr="00EE3BA4">
        <w:t xml:space="preserve"> advanced computational, storage, and networking infrastructure provided by the Hyak supercomputer system at the University of Washington. This work was also supported by the Alaska Department of Fish and Game through the collection of crab, providing personnel to assist in hemolymph withdrawals, and the monitoring of the crab in the Ted Stevens Marine Research Institute (TSMRI, NOAA facility, Juneau, AK) during the experiment</w:t>
      </w:r>
      <w:r w:rsidR="00AC3EA3" w:rsidRPr="00376CC5">
        <w:rPr>
          <w:szCs w:val="24"/>
        </w:rPr>
        <w:t>.</w:t>
      </w:r>
    </w:p>
    <w:p w14:paraId="59E7FCE8" w14:textId="77777777" w:rsidR="0088513A" w:rsidRPr="0088513A" w:rsidRDefault="0088513A" w:rsidP="00EE3BA4">
      <w:pPr>
        <w:pStyle w:val="Heading1"/>
      </w:pPr>
      <w:r w:rsidRPr="0088513A">
        <w:t>Data Availability Statement</w:t>
      </w:r>
    </w:p>
    <w:p w14:paraId="33DE3510" w14:textId="59F5D82C" w:rsidR="0088513A" w:rsidRDefault="0088513A" w:rsidP="006B2D5B">
      <w:pPr>
        <w:rPr>
          <w:rFonts w:cs="Times New Roman"/>
          <w:szCs w:val="24"/>
        </w:rPr>
      </w:pPr>
      <w:r w:rsidRPr="00EE3BA4">
        <w:t xml:space="preserve">The datasets </w:t>
      </w:r>
      <w:r w:rsidR="00EE3BA4" w:rsidRPr="00EE3BA4">
        <w:t xml:space="preserve">analyzed for this study can be found at </w:t>
      </w:r>
      <w:r w:rsidR="00EE3BA4" w:rsidRPr="00EE3BA4">
        <w:t>https://github.com/afcoyle/hemat_bairdi_transcriptome</w:t>
      </w:r>
      <w:r w:rsidRPr="00EE3BA4">
        <w:t>.</w:t>
      </w:r>
      <w:r>
        <w:rPr>
          <w:rFonts w:cs="Times New Roman"/>
          <w:szCs w:val="24"/>
        </w:rPr>
        <w:t xml:space="preserve"> </w:t>
      </w:r>
    </w:p>
    <w:p w14:paraId="4772F0DE" w14:textId="3BD0B60A" w:rsidR="001235FF" w:rsidRDefault="001235FF" w:rsidP="001235FF">
      <w:pPr>
        <w:pStyle w:val="Heading1"/>
      </w:pPr>
      <w:r>
        <w:t>Figure Headings</w:t>
      </w:r>
    </w:p>
    <w:p w14:paraId="50E4700E" w14:textId="01E0C1CA" w:rsidR="001235FF" w:rsidRDefault="001235FF" w:rsidP="001235FF">
      <w:r w:rsidRPr="001235FF">
        <w:rPr>
          <w:b/>
          <w:bCs/>
        </w:rPr>
        <w:t xml:space="preserve">Figure 1. </w:t>
      </w:r>
      <w:r w:rsidRPr="001235FF">
        <w:t>Diagram of temperature of each treatment group over the course of the experiment. Days are indexed from zero, beginning at the initiation of temperature changes for experimental groups. Three RNA samples were taken from each treatment group on days 0, 2, and 17, marked with black dots, and sequenced. Due to a mortality event, no samples with sufficiently high RNA yields were taken from elevated-treatment crabs on day 17.</w:t>
      </w:r>
    </w:p>
    <w:p w14:paraId="1FAFBED5" w14:textId="77777777" w:rsidR="001235FF" w:rsidRPr="001235FF" w:rsidRDefault="001235FF" w:rsidP="001235FF">
      <w:r w:rsidRPr="001235FF">
        <w:rPr>
          <w:b/>
          <w:bCs/>
        </w:rPr>
        <w:t xml:space="preserve">Figure 2. </w:t>
      </w:r>
      <w:r w:rsidRPr="001235FF">
        <w:t>Functional enrichment of Gene Ontology (GO) Biological Process terms between control group libraries aligned to the parasite transcriptome on Day 0 and Day 17 of the experiment. Tree represents hierarchical clustering of GO terms. Text size corresponds to adjusted p-value and text color indicates the direction of regulation. Red corresponds to upregulation while blue indicates downregulation. Numbers indicate the fraction of genes with that GO term with absolute log2 fold change greater than 1.</w:t>
      </w:r>
    </w:p>
    <w:p w14:paraId="26771A5B" w14:textId="1CC41148" w:rsidR="001235FF" w:rsidRDefault="001235FF" w:rsidP="001235FF">
      <w:r w:rsidRPr="001235FF">
        <w:rPr>
          <w:b/>
          <w:bCs/>
        </w:rPr>
        <w:lastRenderedPageBreak/>
        <w:t xml:space="preserve">Figure 3. </w:t>
      </w:r>
      <w:r w:rsidRPr="001235FF">
        <w:t xml:space="preserve">Heatmap of </w:t>
      </w:r>
      <w:r w:rsidRPr="001235FF">
        <w:rPr>
          <w:i/>
          <w:iCs/>
        </w:rPr>
        <w:t>C. bairdi</w:t>
      </w:r>
      <w:r w:rsidRPr="001235FF">
        <w:t xml:space="preserve"> gene expression clusters and experimental variables. Brown module shows significant differences between samples taken at decreased and elevated temperatures (p = 0.02), along with significant differences between samples taken at elevated and non-elevated temperatures (p = 0.03). The black module shows significant differences between samples taken at lowered and ambient temperatures (p = 8 x 10</w:t>
      </w:r>
      <w:r w:rsidRPr="001235FF">
        <w:rPr>
          <w:vertAlign w:val="superscript"/>
        </w:rPr>
        <w:t>-4</w:t>
      </w:r>
      <w:r w:rsidRPr="001235FF">
        <w:t>), and elevated and non-elevated temperatures (p = 0.05)</w:t>
      </w:r>
    </w:p>
    <w:p w14:paraId="16D479D8" w14:textId="77777777" w:rsidR="001235FF" w:rsidRPr="001235FF" w:rsidRDefault="001235FF" w:rsidP="001235FF">
      <w:r w:rsidRPr="001235FF">
        <w:rPr>
          <w:b/>
          <w:bCs/>
        </w:rPr>
        <w:t xml:space="preserve">Figure 4. </w:t>
      </w:r>
      <w:r w:rsidRPr="001235FF">
        <w:t>Heatmap of parasite gene expression clusters and experimental variables. Pink module shows a significant decrease in expression over time (</w:t>
      </w:r>
      <w:proofErr w:type="spellStart"/>
      <w:r w:rsidRPr="001235FF">
        <w:t>padj</w:t>
      </w:r>
      <w:proofErr w:type="spellEnd"/>
      <w:r w:rsidRPr="001235FF">
        <w:t xml:space="preserve"> = 0.03), and brown module shows a significant decrease in expression with higher initial </w:t>
      </w:r>
      <w:r w:rsidRPr="001235FF">
        <w:rPr>
          <w:i/>
          <w:iCs/>
        </w:rPr>
        <w:t>Hematodinium</w:t>
      </w:r>
      <w:r w:rsidRPr="001235FF">
        <w:t xml:space="preserve"> infection levels (</w:t>
      </w:r>
      <w:proofErr w:type="spellStart"/>
      <w:r w:rsidRPr="001235FF">
        <w:t>padj</w:t>
      </w:r>
      <w:proofErr w:type="spellEnd"/>
      <w:r w:rsidRPr="001235FF">
        <w:t xml:space="preserve"> = 0.02)</w:t>
      </w:r>
    </w:p>
    <w:p w14:paraId="28D7BD11" w14:textId="6A1E087D" w:rsidR="001235FF" w:rsidRDefault="001235FF" w:rsidP="001235FF">
      <w:r w:rsidRPr="001235FF">
        <w:rPr>
          <w:b/>
          <w:bCs/>
        </w:rPr>
        <w:t xml:space="preserve">Figure 5. </w:t>
      </w:r>
      <w:r w:rsidRPr="001235FF">
        <w:t>Enrichment of GO Biological Process terms within libraries aligned to the parasite transcriptome and clustered into the brown module.</w:t>
      </w:r>
    </w:p>
    <w:p w14:paraId="4135C9D0" w14:textId="77777777" w:rsidR="001235FF" w:rsidRDefault="001235FF" w:rsidP="001235FF"/>
    <w:p w14:paraId="300529D1" w14:textId="05F06732" w:rsidR="001235FF" w:rsidRDefault="001235FF" w:rsidP="001235FF">
      <w:pPr>
        <w:pStyle w:val="Heading1"/>
      </w:pPr>
      <w:r>
        <w:t>Tables</w:t>
      </w:r>
    </w:p>
    <w:tbl>
      <w:tblPr>
        <w:tblW w:w="0" w:type="auto"/>
        <w:tblCellMar>
          <w:top w:w="15" w:type="dxa"/>
          <w:left w:w="15" w:type="dxa"/>
          <w:bottom w:w="15" w:type="dxa"/>
          <w:right w:w="15" w:type="dxa"/>
        </w:tblCellMar>
        <w:tblLook w:val="04A0" w:firstRow="1" w:lastRow="0" w:firstColumn="1" w:lastColumn="0" w:noHBand="0" w:noVBand="1"/>
      </w:tblPr>
      <w:tblGrid>
        <w:gridCol w:w="958"/>
        <w:gridCol w:w="2279"/>
        <w:gridCol w:w="1863"/>
        <w:gridCol w:w="1863"/>
        <w:gridCol w:w="1986"/>
      </w:tblGrid>
      <w:tr w:rsidR="001235FF" w:rsidRPr="001235FF" w14:paraId="20997F4F"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D012C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Crab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6C92A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Temperature Regime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42623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Sample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BE9A2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2 Sample 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C3FD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17 Sample ID</w:t>
            </w:r>
          </w:p>
        </w:tc>
      </w:tr>
      <w:tr w:rsidR="001235FF" w:rsidRPr="001235FF" w14:paraId="36582162"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5C4A1"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45208A"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Ambient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E35F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69D4F2"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1B1DE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A17</w:t>
            </w:r>
          </w:p>
        </w:tc>
      </w:tr>
      <w:tr w:rsidR="001235FF" w:rsidRPr="001235FF" w14:paraId="27415E5D"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0571F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F2B20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Ambient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A49C8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B0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157C52"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B2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461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B17</w:t>
            </w:r>
          </w:p>
        </w:tc>
      </w:tr>
      <w:tr w:rsidR="001235FF" w:rsidRPr="001235FF" w14:paraId="1300698C"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CDE67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0FEE9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Ambient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405AD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C0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E9B0FE"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37AD4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C17</w:t>
            </w:r>
          </w:p>
        </w:tc>
      </w:tr>
      <w:tr w:rsidR="001235FF" w:rsidRPr="001235FF" w14:paraId="01073306"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DDE78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08091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5072E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5FAE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882BDB"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D17</w:t>
            </w:r>
          </w:p>
        </w:tc>
      </w:tr>
      <w:tr w:rsidR="001235FF" w:rsidRPr="001235FF" w14:paraId="59F2131A"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251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4371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81ABD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9D6FE"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A9B0D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E17</w:t>
            </w:r>
          </w:p>
        </w:tc>
      </w:tr>
      <w:tr w:rsidR="001235FF" w:rsidRPr="001235FF" w14:paraId="789A2623"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D3B4F9"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D276D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613C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F0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0EAD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CE337D"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F17</w:t>
            </w:r>
          </w:p>
        </w:tc>
      </w:tr>
      <w:tr w:rsidR="001235FF" w:rsidRPr="001235FF" w14:paraId="37956167"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B603DA"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E94D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Elevated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60E35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G0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FEFF9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G2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9FFC0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NA</w:t>
            </w:r>
          </w:p>
        </w:tc>
      </w:tr>
      <w:tr w:rsidR="001235FF" w:rsidRPr="001235FF" w14:paraId="266AED56"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68EC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6114E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Elevated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BD83B"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H0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53221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H2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F408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NA</w:t>
            </w:r>
          </w:p>
        </w:tc>
      </w:tr>
      <w:tr w:rsidR="001235FF" w:rsidRPr="001235FF" w14:paraId="39EB3948"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1FBD81"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B5DFB9"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Elevated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4785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I0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9ACF3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0D6BBE"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NA</w:t>
            </w:r>
          </w:p>
        </w:tc>
      </w:tr>
    </w:tbl>
    <w:p w14:paraId="72B3937F" w14:textId="01260B7A" w:rsidR="001235FF" w:rsidRDefault="001235FF" w:rsidP="001235FF">
      <w:pPr>
        <w:rPr>
          <w:rFonts w:ascii="Arial" w:eastAsia="Times New Roman" w:hAnsi="Arial" w:cs="Arial"/>
          <w:color w:val="000000"/>
          <w:sz w:val="22"/>
        </w:rPr>
      </w:pPr>
      <w:r w:rsidRPr="001235FF">
        <w:rPr>
          <w:rFonts w:eastAsia="Times New Roman" w:cs="Times New Roman"/>
          <w:szCs w:val="24"/>
        </w:rPr>
        <w:br/>
      </w:r>
      <w:r w:rsidRPr="001235FF">
        <w:rPr>
          <w:rFonts w:ascii="Arial" w:eastAsia="Times New Roman" w:hAnsi="Arial" w:cs="Arial"/>
          <w:b/>
          <w:bCs/>
          <w:color w:val="000000"/>
          <w:sz w:val="22"/>
        </w:rPr>
        <w:t>Table 1. IDs for samples taken from each crab throughout the experiment.</w:t>
      </w:r>
      <w:r w:rsidRPr="001235FF">
        <w:rPr>
          <w:rFonts w:ascii="Arial" w:eastAsia="Times New Roman" w:hAnsi="Arial" w:cs="Arial"/>
          <w:color w:val="000000"/>
          <w:sz w:val="22"/>
        </w:rPr>
        <w:t xml:space="preserve"> Day 0 samples were taken prior to the initiation of temperature treatments. Due to a mortality event, samples were not available to be taken from elevated treatment crabs on Day 17.</w:t>
      </w:r>
    </w:p>
    <w:p w14:paraId="2B930656" w14:textId="0C0619A5" w:rsidR="001235FF" w:rsidRDefault="001235FF" w:rsidP="001235FF">
      <w:pPr>
        <w:rPr>
          <w:rFonts w:ascii="Arial" w:eastAsia="Times New Roman" w:hAnsi="Arial" w:cs="Arial"/>
          <w:color w:val="000000"/>
          <w:sz w:val="22"/>
        </w:rPr>
      </w:pPr>
    </w:p>
    <w:tbl>
      <w:tblPr>
        <w:tblW w:w="0" w:type="auto"/>
        <w:tblCellMar>
          <w:top w:w="15" w:type="dxa"/>
          <w:left w:w="15" w:type="dxa"/>
          <w:bottom w:w="15" w:type="dxa"/>
          <w:right w:w="15" w:type="dxa"/>
        </w:tblCellMar>
        <w:tblLook w:val="04A0" w:firstRow="1" w:lastRow="0" w:firstColumn="1" w:lastColumn="0" w:noHBand="0" w:noVBand="1"/>
      </w:tblPr>
      <w:tblGrid>
        <w:gridCol w:w="1256"/>
        <w:gridCol w:w="1474"/>
        <w:gridCol w:w="1051"/>
        <w:gridCol w:w="1123"/>
        <w:gridCol w:w="1123"/>
        <w:gridCol w:w="1340"/>
        <w:gridCol w:w="1073"/>
        <w:gridCol w:w="1317"/>
      </w:tblGrid>
      <w:tr w:rsidR="001235FF" w:rsidRPr="001235FF" w14:paraId="591CB98C"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66431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Temp. Regime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838F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Comparison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D7E39"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Variable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0102D"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Libraries (Set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F93C0E"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Libraries (Set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81B74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DE Contigs (Complete)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128F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DE Contigs </w:t>
            </w:r>
          </w:p>
          <w:p w14:paraId="446D3D1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w:t>
            </w:r>
            <w:r w:rsidRPr="001235FF">
              <w:rPr>
                <w:rFonts w:ascii="Arial" w:eastAsia="Times New Roman" w:hAnsi="Arial" w:cs="Arial"/>
                <w:b/>
                <w:bCs/>
                <w:i/>
                <w:iCs/>
                <w:color w:val="000000"/>
                <w:sz w:val="22"/>
              </w:rPr>
              <w:t>C. bairdi</w:t>
            </w:r>
            <w:r w:rsidRPr="001235FF">
              <w:rPr>
                <w:rFonts w:ascii="Arial" w:eastAsia="Times New Roman" w:hAnsi="Arial" w:cs="Arial"/>
                <w:b/>
                <w:bCs/>
                <w:color w:val="000000"/>
                <w:sz w:val="22"/>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CE298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b/>
                <w:bCs/>
                <w:color w:val="000000"/>
                <w:sz w:val="22"/>
              </w:rPr>
              <w:t>DE Contigs (</w:t>
            </w:r>
            <w:proofErr w:type="spellStart"/>
            <w:r w:rsidRPr="001235FF">
              <w:rPr>
                <w:rFonts w:ascii="Arial" w:eastAsia="Times New Roman" w:hAnsi="Arial" w:cs="Arial"/>
                <w:b/>
                <w:bCs/>
                <w:i/>
                <w:iCs/>
                <w:color w:val="000000"/>
                <w:sz w:val="22"/>
              </w:rPr>
              <w:t>Alveolata</w:t>
            </w:r>
            <w:proofErr w:type="spellEnd"/>
            <w:r w:rsidRPr="001235FF">
              <w:rPr>
                <w:rFonts w:ascii="Arial" w:eastAsia="Times New Roman" w:hAnsi="Arial" w:cs="Arial"/>
                <w:b/>
                <w:bCs/>
                <w:color w:val="000000"/>
                <w:sz w:val="22"/>
              </w:rPr>
              <w:t>)</w:t>
            </w:r>
          </w:p>
        </w:tc>
      </w:tr>
      <w:tr w:rsidR="001235FF" w:rsidRPr="001235FF" w14:paraId="1A418780"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0719F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lastRenderedPageBreak/>
              <w:t>Elevated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BADA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C113B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1D4019"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G0, H0, I0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30CDF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G2, H2, 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AFA49"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367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40B622"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1721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981A9B"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4</w:t>
            </w:r>
          </w:p>
        </w:tc>
      </w:tr>
      <w:tr w:rsidR="001235FF" w:rsidRPr="001235FF" w14:paraId="4359C5CA"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7EF2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9E60BD"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2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22DF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B425D"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D0, E0, F0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8DC28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D2, E2, F2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6B84BD"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2033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D0112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E5AA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0</w:t>
            </w:r>
          </w:p>
        </w:tc>
      </w:tr>
      <w:tr w:rsidR="001235FF" w:rsidRPr="001235FF" w14:paraId="2FF4CAEA"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5A48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85E08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0477B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0551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D0, E0, F0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7CEA2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D17, E17, 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306C8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213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BFF3E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FDF03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0</w:t>
            </w:r>
          </w:p>
        </w:tc>
      </w:tr>
      <w:tr w:rsidR="001235FF" w:rsidRPr="001235FF" w14:paraId="70C899B4"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94C8C"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9A730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2+17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B70B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5F030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D0, E0, F0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03FD6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D2, D17, E2, E17, F2, F17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1C6A4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389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25D8D2"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14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FBBE8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0</w:t>
            </w:r>
          </w:p>
        </w:tc>
      </w:tr>
      <w:tr w:rsidR="001235FF" w:rsidRPr="001235FF" w14:paraId="6566FB44"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D80BB"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Ambient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0066F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7AF43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6A2D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A0, B0, C0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1DDF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A2, B2, C2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23BECC5"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7103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F71E5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78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535169"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0</w:t>
            </w:r>
          </w:p>
        </w:tc>
      </w:tr>
      <w:tr w:rsidR="001235FF" w:rsidRPr="001235FF" w14:paraId="679524C1"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C23C8A"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Ambient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9955FF"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84E5A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7B6D"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A0, B0, C0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DDCF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A17, B17, C17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E1C2F3"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4764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009D0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473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93CFBB"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7</w:t>
            </w:r>
          </w:p>
        </w:tc>
      </w:tr>
      <w:tr w:rsidR="001235FF" w:rsidRPr="001235FF" w14:paraId="494D6185" w14:textId="77777777" w:rsidTr="001235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FE890"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Decreased and Elevated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79BE17"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Day 0 vs. Day 2</w:t>
            </w:r>
          </w:p>
          <w:p w14:paraId="2B7E7A22" w14:textId="77777777" w:rsidR="001235FF" w:rsidRPr="001235FF" w:rsidRDefault="001235FF" w:rsidP="001235FF">
            <w:pPr>
              <w:spacing w:before="0" w:after="0"/>
              <w:rPr>
                <w:rFonts w:eastAsia="Times New Roman" w:cs="Times New Roman"/>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2034E8"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Temp.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9A77DB"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D0, E0, F0, G0, H0, I0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F4E2A6"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D2, E2, F2, G2, H2, I2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A7EF31"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1113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0126E"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192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C1FC174" w14:textId="77777777" w:rsidR="001235FF" w:rsidRPr="001235FF" w:rsidRDefault="001235FF" w:rsidP="001235FF">
            <w:pPr>
              <w:spacing w:before="0" w:after="0"/>
              <w:rPr>
                <w:rFonts w:eastAsia="Times New Roman" w:cs="Times New Roman"/>
                <w:szCs w:val="24"/>
              </w:rPr>
            </w:pPr>
            <w:r w:rsidRPr="001235FF">
              <w:rPr>
                <w:rFonts w:ascii="Arial" w:eastAsia="Times New Roman" w:hAnsi="Arial" w:cs="Arial"/>
                <w:color w:val="000000"/>
                <w:sz w:val="22"/>
              </w:rPr>
              <w:t>0</w:t>
            </w:r>
          </w:p>
        </w:tc>
      </w:tr>
    </w:tbl>
    <w:p w14:paraId="38A3181D" w14:textId="77777777" w:rsidR="001235FF" w:rsidRPr="001235FF" w:rsidRDefault="001235FF" w:rsidP="001235FF">
      <w:pPr>
        <w:spacing w:before="0" w:after="0"/>
        <w:rPr>
          <w:rFonts w:eastAsia="Times New Roman" w:cs="Times New Roman"/>
          <w:szCs w:val="24"/>
        </w:rPr>
      </w:pPr>
    </w:p>
    <w:p w14:paraId="1FB01AA4" w14:textId="609BA510" w:rsidR="007C5330" w:rsidRPr="002D11D2" w:rsidRDefault="001235FF" w:rsidP="002D11D2">
      <w:pPr>
        <w:spacing w:before="0" w:after="0"/>
        <w:rPr>
          <w:rFonts w:eastAsia="Times New Roman" w:cs="Times New Roman"/>
          <w:szCs w:val="24"/>
        </w:rPr>
      </w:pPr>
      <w:r w:rsidRPr="001235FF">
        <w:rPr>
          <w:rFonts w:ascii="Arial" w:eastAsia="Times New Roman" w:hAnsi="Arial" w:cs="Arial"/>
          <w:b/>
          <w:bCs/>
          <w:color w:val="000000"/>
          <w:sz w:val="22"/>
        </w:rPr>
        <w:t xml:space="preserve">Table 2. Differential expression comparisons made over time. </w:t>
      </w:r>
      <w:r w:rsidRPr="001235FF">
        <w:rPr>
          <w:rFonts w:ascii="Arial" w:eastAsia="Times New Roman" w:hAnsi="Arial" w:cs="Arial"/>
          <w:color w:val="000000"/>
          <w:sz w:val="22"/>
        </w:rPr>
        <w:t>Comparisons within the control group provided context for the frequency of differentially expressed contigs (DE Contigs) expected without a temperature change. Simultaneously, they examined expression over the course of an infection. Comparisons between Day 0 and Day 2 in an experimental group examine short-term changes to a temperature shift, while comparisons between Day 0 and Day 17 provide a long-term picture. The final comparison, between both experimental groups on Day 0 and Day 2, provides genes involved in short-term temperature response, regardless of direction.</w:t>
      </w:r>
    </w:p>
    <w:sectPr w:rsidR="007C5330" w:rsidRPr="002D11D2" w:rsidSect="00D537FA">
      <w:headerReference w:type="even" r:id="rId8"/>
      <w:headerReference w:type="default" r:id="rId9"/>
      <w:footerReference w:type="even" r:id="rId10"/>
      <w:footerReference w:type="default" r:id="rId11"/>
      <w:headerReference w:type="first" r:id="rId12"/>
      <w:pgSz w:w="12240" w:h="15840"/>
      <w:pgMar w:top="1138" w:right="1181" w:bottom="1138" w:left="1282" w:header="283" w:footer="51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23C3D4" w14:textId="77777777" w:rsidR="008C5AA9" w:rsidRDefault="008C5AA9" w:rsidP="00117666">
      <w:pPr>
        <w:spacing w:after="0"/>
      </w:pPr>
      <w:r>
        <w:separator/>
      </w:r>
    </w:p>
  </w:endnote>
  <w:endnote w:type="continuationSeparator" w:id="0">
    <w:p w14:paraId="0EFDDDF5" w14:textId="77777777" w:rsidR="008C5AA9" w:rsidRDefault="008C5AA9" w:rsidP="0011766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3D3D87" w14:textId="7980A587" w:rsidR="00686C9D" w:rsidRPr="00577C4C" w:rsidRDefault="00C52A7B">
    <w:pPr>
      <w:pStyle w:val="Footer"/>
      <w:rPr>
        <w:color w:val="C00000"/>
        <w:szCs w:val="24"/>
      </w:rPr>
    </w:pPr>
    <w:r>
      <w:rPr>
        <w:noProof/>
        <w:lang w:val="en-GB" w:eastAsia="en-GB"/>
      </w:rPr>
      <mc:AlternateContent>
        <mc:Choice Requires="wps">
          <w:drawing>
            <wp:anchor distT="0" distB="0" distL="114300" distR="114300" simplePos="0" relativeHeight="251665408" behindDoc="0" locked="0" layoutInCell="1" allowOverlap="1" wp14:anchorId="51D4B8BD" wp14:editId="575B1817">
              <wp:simplePos x="0" y="0"/>
              <wp:positionH relativeFrom="margin">
                <wp:align>right</wp:align>
              </wp:positionH>
              <wp:positionV relativeFrom="bottomMargin">
                <wp:align>top</wp:align>
              </wp:positionV>
              <wp:extent cx="1508760" cy="395605"/>
              <wp:effectExtent l="0" t="0" r="0" b="0"/>
              <wp:wrapNone/>
              <wp:docPr id="1" name="Text Box 1"/>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51D4B8BD" id="_x0000_t202" coordsize="21600,21600" o:spt="202" path="m,l,21600r21600,l21600,xe">
              <v:stroke joinstyle="miter"/>
              <v:path gradientshapeok="t" o:connecttype="rect"/>
            </v:shapetype>
            <v:shape id="Text Box 1" o:spid="_x0000_s1026" type="#_x0000_t202" style="position:absolute;margin-left:67.6pt;margin-top:0;width:118.8pt;height:31.15pt;z-index:251665408;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" filled="f" stroked="f" strokeweight=".5pt">
              <v:textbox style="mso-fit-shape-to-text:t">
                <w:txbxContent>
                  <w:p w14:paraId="214951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4</w:t>
                    </w:r>
                    <w:r w:rsidRPr="00577C4C">
                      <w:rPr>
                        <w:color w:val="000000" w:themeColor="text1"/>
                        <w:szCs w:val="40"/>
                      </w:rPr>
                      <w:fldChar w:fldCharType="end"/>
                    </w:r>
                  </w:p>
                </w:txbxContent>
              </v:textbox>
              <w10:wrap anchorx="margin" anchory="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0BFF2" w14:textId="77777777" w:rsidR="00686C9D" w:rsidRPr="00577C4C" w:rsidRDefault="00C52A7B">
    <w:pPr>
      <w:pStyle w:val="Footer"/>
      <w:rPr>
        <w:b/>
        <w:sz w:val="20"/>
        <w:szCs w:val="24"/>
      </w:rPr>
    </w:pPr>
    <w:r>
      <w:rPr>
        <w:noProof/>
        <w:lang w:val="en-GB" w:eastAsia="en-GB"/>
      </w:rPr>
      <mc:AlternateContent>
        <mc:Choice Requires="wps">
          <w:drawing>
            <wp:anchor distT="0" distB="0" distL="114300" distR="114300" simplePos="0" relativeHeight="251646976" behindDoc="0" locked="0" layoutInCell="1" allowOverlap="1" wp14:anchorId="2C4AF3B6" wp14:editId="527467EE">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2C4AF3B6" id="_x0000_t202" coordsize="21600,21600" o:spt="202" path="m,l,21600r21600,l21600,xe">
              <v:stroke joinstyle="miter"/>
              <v:path gradientshapeok="t" o:connecttype="rect"/>
            </v:shapetype>
            <v:shape id="Text Box 56" o:spid="_x0000_s1027" type="#_x0000_t202" style="position:absolute;margin-left:67.6pt;margin-top:0;width:118.8pt;height:31.15pt;z-index:251646976;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" filled="f" stroked="f" strokeweight=".5pt">
              <v:textbox style="mso-fit-shape-to-text:t">
                <w:txbxContent>
                  <w:p w14:paraId="74D070C5" w14:textId="77777777" w:rsidR="00686C9D" w:rsidRPr="00577C4C" w:rsidRDefault="00C52A7B">
                    <w:pPr>
                      <w:pStyle w:val="Footer"/>
                      <w:jc w:val="right"/>
                      <w:rPr>
                        <w:color w:val="000000" w:themeColor="text1"/>
                        <w:szCs w:val="40"/>
                      </w:rPr>
                    </w:pPr>
                    <w:r w:rsidRPr="00577C4C">
                      <w:rPr>
                        <w:color w:val="000000" w:themeColor="text1"/>
                        <w:szCs w:val="40"/>
                      </w:rPr>
                      <w:fldChar w:fldCharType="begin"/>
                    </w:r>
                    <w:r w:rsidRPr="00577C4C">
                      <w:rPr>
                        <w:color w:val="000000" w:themeColor="text1"/>
                        <w:szCs w:val="40"/>
                      </w:rPr>
                      <w:instrText xml:space="preserve"> PAGE  \* Arabic  \* MERGEFORMAT </w:instrText>
                    </w:r>
                    <w:r w:rsidRPr="00577C4C">
                      <w:rPr>
                        <w:color w:val="000000" w:themeColor="text1"/>
                        <w:szCs w:val="40"/>
                      </w:rPr>
                      <w:fldChar w:fldCharType="separate"/>
                    </w:r>
                    <w:r w:rsidR="0088513A" w:rsidRPr="0088513A">
                      <w:rPr>
                        <w:noProof/>
                        <w:color w:val="000000" w:themeColor="text1"/>
                        <w:sz w:val="22"/>
                        <w:szCs w:val="40"/>
                      </w:rPr>
                      <w:t>3</w:t>
                    </w:r>
                    <w:r w:rsidRPr="00577C4C">
                      <w:rPr>
                        <w:color w:val="000000" w:themeColor="text1"/>
                        <w:szCs w:val="40"/>
                      </w:rPr>
                      <w:fldChar w:fldCharType="end"/>
                    </w:r>
                  </w:p>
                </w:txbxContent>
              </v:textbox>
              <w10:wrap anchorx="margin" anchory="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19156B" w14:textId="77777777" w:rsidR="008C5AA9" w:rsidRDefault="008C5AA9" w:rsidP="00117666">
      <w:pPr>
        <w:spacing w:after="0"/>
      </w:pPr>
      <w:r>
        <w:separator/>
      </w:r>
    </w:p>
  </w:footnote>
  <w:footnote w:type="continuationSeparator" w:id="0">
    <w:p w14:paraId="1DB52B2C" w14:textId="77777777" w:rsidR="008C5AA9" w:rsidRDefault="008C5AA9" w:rsidP="00117666">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13A34" w14:textId="77777777" w:rsidR="00686C9D" w:rsidRPr="007E3148" w:rsidRDefault="00C52A7B" w:rsidP="00A53000">
    <w:pPr>
      <w:pStyle w:val="Header"/>
    </w:pPr>
    <w:r w:rsidRPr="007E3148">
      <w:ptab w:relativeTo="margin" w:alignment="center" w:leader="none"/>
    </w:r>
    <w:r w:rsidRPr="007E3148">
      <w:ptab w:relativeTo="margin" w:alignment="right" w:leader="none"/>
    </w:r>
    <w:r w:rsidRPr="007E3148">
      <w:t>Running Title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D8A4BC" w14:textId="77777777" w:rsidR="00686C9D" w:rsidRPr="00A53000" w:rsidRDefault="00C52A7B" w:rsidP="00A53000">
    <w:pPr>
      <w:pStyle w:val="Header"/>
    </w:pPr>
    <w:r w:rsidRPr="007E3148">
      <w:ptab w:relativeTo="margin" w:alignment="center" w:leader="none"/>
    </w:r>
    <w:r w:rsidRPr="007E3148">
      <w:ptab w:relativeTo="margin" w:alignment="right" w:leader="none"/>
    </w:r>
    <w:r w:rsidRPr="00A53000">
      <w:t>Running Title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2F27F1" w14:textId="77777777" w:rsidR="00686C9D" w:rsidRDefault="005A1D84" w:rsidP="00A53000">
    <w:pPr>
      <w:pStyle w:val="Header"/>
    </w:pPr>
    <w:r w:rsidRPr="005A1D84">
      <w:rPr>
        <w:noProof/>
        <w:color w:val="A6A6A6" w:themeColor="background1" w:themeShade="A6"/>
        <w:lang w:val="en-GB" w:eastAsia="en-GB"/>
      </w:rPr>
      <w:drawing>
        <wp:inline distT="0" distB="0" distL="0" distR="0" wp14:anchorId="56C3F4FE" wp14:editId="369AA4D1">
          <wp:extent cx="1382534" cy="497091"/>
          <wp:effectExtent l="0" t="0" r="0" b="0"/>
          <wp:docPr id="6" name="Picture 6" descr="C:\Users\Elaine.Scott\Documents\LaTex\____TEST____Frontiers_LaTeX_Templates_V2.5\Frontiers LaTeX (Science, Health and Engineering) V2.5 - with Supplementary material (V1.2)\logo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laine.Scott\Documents\LaTex\____TEST____Frontiers_LaTeX_Templates_V2.5\Frontiers LaTeX (Science, Health and Engineering) V2.5 - with Supplementary material (V1.2)\logo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4909" cy="551877"/>
                  </a:xfrm>
                  <a:prstGeom prst="rect">
                    <a:avLst/>
                  </a:prstGeom>
                  <a:noFill/>
                  <a:ln>
                    <a:noFill/>
                  </a:ln>
                </pic:spPr>
              </pic:pic>
            </a:graphicData>
          </a:graphic>
        </wp:inline>
      </w:drawing>
    </w:r>
    <w:r w:rsidR="00C52A7B">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B7666"/>
    <w:multiLevelType w:val="multilevel"/>
    <w:tmpl w:val="44328928"/>
    <w:lvl w:ilvl="0">
      <w:start w:val="1"/>
      <w:numFmt w:val="decimal"/>
      <w:lvlText w:val="%1."/>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ascii="Times New Roman" w:hAnsi="Times New Roman" w:hint="default"/>
        <w:b/>
        <w:i w:val="0"/>
        <w:sz w:val="24"/>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EDF3AB7"/>
    <w:multiLevelType w:val="hybridMultilevel"/>
    <w:tmpl w:val="8E5CDC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8A03CD"/>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EC0601A"/>
    <w:multiLevelType w:val="multilevel"/>
    <w:tmpl w:val="A38E0746"/>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pStyle w:val="Heading3"/>
      <w:lvlText w:val="%1.%2.%3"/>
      <w:lvlJc w:val="left"/>
      <w:pPr>
        <w:tabs>
          <w:tab w:val="num" w:pos="567"/>
        </w:tabs>
        <w:ind w:left="567" w:hanging="567"/>
      </w:pPr>
      <w:rPr>
        <w:rFonts w:hint="default"/>
      </w:rPr>
    </w:lvl>
    <w:lvl w:ilvl="3">
      <w:start w:val="1"/>
      <w:numFmt w:val="decimal"/>
      <w:pStyle w:val="Heading4"/>
      <w:lvlText w:val="%1.%2.%3.%4"/>
      <w:lvlJc w:val="left"/>
      <w:pPr>
        <w:tabs>
          <w:tab w:val="num" w:pos="567"/>
        </w:tabs>
        <w:ind w:left="567" w:hanging="567"/>
      </w:pPr>
      <w:rPr>
        <w:rFonts w:hint="default"/>
      </w:rPr>
    </w:lvl>
    <w:lvl w:ilvl="4">
      <w:start w:val="1"/>
      <w:numFmt w:val="decimal"/>
      <w:pStyle w:val="Heading5"/>
      <w:lvlText w:val="%1.%2.%3.%4.%5"/>
      <w:lvlJc w:val="left"/>
      <w:pPr>
        <w:tabs>
          <w:tab w:val="num" w:pos="567"/>
        </w:tabs>
        <w:ind w:left="567" w:hanging="567"/>
      </w:pPr>
      <w:rPr>
        <w:rFonts w:hint="default"/>
      </w:rPr>
    </w:lvl>
    <w:lvl w:ilvl="5">
      <w:start w:val="1"/>
      <w:numFmt w:val="lowerRoman"/>
      <w:lvlText w:val="%6."/>
      <w:lvlJc w:val="right"/>
      <w:pPr>
        <w:tabs>
          <w:tab w:val="num" w:pos="567"/>
        </w:tabs>
        <w:ind w:left="567" w:hanging="567"/>
      </w:pPr>
      <w:rPr>
        <w:rFonts w:hint="default"/>
      </w:rPr>
    </w:lvl>
    <w:lvl w:ilvl="6">
      <w:start w:val="1"/>
      <w:numFmt w:val="decimal"/>
      <w:lvlText w:val="%7."/>
      <w:lvlJc w:val="left"/>
      <w:pPr>
        <w:tabs>
          <w:tab w:val="num" w:pos="567"/>
        </w:tabs>
        <w:ind w:left="567" w:hanging="567"/>
      </w:pPr>
      <w:rPr>
        <w:rFonts w:hint="default"/>
      </w:rPr>
    </w:lvl>
    <w:lvl w:ilvl="7">
      <w:start w:val="1"/>
      <w:numFmt w:val="lowerLetter"/>
      <w:lvlText w:val="%8."/>
      <w:lvlJc w:val="left"/>
      <w:pPr>
        <w:tabs>
          <w:tab w:val="num" w:pos="567"/>
        </w:tabs>
        <w:ind w:left="567" w:hanging="567"/>
      </w:pPr>
      <w:rPr>
        <w:rFonts w:hint="default"/>
      </w:rPr>
    </w:lvl>
    <w:lvl w:ilvl="8">
      <w:start w:val="1"/>
      <w:numFmt w:val="lowerRoman"/>
      <w:lvlText w:val="%9."/>
      <w:lvlJc w:val="right"/>
      <w:pPr>
        <w:tabs>
          <w:tab w:val="num" w:pos="567"/>
        </w:tabs>
        <w:ind w:left="567" w:hanging="567"/>
      </w:pPr>
      <w:rPr>
        <w:rFonts w:hint="default"/>
      </w:rPr>
    </w:lvl>
  </w:abstractNum>
  <w:abstractNum w:abstractNumId="4" w15:restartNumberingAfterBreak="0">
    <w:nsid w:val="225305B5"/>
    <w:multiLevelType w:val="hybridMultilevel"/>
    <w:tmpl w:val="4F8C24FA"/>
    <w:lvl w:ilvl="0" w:tplc="A9DCD718">
      <w:start w:val="1"/>
      <w:numFmt w:val="bullet"/>
      <w:pStyle w:val="ListParagraph"/>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02A7CAC"/>
    <w:multiLevelType w:val="multilevel"/>
    <w:tmpl w:val="A38E0746"/>
    <w:numStyleLink w:val="Headings"/>
  </w:abstractNum>
  <w:abstractNum w:abstractNumId="6" w15:restartNumberingAfterBreak="0">
    <w:nsid w:val="36D30736"/>
    <w:multiLevelType w:val="hybridMultilevel"/>
    <w:tmpl w:val="BC1E7B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17787E"/>
    <w:multiLevelType w:val="multilevel"/>
    <w:tmpl w:val="ADB20CA4"/>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AE92CDE"/>
    <w:multiLevelType w:val="hybridMultilevel"/>
    <w:tmpl w:val="294E0C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C1539C0"/>
    <w:multiLevelType w:val="hybridMultilevel"/>
    <w:tmpl w:val="675E09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08E502C"/>
    <w:multiLevelType w:val="hybridMultilevel"/>
    <w:tmpl w:val="C2165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4216449"/>
    <w:multiLevelType w:val="hybridMultilevel"/>
    <w:tmpl w:val="60E244E0"/>
    <w:lvl w:ilvl="0" w:tplc="BB925A66">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D8113DE"/>
    <w:multiLevelType w:val="multilevel"/>
    <w:tmpl w:val="ADB20CA4"/>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49F1D82"/>
    <w:multiLevelType w:val="hybridMultilevel"/>
    <w:tmpl w:val="734A7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290D83"/>
    <w:multiLevelType w:val="hybridMultilevel"/>
    <w:tmpl w:val="D1E4BA92"/>
    <w:lvl w:ilvl="0" w:tplc="E9807BE6">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683E6C4F"/>
    <w:multiLevelType w:val="hybridMultilevel"/>
    <w:tmpl w:val="E39A3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BC6F29"/>
    <w:multiLevelType w:val="multilevel"/>
    <w:tmpl w:val="A38E0746"/>
    <w:numStyleLink w:val="Headings"/>
  </w:abstractNum>
  <w:abstractNum w:abstractNumId="17" w15:restartNumberingAfterBreak="0">
    <w:nsid w:val="7F983756"/>
    <w:multiLevelType w:val="multilevel"/>
    <w:tmpl w:val="F300CEF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346831140">
    <w:abstractNumId w:val="0"/>
  </w:num>
  <w:num w:numId="2" w16cid:durableId="1702782197">
    <w:abstractNumId w:val="13"/>
  </w:num>
  <w:num w:numId="3" w16cid:durableId="1139953235">
    <w:abstractNumId w:val="1"/>
  </w:num>
  <w:num w:numId="4" w16cid:durableId="393892660">
    <w:abstractNumId w:val="15"/>
  </w:num>
  <w:num w:numId="5" w16cid:durableId="31191209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27233567">
    <w:abstractNumId w:val="10"/>
  </w:num>
  <w:num w:numId="7" w16cid:durableId="1259826222">
    <w:abstractNumId w:val="8"/>
  </w:num>
  <w:num w:numId="8" w16cid:durableId="586228414">
    <w:abstractNumId w:val="6"/>
  </w:num>
  <w:num w:numId="9" w16cid:durableId="1049839372">
    <w:abstractNumId w:val="9"/>
  </w:num>
  <w:num w:numId="10" w16cid:durableId="1584417073">
    <w:abstractNumId w:val="7"/>
  </w:num>
  <w:num w:numId="11" w16cid:durableId="58788545">
    <w:abstractNumId w:val="2"/>
  </w:num>
  <w:num w:numId="12" w16cid:durableId="1368994315">
    <w:abstractNumId w:val="17"/>
  </w:num>
  <w:num w:numId="13" w16cid:durableId="1239750684">
    <w:abstractNumId w:val="12"/>
  </w:num>
  <w:num w:numId="14" w16cid:durableId="1856665">
    <w:abstractNumId w:val="4"/>
  </w:num>
  <w:num w:numId="15" w16cid:durableId="272322944">
    <w:abstractNumId w:val="11"/>
  </w:num>
  <w:num w:numId="16" w16cid:durableId="616179918">
    <w:abstractNumId w:val="14"/>
  </w:num>
  <w:num w:numId="17" w16cid:durableId="1299258510">
    <w:abstractNumId w:val="3"/>
    <w:lvlOverride w:ilvl="0">
      <w:lvl w:ilvl="0">
        <w:start w:val="1"/>
        <w:numFmt w:val="decimal"/>
        <w:pStyle w:val="Heading1"/>
        <w:lvlText w:val="%1"/>
        <w:lvlJc w:val="left"/>
        <w:pPr>
          <w:tabs>
            <w:tab w:val="num" w:pos="567"/>
          </w:tabs>
          <w:ind w:left="567" w:hanging="567"/>
        </w:pPr>
        <w:rPr>
          <w:rFonts w:hint="default"/>
        </w:rPr>
      </w:lvl>
    </w:lvlOverride>
    <w:lvlOverride w:ilvl="1">
      <w:lvl w:ilvl="1">
        <w:start w:val="1"/>
        <w:numFmt w:val="decimal"/>
        <w:pStyle w:val="Heading2"/>
        <w:lvlText w:val="%1.%2"/>
        <w:lvlJc w:val="left"/>
        <w:pPr>
          <w:tabs>
            <w:tab w:val="num" w:pos="567"/>
          </w:tabs>
          <w:ind w:left="567" w:hanging="567"/>
        </w:pPr>
        <w:rPr>
          <w:rFonts w:hint="default"/>
          <w:i w:val="0"/>
          <w:iCs w:val="0"/>
        </w:rPr>
      </w:lvl>
    </w:lvlOverride>
  </w:num>
  <w:num w:numId="18" w16cid:durableId="124907563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002780183">
    <w:abstractNumId w:val="5"/>
  </w:num>
  <w:num w:numId="20" w16cid:durableId="1812092691">
    <w:abstractNumId w:val="16"/>
  </w:num>
  <w:num w:numId="21" w16cid:durableId="1140877476">
    <w:abstractNumId w:val="3"/>
  </w:num>
  <w:num w:numId="22" w16cid:durableId="948775672">
    <w:abstractNumId w:val="3"/>
    <w:lvlOverride w:ilvl="0">
      <w:startOverride w:val="1"/>
      <w:lvl w:ilvl="0">
        <w:start w:val="1"/>
        <w:numFmt w:val="decimal"/>
        <w:pStyle w:val="Heading1"/>
        <w:lvlText w:val="%1"/>
        <w:lvlJc w:val="left"/>
        <w:pPr>
          <w:tabs>
            <w:tab w:val="num" w:pos="567"/>
          </w:tabs>
          <w:ind w:left="567" w:hanging="567"/>
        </w:pPr>
      </w:lvl>
    </w:lvlOverride>
    <w:lvlOverride w:ilvl="1">
      <w:startOverride w:val="1"/>
      <w:lvl w:ilvl="1">
        <w:start w:val="1"/>
        <w:numFmt w:val="decimal"/>
        <w:pStyle w:val="Heading2"/>
        <w:lvlText w:val="%1.%2"/>
        <w:lvlJc w:val="left"/>
        <w:pPr>
          <w:tabs>
            <w:tab w:val="num" w:pos="567"/>
          </w:tabs>
          <w:ind w:left="567" w:hanging="567"/>
        </w:pPr>
      </w:lvl>
    </w:lvlOverride>
    <w:lvlOverride w:ilvl="2">
      <w:startOverride w:val="1"/>
      <w:lvl w:ilvl="2">
        <w:start w:val="1"/>
        <w:numFmt w:val="decimal"/>
        <w:pStyle w:val="Heading3"/>
        <w:lvlText w:val=""/>
        <w:lvlJc w:val="left"/>
      </w:lvl>
    </w:lvlOverride>
    <w:lvlOverride w:ilvl="3">
      <w:startOverride w:val="1"/>
      <w:lvl w:ilvl="3">
        <w:start w:val="1"/>
        <w:numFmt w:val="decimal"/>
        <w:pStyle w:val="Heading4"/>
        <w:lvlText w:val=""/>
        <w:lvlJc w:val="left"/>
      </w:lvl>
    </w:lvlOverride>
    <w:lvlOverride w:ilvl="4">
      <w:startOverride w:val="1"/>
      <w:lvl w:ilvl="4">
        <w:start w:val="1"/>
        <w:numFmt w:val="decimal"/>
        <w:pStyle w:val="Heading5"/>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lvlOverride w:ilvl="8">
      <w:startOverride w:val="1"/>
      <w:lvl w:ilvl="8">
        <w:start w:val="1"/>
        <w:numFmt w:val="decimal"/>
        <w:lvlText w:val=""/>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1821"/>
    <w:rsid w:val="00034304"/>
    <w:rsid w:val="00035434"/>
    <w:rsid w:val="0004555F"/>
    <w:rsid w:val="00045678"/>
    <w:rsid w:val="000458E4"/>
    <w:rsid w:val="00054562"/>
    <w:rsid w:val="00063D84"/>
    <w:rsid w:val="0006636D"/>
    <w:rsid w:val="00077D53"/>
    <w:rsid w:val="00081394"/>
    <w:rsid w:val="000B34BD"/>
    <w:rsid w:val="000C7E2A"/>
    <w:rsid w:val="000F4CFB"/>
    <w:rsid w:val="00117666"/>
    <w:rsid w:val="001223A7"/>
    <w:rsid w:val="001235FF"/>
    <w:rsid w:val="00124A9D"/>
    <w:rsid w:val="00134256"/>
    <w:rsid w:val="00147395"/>
    <w:rsid w:val="001552C9"/>
    <w:rsid w:val="00177D84"/>
    <w:rsid w:val="001964EF"/>
    <w:rsid w:val="001B1A2C"/>
    <w:rsid w:val="001D5C23"/>
    <w:rsid w:val="001F4C07"/>
    <w:rsid w:val="00220AEA"/>
    <w:rsid w:val="00226954"/>
    <w:rsid w:val="002629A3"/>
    <w:rsid w:val="00265660"/>
    <w:rsid w:val="00267D18"/>
    <w:rsid w:val="002868E2"/>
    <w:rsid w:val="002869C3"/>
    <w:rsid w:val="002936E4"/>
    <w:rsid w:val="00296B88"/>
    <w:rsid w:val="002C74CA"/>
    <w:rsid w:val="002D11D2"/>
    <w:rsid w:val="002F14E9"/>
    <w:rsid w:val="002F744D"/>
    <w:rsid w:val="00303DE6"/>
    <w:rsid w:val="00310124"/>
    <w:rsid w:val="003544FB"/>
    <w:rsid w:val="00355282"/>
    <w:rsid w:val="00365D63"/>
    <w:rsid w:val="0036793B"/>
    <w:rsid w:val="00372682"/>
    <w:rsid w:val="00376CC5"/>
    <w:rsid w:val="003911D2"/>
    <w:rsid w:val="0039693B"/>
    <w:rsid w:val="003D2F2D"/>
    <w:rsid w:val="003D562B"/>
    <w:rsid w:val="00401590"/>
    <w:rsid w:val="00422C94"/>
    <w:rsid w:val="00463E3D"/>
    <w:rsid w:val="004645AE"/>
    <w:rsid w:val="004C4D50"/>
    <w:rsid w:val="004D3E33"/>
    <w:rsid w:val="005250F2"/>
    <w:rsid w:val="005A1D84"/>
    <w:rsid w:val="005A70E2"/>
    <w:rsid w:val="005A70EA"/>
    <w:rsid w:val="005C3963"/>
    <w:rsid w:val="005D1840"/>
    <w:rsid w:val="005D35E4"/>
    <w:rsid w:val="005D7910"/>
    <w:rsid w:val="0062154F"/>
    <w:rsid w:val="00627BBE"/>
    <w:rsid w:val="00631A8C"/>
    <w:rsid w:val="00651CA2"/>
    <w:rsid w:val="00653D60"/>
    <w:rsid w:val="00660D05"/>
    <w:rsid w:val="00671D9A"/>
    <w:rsid w:val="00673952"/>
    <w:rsid w:val="00681821"/>
    <w:rsid w:val="00686C9D"/>
    <w:rsid w:val="006B2D5B"/>
    <w:rsid w:val="006B361D"/>
    <w:rsid w:val="006B7D14"/>
    <w:rsid w:val="006D5B93"/>
    <w:rsid w:val="00725A7D"/>
    <w:rsid w:val="007306C4"/>
    <w:rsid w:val="0073085C"/>
    <w:rsid w:val="00733784"/>
    <w:rsid w:val="00746505"/>
    <w:rsid w:val="00790BB3"/>
    <w:rsid w:val="00792043"/>
    <w:rsid w:val="007969FD"/>
    <w:rsid w:val="00797EDD"/>
    <w:rsid w:val="007B0322"/>
    <w:rsid w:val="007C0E3F"/>
    <w:rsid w:val="007C206C"/>
    <w:rsid w:val="007C5330"/>
    <w:rsid w:val="007C5729"/>
    <w:rsid w:val="008111E4"/>
    <w:rsid w:val="0081301C"/>
    <w:rsid w:val="00817DD6"/>
    <w:rsid w:val="008629A9"/>
    <w:rsid w:val="0088513A"/>
    <w:rsid w:val="00893C19"/>
    <w:rsid w:val="008C5AA9"/>
    <w:rsid w:val="008D6C8D"/>
    <w:rsid w:val="008E2B54"/>
    <w:rsid w:val="008E4404"/>
    <w:rsid w:val="008E58C7"/>
    <w:rsid w:val="008F5021"/>
    <w:rsid w:val="009310E6"/>
    <w:rsid w:val="00943573"/>
    <w:rsid w:val="00971B61"/>
    <w:rsid w:val="00980C31"/>
    <w:rsid w:val="009955FF"/>
    <w:rsid w:val="00997293"/>
    <w:rsid w:val="009D259D"/>
    <w:rsid w:val="00A50D9D"/>
    <w:rsid w:val="00A53000"/>
    <w:rsid w:val="00A545C6"/>
    <w:rsid w:val="00A652D0"/>
    <w:rsid w:val="00A75F87"/>
    <w:rsid w:val="00A95D8B"/>
    <w:rsid w:val="00AC0270"/>
    <w:rsid w:val="00AC3EA3"/>
    <w:rsid w:val="00AC792D"/>
    <w:rsid w:val="00B216A2"/>
    <w:rsid w:val="00B405A6"/>
    <w:rsid w:val="00B517CD"/>
    <w:rsid w:val="00B657B8"/>
    <w:rsid w:val="00B84920"/>
    <w:rsid w:val="00B8556A"/>
    <w:rsid w:val="00BF35F3"/>
    <w:rsid w:val="00C012A3"/>
    <w:rsid w:val="00C16F19"/>
    <w:rsid w:val="00C361AA"/>
    <w:rsid w:val="00C52A7B"/>
    <w:rsid w:val="00C6324C"/>
    <w:rsid w:val="00C679AA"/>
    <w:rsid w:val="00C724CF"/>
    <w:rsid w:val="00C75972"/>
    <w:rsid w:val="00C82792"/>
    <w:rsid w:val="00C876D3"/>
    <w:rsid w:val="00C948FD"/>
    <w:rsid w:val="00CB43D5"/>
    <w:rsid w:val="00CB57A5"/>
    <w:rsid w:val="00CC76F9"/>
    <w:rsid w:val="00CD066B"/>
    <w:rsid w:val="00CD46E2"/>
    <w:rsid w:val="00D00D0B"/>
    <w:rsid w:val="00D04B69"/>
    <w:rsid w:val="00D537FA"/>
    <w:rsid w:val="00D5547D"/>
    <w:rsid w:val="00D80D99"/>
    <w:rsid w:val="00D9503C"/>
    <w:rsid w:val="00DD73EF"/>
    <w:rsid w:val="00DE23E8"/>
    <w:rsid w:val="00E0128B"/>
    <w:rsid w:val="00E6471A"/>
    <w:rsid w:val="00E64E17"/>
    <w:rsid w:val="00EA3D3C"/>
    <w:rsid w:val="00EA6317"/>
    <w:rsid w:val="00EC7CC3"/>
    <w:rsid w:val="00EE3BA4"/>
    <w:rsid w:val="00F40990"/>
    <w:rsid w:val="00F46494"/>
    <w:rsid w:val="00F558AB"/>
    <w:rsid w:val="00F61D89"/>
    <w:rsid w:val="00F86ABB"/>
    <w:rsid w:val="00FD76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4BA59A7"/>
  <w15:docId w15:val="{B98209AD-3451-4824-82E1-1DFAFFB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inorHAnsi" w:hAnsiTheme="maj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2" w:qFormat="1"/>
    <w:lsdException w:name="heading 2" w:semiHidden="1" w:uiPriority="2"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D99"/>
    <w:pPr>
      <w:spacing w:before="120" w:after="240" w:line="240" w:lineRule="auto"/>
    </w:pPr>
    <w:rPr>
      <w:rFonts w:ascii="Times New Roman" w:hAnsi="Times New Roman"/>
      <w:sz w:val="24"/>
    </w:rPr>
  </w:style>
  <w:style w:type="paragraph" w:styleId="Heading1">
    <w:name w:val="heading 1"/>
    <w:basedOn w:val="ListParagraph"/>
    <w:next w:val="Normal"/>
    <w:link w:val="Heading1Char"/>
    <w:uiPriority w:val="2"/>
    <w:qFormat/>
    <w:rsid w:val="00D80D99"/>
    <w:pPr>
      <w:numPr>
        <w:numId w:val="17"/>
      </w:numPr>
      <w:spacing w:before="240"/>
      <w:contextualSpacing w:val="0"/>
      <w:outlineLvl w:val="0"/>
    </w:pPr>
    <w:rPr>
      <w:b/>
    </w:rPr>
  </w:style>
  <w:style w:type="paragraph" w:styleId="Heading2">
    <w:name w:val="heading 2"/>
    <w:basedOn w:val="Heading1"/>
    <w:next w:val="Normal"/>
    <w:link w:val="Heading2Char"/>
    <w:uiPriority w:val="2"/>
    <w:qFormat/>
    <w:rsid w:val="00D80D99"/>
    <w:pPr>
      <w:numPr>
        <w:ilvl w:val="1"/>
      </w:numPr>
      <w:spacing w:after="200"/>
      <w:outlineLvl w:val="1"/>
    </w:pPr>
  </w:style>
  <w:style w:type="paragraph" w:styleId="Heading3">
    <w:name w:val="heading 3"/>
    <w:basedOn w:val="Normal"/>
    <w:next w:val="Normal"/>
    <w:link w:val="Heading3Char"/>
    <w:uiPriority w:val="2"/>
    <w:qFormat/>
    <w:rsid w:val="00D80D99"/>
    <w:pPr>
      <w:keepNext/>
      <w:keepLines/>
      <w:numPr>
        <w:ilvl w:val="2"/>
        <w:numId w:val="17"/>
      </w:numPr>
      <w:spacing w:before="40" w:after="120"/>
      <w:outlineLvl w:val="2"/>
    </w:pPr>
    <w:rPr>
      <w:rFonts w:eastAsiaTheme="majorEastAsia" w:cstheme="majorBidi"/>
      <w:b/>
      <w:szCs w:val="24"/>
    </w:rPr>
  </w:style>
  <w:style w:type="paragraph" w:styleId="Heading4">
    <w:name w:val="heading 4"/>
    <w:basedOn w:val="Heading3"/>
    <w:next w:val="Normal"/>
    <w:link w:val="Heading4Char"/>
    <w:uiPriority w:val="2"/>
    <w:qFormat/>
    <w:rsid w:val="00D80D99"/>
    <w:pPr>
      <w:numPr>
        <w:ilvl w:val="3"/>
      </w:numPr>
      <w:outlineLvl w:val="3"/>
    </w:pPr>
    <w:rPr>
      <w:iCs/>
    </w:rPr>
  </w:style>
  <w:style w:type="paragraph" w:styleId="Heading5">
    <w:name w:val="heading 5"/>
    <w:basedOn w:val="Heading4"/>
    <w:next w:val="Normal"/>
    <w:link w:val="Heading5Char"/>
    <w:uiPriority w:val="2"/>
    <w:qFormat/>
    <w:rsid w:val="00D80D99"/>
    <w:pPr>
      <w:numPr>
        <w:ilvl w:val="4"/>
      </w:numPr>
      <w:outlineLvl w:val="4"/>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147395"/>
    <w:rPr>
      <w:rFonts w:ascii="Times New Roman" w:eastAsia="Cambria" w:hAnsi="Times New Roman" w:cs="Times New Roman"/>
      <w:b/>
      <w:sz w:val="24"/>
      <w:szCs w:val="24"/>
    </w:rPr>
  </w:style>
  <w:style w:type="character" w:customStyle="1" w:styleId="Heading2Char">
    <w:name w:val="Heading 2 Char"/>
    <w:basedOn w:val="DefaultParagraphFont"/>
    <w:link w:val="Heading2"/>
    <w:uiPriority w:val="2"/>
    <w:rsid w:val="00147395"/>
    <w:rPr>
      <w:rFonts w:ascii="Times New Roman" w:eastAsia="Cambria" w:hAnsi="Times New Roman" w:cs="Times New Roman"/>
      <w:b/>
      <w:sz w:val="24"/>
      <w:szCs w:val="24"/>
    </w:rPr>
  </w:style>
  <w:style w:type="character" w:styleId="Emphasis">
    <w:name w:val="Emphasis"/>
    <w:basedOn w:val="DefaultParagraphFont"/>
    <w:uiPriority w:val="20"/>
    <w:qFormat/>
    <w:rsid w:val="00C724CF"/>
    <w:rPr>
      <w:rFonts w:ascii="Times New Roman" w:hAnsi="Times New Roman"/>
      <w:i/>
      <w:iCs/>
    </w:rPr>
  </w:style>
  <w:style w:type="paragraph" w:styleId="ListParagraph">
    <w:name w:val="List Paragraph"/>
    <w:basedOn w:val="Normal"/>
    <w:uiPriority w:val="3"/>
    <w:qFormat/>
    <w:rsid w:val="00310124"/>
    <w:pPr>
      <w:numPr>
        <w:numId w:val="14"/>
      </w:numPr>
      <w:ind w:left="1434" w:hanging="357"/>
      <w:contextualSpacing/>
    </w:pPr>
    <w:rPr>
      <w:rFonts w:eastAsia="Cambria" w:cs="Times New Roman"/>
      <w:szCs w:val="24"/>
    </w:rPr>
  </w:style>
  <w:style w:type="character" w:styleId="Strong">
    <w:name w:val="Strong"/>
    <w:basedOn w:val="DefaultParagraphFont"/>
    <w:uiPriority w:val="22"/>
    <w:qFormat/>
    <w:rsid w:val="00C724CF"/>
    <w:rPr>
      <w:rFonts w:ascii="Times New Roman" w:hAnsi="Times New Roman"/>
      <w:b/>
      <w:bCs/>
    </w:rPr>
  </w:style>
  <w:style w:type="paragraph" w:styleId="NormalWeb">
    <w:name w:val="Normal (Web)"/>
    <w:basedOn w:val="Normal"/>
    <w:uiPriority w:val="99"/>
    <w:unhideWhenUsed/>
    <w:rsid w:val="00117666"/>
    <w:pPr>
      <w:spacing w:before="100" w:beforeAutospacing="1" w:after="100" w:afterAutospacing="1"/>
    </w:pPr>
    <w:rPr>
      <w:rFonts w:eastAsia="Times New Roman" w:cs="Times New Roman"/>
      <w:szCs w:val="24"/>
    </w:rPr>
  </w:style>
  <w:style w:type="paragraph" w:styleId="Header">
    <w:name w:val="header"/>
    <w:basedOn w:val="Normal"/>
    <w:link w:val="HeaderChar"/>
    <w:uiPriority w:val="99"/>
    <w:unhideWhenUsed/>
    <w:rsid w:val="00A53000"/>
    <w:pPr>
      <w:tabs>
        <w:tab w:val="center" w:pos="4844"/>
        <w:tab w:val="right" w:pos="9689"/>
      </w:tabs>
    </w:pPr>
    <w:rPr>
      <w:b/>
    </w:rPr>
  </w:style>
  <w:style w:type="character" w:customStyle="1" w:styleId="HeaderChar">
    <w:name w:val="Header Char"/>
    <w:basedOn w:val="DefaultParagraphFont"/>
    <w:link w:val="Header"/>
    <w:uiPriority w:val="99"/>
    <w:rsid w:val="00A53000"/>
    <w:rPr>
      <w:rFonts w:ascii="Times New Roman" w:hAnsi="Times New Roman"/>
      <w:b/>
      <w:sz w:val="24"/>
    </w:rPr>
  </w:style>
  <w:style w:type="paragraph" w:styleId="Footer">
    <w:name w:val="footer"/>
    <w:basedOn w:val="Normal"/>
    <w:link w:val="FooterChar"/>
    <w:uiPriority w:val="99"/>
    <w:unhideWhenUsed/>
    <w:rsid w:val="00117666"/>
    <w:pPr>
      <w:tabs>
        <w:tab w:val="center" w:pos="4844"/>
        <w:tab w:val="right" w:pos="9689"/>
      </w:tabs>
      <w:spacing w:after="0"/>
    </w:pPr>
  </w:style>
  <w:style w:type="character" w:customStyle="1" w:styleId="FooterChar">
    <w:name w:val="Footer Char"/>
    <w:basedOn w:val="DefaultParagraphFont"/>
    <w:link w:val="Footer"/>
    <w:uiPriority w:val="99"/>
    <w:rsid w:val="00117666"/>
  </w:style>
  <w:style w:type="table" w:styleId="TableGrid">
    <w:name w:val="Table Grid"/>
    <w:basedOn w:val="TableNormal"/>
    <w:uiPriority w:val="59"/>
    <w:rsid w:val="001176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17666"/>
    <w:pPr>
      <w:spacing w:after="0"/>
    </w:pPr>
    <w:rPr>
      <w:sz w:val="20"/>
      <w:szCs w:val="20"/>
    </w:rPr>
  </w:style>
  <w:style w:type="character" w:customStyle="1" w:styleId="FootnoteTextChar">
    <w:name w:val="Footnote Text Char"/>
    <w:basedOn w:val="DefaultParagraphFont"/>
    <w:link w:val="FootnoteText"/>
    <w:uiPriority w:val="99"/>
    <w:semiHidden/>
    <w:rsid w:val="00117666"/>
    <w:rPr>
      <w:sz w:val="20"/>
      <w:szCs w:val="20"/>
    </w:rPr>
  </w:style>
  <w:style w:type="character" w:styleId="FootnoteReference">
    <w:name w:val="footnote reference"/>
    <w:basedOn w:val="DefaultParagraphFont"/>
    <w:uiPriority w:val="99"/>
    <w:semiHidden/>
    <w:unhideWhenUsed/>
    <w:rsid w:val="00117666"/>
    <w:rPr>
      <w:vertAlign w:val="superscript"/>
    </w:rPr>
  </w:style>
  <w:style w:type="paragraph" w:styleId="Caption">
    <w:name w:val="caption"/>
    <w:basedOn w:val="Normal"/>
    <w:next w:val="NoSpacing"/>
    <w:uiPriority w:val="35"/>
    <w:unhideWhenUsed/>
    <w:qFormat/>
    <w:rsid w:val="00A53000"/>
    <w:pPr>
      <w:keepNext/>
    </w:pPr>
    <w:rPr>
      <w:rFonts w:cs="Times New Roman"/>
      <w:b/>
      <w:bCs/>
      <w:szCs w:val="24"/>
    </w:rPr>
  </w:style>
  <w:style w:type="paragraph" w:styleId="BalloonText">
    <w:name w:val="Balloon Text"/>
    <w:basedOn w:val="Normal"/>
    <w:link w:val="BalloonTextChar"/>
    <w:uiPriority w:val="99"/>
    <w:semiHidden/>
    <w:unhideWhenUsed/>
    <w:rsid w:val="00117666"/>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7666"/>
    <w:rPr>
      <w:rFonts w:ascii="Tahoma" w:hAnsi="Tahoma" w:cs="Tahoma"/>
      <w:sz w:val="16"/>
      <w:szCs w:val="16"/>
    </w:rPr>
  </w:style>
  <w:style w:type="character" w:styleId="LineNumber">
    <w:name w:val="line number"/>
    <w:basedOn w:val="DefaultParagraphFont"/>
    <w:uiPriority w:val="99"/>
    <w:semiHidden/>
    <w:unhideWhenUsed/>
    <w:rsid w:val="00117666"/>
  </w:style>
  <w:style w:type="paragraph" w:styleId="EndnoteText">
    <w:name w:val="endnote text"/>
    <w:basedOn w:val="Normal"/>
    <w:link w:val="EndnoteTextChar"/>
    <w:uiPriority w:val="99"/>
    <w:semiHidden/>
    <w:unhideWhenUsed/>
    <w:rsid w:val="00CD066B"/>
    <w:pPr>
      <w:spacing w:after="0"/>
    </w:pPr>
    <w:rPr>
      <w:sz w:val="20"/>
      <w:szCs w:val="20"/>
    </w:rPr>
  </w:style>
  <w:style w:type="character" w:customStyle="1" w:styleId="EndnoteTextChar">
    <w:name w:val="Endnote Text Char"/>
    <w:basedOn w:val="DefaultParagraphFont"/>
    <w:link w:val="EndnoteText"/>
    <w:uiPriority w:val="99"/>
    <w:semiHidden/>
    <w:rsid w:val="00CD066B"/>
    <w:rPr>
      <w:sz w:val="20"/>
      <w:szCs w:val="20"/>
    </w:rPr>
  </w:style>
  <w:style w:type="character" w:styleId="EndnoteReference">
    <w:name w:val="endnote reference"/>
    <w:basedOn w:val="DefaultParagraphFont"/>
    <w:uiPriority w:val="99"/>
    <w:semiHidden/>
    <w:unhideWhenUsed/>
    <w:rsid w:val="00CD066B"/>
    <w:rPr>
      <w:vertAlign w:val="superscript"/>
    </w:rPr>
  </w:style>
  <w:style w:type="character" w:styleId="CommentReference">
    <w:name w:val="annotation reference"/>
    <w:basedOn w:val="DefaultParagraphFont"/>
    <w:uiPriority w:val="99"/>
    <w:semiHidden/>
    <w:unhideWhenUsed/>
    <w:rsid w:val="00725A7D"/>
    <w:rPr>
      <w:sz w:val="16"/>
      <w:szCs w:val="16"/>
    </w:rPr>
  </w:style>
  <w:style w:type="paragraph" w:styleId="CommentText">
    <w:name w:val="annotation text"/>
    <w:basedOn w:val="Normal"/>
    <w:link w:val="CommentTextChar"/>
    <w:uiPriority w:val="99"/>
    <w:unhideWhenUsed/>
    <w:rsid w:val="00725A7D"/>
    <w:rPr>
      <w:sz w:val="20"/>
      <w:szCs w:val="20"/>
    </w:rPr>
  </w:style>
  <w:style w:type="character" w:customStyle="1" w:styleId="CommentTextChar">
    <w:name w:val="Comment Text Char"/>
    <w:basedOn w:val="DefaultParagraphFont"/>
    <w:link w:val="CommentText"/>
    <w:uiPriority w:val="99"/>
    <w:rsid w:val="00725A7D"/>
    <w:rPr>
      <w:sz w:val="20"/>
      <w:szCs w:val="20"/>
    </w:rPr>
  </w:style>
  <w:style w:type="paragraph" w:styleId="CommentSubject">
    <w:name w:val="annotation subject"/>
    <w:basedOn w:val="CommentText"/>
    <w:next w:val="CommentText"/>
    <w:link w:val="CommentSubjectChar"/>
    <w:uiPriority w:val="99"/>
    <w:semiHidden/>
    <w:unhideWhenUsed/>
    <w:rsid w:val="00725A7D"/>
    <w:rPr>
      <w:b/>
      <w:bCs/>
    </w:rPr>
  </w:style>
  <w:style w:type="character" w:customStyle="1" w:styleId="CommentSubjectChar">
    <w:name w:val="Comment Subject Char"/>
    <w:basedOn w:val="CommentTextChar"/>
    <w:link w:val="CommentSubject"/>
    <w:uiPriority w:val="99"/>
    <w:semiHidden/>
    <w:rsid w:val="00725A7D"/>
    <w:rPr>
      <w:b/>
      <w:bCs/>
      <w:sz w:val="20"/>
      <w:szCs w:val="20"/>
    </w:rPr>
  </w:style>
  <w:style w:type="character" w:styleId="Hyperlink">
    <w:name w:val="Hyperlink"/>
    <w:basedOn w:val="DefaultParagraphFont"/>
    <w:uiPriority w:val="99"/>
    <w:unhideWhenUsed/>
    <w:rsid w:val="005A1D84"/>
    <w:rPr>
      <w:color w:val="0000FF"/>
      <w:u w:val="single"/>
    </w:rPr>
  </w:style>
  <w:style w:type="character" w:styleId="FollowedHyperlink">
    <w:name w:val="FollowedHyperlink"/>
    <w:basedOn w:val="DefaultParagraphFont"/>
    <w:uiPriority w:val="99"/>
    <w:semiHidden/>
    <w:unhideWhenUsed/>
    <w:rsid w:val="006D5B93"/>
    <w:rPr>
      <w:color w:val="800080" w:themeColor="followedHyperlink"/>
      <w:u w:val="single"/>
    </w:rPr>
  </w:style>
  <w:style w:type="paragraph" w:styleId="Title">
    <w:name w:val="Title"/>
    <w:basedOn w:val="Normal"/>
    <w:next w:val="Normal"/>
    <w:link w:val="TitleChar"/>
    <w:qFormat/>
    <w:rsid w:val="00D80D99"/>
    <w:pPr>
      <w:suppressLineNumbers/>
      <w:spacing w:before="240" w:after="360"/>
      <w:jc w:val="center"/>
    </w:pPr>
    <w:rPr>
      <w:rFonts w:cs="Times New Roman"/>
      <w:b/>
      <w:sz w:val="32"/>
      <w:szCs w:val="32"/>
    </w:rPr>
  </w:style>
  <w:style w:type="character" w:customStyle="1" w:styleId="TitleChar">
    <w:name w:val="Title Char"/>
    <w:basedOn w:val="DefaultParagraphFont"/>
    <w:link w:val="Title"/>
    <w:rsid w:val="00D80D99"/>
    <w:rPr>
      <w:rFonts w:ascii="Times New Roman" w:hAnsi="Times New Roman" w:cs="Times New Roman"/>
      <w:b/>
      <w:sz w:val="32"/>
      <w:szCs w:val="32"/>
    </w:rPr>
  </w:style>
  <w:style w:type="paragraph" w:styleId="Subtitle">
    <w:name w:val="Subtitle"/>
    <w:basedOn w:val="Normal"/>
    <w:next w:val="Normal"/>
    <w:link w:val="SubtitleChar"/>
    <w:uiPriority w:val="99"/>
    <w:unhideWhenUsed/>
    <w:qFormat/>
    <w:rsid w:val="00AC0270"/>
    <w:pPr>
      <w:spacing w:before="240"/>
    </w:pPr>
    <w:rPr>
      <w:rFonts w:cs="Times New Roman"/>
      <w:b/>
      <w:szCs w:val="24"/>
    </w:rPr>
  </w:style>
  <w:style w:type="character" w:customStyle="1" w:styleId="SubtitleChar">
    <w:name w:val="Subtitle Char"/>
    <w:basedOn w:val="DefaultParagraphFont"/>
    <w:link w:val="Subtitle"/>
    <w:uiPriority w:val="99"/>
    <w:rsid w:val="00651CA2"/>
    <w:rPr>
      <w:rFonts w:ascii="Times New Roman" w:hAnsi="Times New Roman" w:cs="Times New Roman"/>
      <w:b/>
      <w:sz w:val="24"/>
      <w:szCs w:val="24"/>
    </w:rPr>
  </w:style>
  <w:style w:type="character" w:customStyle="1" w:styleId="Heading3Char">
    <w:name w:val="Heading 3 Char"/>
    <w:basedOn w:val="DefaultParagraphFont"/>
    <w:link w:val="Heading3"/>
    <w:uiPriority w:val="2"/>
    <w:rsid w:val="005D1840"/>
    <w:rPr>
      <w:rFonts w:ascii="Times New Roman" w:eastAsiaTheme="majorEastAsia" w:hAnsi="Times New Roman" w:cstheme="majorBidi"/>
      <w:b/>
      <w:sz w:val="24"/>
      <w:szCs w:val="24"/>
    </w:rPr>
  </w:style>
  <w:style w:type="paragraph" w:styleId="NoSpacing">
    <w:name w:val="No Spacing"/>
    <w:uiPriority w:val="99"/>
    <w:unhideWhenUsed/>
    <w:qFormat/>
    <w:rsid w:val="00A53000"/>
    <w:pPr>
      <w:spacing w:after="0" w:line="240" w:lineRule="auto"/>
    </w:pPr>
    <w:rPr>
      <w:rFonts w:ascii="Times New Roman" w:hAnsi="Times New Roman"/>
      <w:sz w:val="24"/>
    </w:rPr>
  </w:style>
  <w:style w:type="character" w:customStyle="1" w:styleId="Heading4Char">
    <w:name w:val="Heading 4 Char"/>
    <w:basedOn w:val="DefaultParagraphFont"/>
    <w:link w:val="Heading4"/>
    <w:uiPriority w:val="2"/>
    <w:rsid w:val="005D1840"/>
    <w:rPr>
      <w:rFonts w:ascii="Times New Roman" w:eastAsiaTheme="majorEastAsia" w:hAnsi="Times New Roman" w:cstheme="majorBidi"/>
      <w:b/>
      <w:iCs/>
      <w:sz w:val="24"/>
      <w:szCs w:val="24"/>
    </w:rPr>
  </w:style>
  <w:style w:type="character" w:customStyle="1" w:styleId="Heading5Char">
    <w:name w:val="Heading 5 Char"/>
    <w:basedOn w:val="DefaultParagraphFont"/>
    <w:link w:val="Heading5"/>
    <w:uiPriority w:val="2"/>
    <w:rsid w:val="005D1840"/>
    <w:rPr>
      <w:rFonts w:ascii="Times New Roman" w:eastAsiaTheme="majorEastAsia" w:hAnsi="Times New Roman" w:cstheme="majorBidi"/>
      <w:b/>
      <w:iCs/>
      <w:sz w:val="24"/>
      <w:szCs w:val="24"/>
    </w:rPr>
  </w:style>
  <w:style w:type="paragraph" w:customStyle="1" w:styleId="AuthorList">
    <w:name w:val="Author List"/>
    <w:aliases w:val="Keywords,Abstract"/>
    <w:basedOn w:val="Subtitle"/>
    <w:next w:val="Normal"/>
    <w:uiPriority w:val="1"/>
    <w:qFormat/>
    <w:rsid w:val="00651CA2"/>
  </w:style>
  <w:style w:type="character" w:styleId="SubtleEmphasis">
    <w:name w:val="Subtle Emphasis"/>
    <w:basedOn w:val="DefaultParagraphFont"/>
    <w:uiPriority w:val="19"/>
    <w:qFormat/>
    <w:rsid w:val="00C724CF"/>
    <w:rPr>
      <w:rFonts w:ascii="Times New Roman" w:hAnsi="Times New Roman"/>
      <w:i/>
      <w:iCs/>
      <w:color w:val="404040" w:themeColor="text1" w:themeTint="BF"/>
    </w:rPr>
  </w:style>
  <w:style w:type="character" w:styleId="IntenseEmphasis">
    <w:name w:val="Intense Emphasis"/>
    <w:basedOn w:val="DefaultParagraphFont"/>
    <w:uiPriority w:val="21"/>
    <w:unhideWhenUsed/>
    <w:rsid w:val="00C724CF"/>
    <w:rPr>
      <w:rFonts w:ascii="Times New Roman" w:hAnsi="Times New Roman"/>
      <w:i/>
      <w:iCs/>
      <w:color w:val="auto"/>
    </w:rPr>
  </w:style>
  <w:style w:type="paragraph" w:styleId="Quote">
    <w:name w:val="Quote"/>
    <w:basedOn w:val="Normal"/>
    <w:next w:val="Normal"/>
    <w:link w:val="QuoteChar"/>
    <w:uiPriority w:val="29"/>
    <w:qFormat/>
    <w:rsid w:val="00C724C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C724CF"/>
    <w:rPr>
      <w:rFonts w:ascii="Times New Roman" w:hAnsi="Times New Roman"/>
      <w:i/>
      <w:iCs/>
      <w:color w:val="404040" w:themeColor="text1" w:themeTint="BF"/>
      <w:sz w:val="24"/>
    </w:rPr>
  </w:style>
  <w:style w:type="character" w:styleId="IntenseReference">
    <w:name w:val="Intense Reference"/>
    <w:basedOn w:val="DefaultParagraphFont"/>
    <w:uiPriority w:val="32"/>
    <w:qFormat/>
    <w:rsid w:val="00C724CF"/>
    <w:rPr>
      <w:b/>
      <w:bCs/>
      <w:smallCaps/>
      <w:color w:val="auto"/>
      <w:spacing w:val="5"/>
    </w:rPr>
  </w:style>
  <w:style w:type="character" w:styleId="BookTitle">
    <w:name w:val="Book Title"/>
    <w:basedOn w:val="DefaultParagraphFont"/>
    <w:uiPriority w:val="33"/>
    <w:qFormat/>
    <w:rsid w:val="00C724CF"/>
    <w:rPr>
      <w:rFonts w:ascii="Times New Roman" w:hAnsi="Times New Roman"/>
      <w:b/>
      <w:bCs/>
      <w:i/>
      <w:iCs/>
      <w:spacing w:val="5"/>
    </w:rPr>
  </w:style>
  <w:style w:type="numbering" w:customStyle="1" w:styleId="Headings">
    <w:name w:val="Headings"/>
    <w:uiPriority w:val="99"/>
    <w:rsid w:val="00D80D99"/>
    <w:pPr>
      <w:numPr>
        <w:numId w:val="21"/>
      </w:numPr>
    </w:pPr>
  </w:style>
  <w:style w:type="paragraph" w:styleId="Revision">
    <w:name w:val="Revision"/>
    <w:hidden/>
    <w:uiPriority w:val="99"/>
    <w:semiHidden/>
    <w:rsid w:val="00A545C6"/>
    <w:pPr>
      <w:spacing w:after="0" w:line="240" w:lineRule="auto"/>
    </w:pPr>
    <w:rPr>
      <w:rFonts w:ascii="Times New Roman" w:hAnsi="Times New Roman"/>
      <w:sz w:val="24"/>
    </w:rPr>
  </w:style>
  <w:style w:type="character" w:styleId="UnresolvedMention">
    <w:name w:val="Unresolved Mention"/>
    <w:basedOn w:val="DefaultParagraphFont"/>
    <w:uiPriority w:val="99"/>
    <w:semiHidden/>
    <w:unhideWhenUsed/>
    <w:rsid w:val="006B36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5590">
      <w:bodyDiv w:val="1"/>
      <w:marLeft w:val="0"/>
      <w:marRight w:val="0"/>
      <w:marTop w:val="0"/>
      <w:marBottom w:val="0"/>
      <w:divBdr>
        <w:top w:val="none" w:sz="0" w:space="0" w:color="auto"/>
        <w:left w:val="none" w:sz="0" w:space="0" w:color="auto"/>
        <w:bottom w:val="none" w:sz="0" w:space="0" w:color="auto"/>
        <w:right w:val="none" w:sz="0" w:space="0" w:color="auto"/>
      </w:divBdr>
    </w:div>
    <w:div w:id="41952381">
      <w:bodyDiv w:val="1"/>
      <w:marLeft w:val="0"/>
      <w:marRight w:val="0"/>
      <w:marTop w:val="0"/>
      <w:marBottom w:val="0"/>
      <w:divBdr>
        <w:top w:val="none" w:sz="0" w:space="0" w:color="auto"/>
        <w:left w:val="none" w:sz="0" w:space="0" w:color="auto"/>
        <w:bottom w:val="none" w:sz="0" w:space="0" w:color="auto"/>
        <w:right w:val="none" w:sz="0" w:space="0" w:color="auto"/>
      </w:divBdr>
    </w:div>
    <w:div w:id="53352955">
      <w:bodyDiv w:val="1"/>
      <w:marLeft w:val="0"/>
      <w:marRight w:val="0"/>
      <w:marTop w:val="0"/>
      <w:marBottom w:val="0"/>
      <w:divBdr>
        <w:top w:val="none" w:sz="0" w:space="0" w:color="auto"/>
        <w:left w:val="none" w:sz="0" w:space="0" w:color="auto"/>
        <w:bottom w:val="none" w:sz="0" w:space="0" w:color="auto"/>
        <w:right w:val="none" w:sz="0" w:space="0" w:color="auto"/>
      </w:divBdr>
    </w:div>
    <w:div w:id="83501254">
      <w:bodyDiv w:val="1"/>
      <w:marLeft w:val="0"/>
      <w:marRight w:val="0"/>
      <w:marTop w:val="0"/>
      <w:marBottom w:val="0"/>
      <w:divBdr>
        <w:top w:val="none" w:sz="0" w:space="0" w:color="auto"/>
        <w:left w:val="none" w:sz="0" w:space="0" w:color="auto"/>
        <w:bottom w:val="none" w:sz="0" w:space="0" w:color="auto"/>
        <w:right w:val="none" w:sz="0" w:space="0" w:color="auto"/>
      </w:divBdr>
    </w:div>
    <w:div w:id="171993267">
      <w:bodyDiv w:val="1"/>
      <w:marLeft w:val="0"/>
      <w:marRight w:val="0"/>
      <w:marTop w:val="0"/>
      <w:marBottom w:val="0"/>
      <w:divBdr>
        <w:top w:val="none" w:sz="0" w:space="0" w:color="auto"/>
        <w:left w:val="none" w:sz="0" w:space="0" w:color="auto"/>
        <w:bottom w:val="none" w:sz="0" w:space="0" w:color="auto"/>
        <w:right w:val="none" w:sz="0" w:space="0" w:color="auto"/>
      </w:divBdr>
    </w:div>
    <w:div w:id="172764201">
      <w:bodyDiv w:val="1"/>
      <w:marLeft w:val="0"/>
      <w:marRight w:val="0"/>
      <w:marTop w:val="0"/>
      <w:marBottom w:val="0"/>
      <w:divBdr>
        <w:top w:val="none" w:sz="0" w:space="0" w:color="auto"/>
        <w:left w:val="none" w:sz="0" w:space="0" w:color="auto"/>
        <w:bottom w:val="none" w:sz="0" w:space="0" w:color="auto"/>
        <w:right w:val="none" w:sz="0" w:space="0" w:color="auto"/>
      </w:divBdr>
    </w:div>
    <w:div w:id="304773802">
      <w:bodyDiv w:val="1"/>
      <w:marLeft w:val="0"/>
      <w:marRight w:val="0"/>
      <w:marTop w:val="0"/>
      <w:marBottom w:val="0"/>
      <w:divBdr>
        <w:top w:val="none" w:sz="0" w:space="0" w:color="auto"/>
        <w:left w:val="none" w:sz="0" w:space="0" w:color="auto"/>
        <w:bottom w:val="none" w:sz="0" w:space="0" w:color="auto"/>
        <w:right w:val="none" w:sz="0" w:space="0" w:color="auto"/>
      </w:divBdr>
    </w:div>
    <w:div w:id="330254591">
      <w:bodyDiv w:val="1"/>
      <w:marLeft w:val="0"/>
      <w:marRight w:val="0"/>
      <w:marTop w:val="0"/>
      <w:marBottom w:val="0"/>
      <w:divBdr>
        <w:top w:val="none" w:sz="0" w:space="0" w:color="auto"/>
        <w:left w:val="none" w:sz="0" w:space="0" w:color="auto"/>
        <w:bottom w:val="none" w:sz="0" w:space="0" w:color="auto"/>
        <w:right w:val="none" w:sz="0" w:space="0" w:color="auto"/>
      </w:divBdr>
    </w:div>
    <w:div w:id="355036801">
      <w:bodyDiv w:val="1"/>
      <w:marLeft w:val="0"/>
      <w:marRight w:val="0"/>
      <w:marTop w:val="0"/>
      <w:marBottom w:val="0"/>
      <w:divBdr>
        <w:top w:val="none" w:sz="0" w:space="0" w:color="auto"/>
        <w:left w:val="none" w:sz="0" w:space="0" w:color="auto"/>
        <w:bottom w:val="none" w:sz="0" w:space="0" w:color="auto"/>
        <w:right w:val="none" w:sz="0" w:space="0" w:color="auto"/>
      </w:divBdr>
    </w:div>
    <w:div w:id="368335732">
      <w:bodyDiv w:val="1"/>
      <w:marLeft w:val="0"/>
      <w:marRight w:val="0"/>
      <w:marTop w:val="0"/>
      <w:marBottom w:val="0"/>
      <w:divBdr>
        <w:top w:val="none" w:sz="0" w:space="0" w:color="auto"/>
        <w:left w:val="none" w:sz="0" w:space="0" w:color="auto"/>
        <w:bottom w:val="none" w:sz="0" w:space="0" w:color="auto"/>
        <w:right w:val="none" w:sz="0" w:space="0" w:color="auto"/>
      </w:divBdr>
    </w:div>
    <w:div w:id="435713950">
      <w:bodyDiv w:val="1"/>
      <w:marLeft w:val="0"/>
      <w:marRight w:val="0"/>
      <w:marTop w:val="0"/>
      <w:marBottom w:val="0"/>
      <w:divBdr>
        <w:top w:val="none" w:sz="0" w:space="0" w:color="auto"/>
        <w:left w:val="none" w:sz="0" w:space="0" w:color="auto"/>
        <w:bottom w:val="none" w:sz="0" w:space="0" w:color="auto"/>
        <w:right w:val="none" w:sz="0" w:space="0" w:color="auto"/>
      </w:divBdr>
    </w:div>
    <w:div w:id="476724946">
      <w:bodyDiv w:val="1"/>
      <w:marLeft w:val="0"/>
      <w:marRight w:val="0"/>
      <w:marTop w:val="0"/>
      <w:marBottom w:val="0"/>
      <w:divBdr>
        <w:top w:val="none" w:sz="0" w:space="0" w:color="auto"/>
        <w:left w:val="none" w:sz="0" w:space="0" w:color="auto"/>
        <w:bottom w:val="none" w:sz="0" w:space="0" w:color="auto"/>
        <w:right w:val="none" w:sz="0" w:space="0" w:color="auto"/>
      </w:divBdr>
    </w:div>
    <w:div w:id="566258189">
      <w:bodyDiv w:val="1"/>
      <w:marLeft w:val="0"/>
      <w:marRight w:val="0"/>
      <w:marTop w:val="0"/>
      <w:marBottom w:val="0"/>
      <w:divBdr>
        <w:top w:val="none" w:sz="0" w:space="0" w:color="auto"/>
        <w:left w:val="none" w:sz="0" w:space="0" w:color="auto"/>
        <w:bottom w:val="none" w:sz="0" w:space="0" w:color="auto"/>
        <w:right w:val="none" w:sz="0" w:space="0" w:color="auto"/>
      </w:divBdr>
    </w:div>
    <w:div w:id="625626042">
      <w:bodyDiv w:val="1"/>
      <w:marLeft w:val="0"/>
      <w:marRight w:val="0"/>
      <w:marTop w:val="0"/>
      <w:marBottom w:val="0"/>
      <w:divBdr>
        <w:top w:val="none" w:sz="0" w:space="0" w:color="auto"/>
        <w:left w:val="none" w:sz="0" w:space="0" w:color="auto"/>
        <w:bottom w:val="none" w:sz="0" w:space="0" w:color="auto"/>
        <w:right w:val="none" w:sz="0" w:space="0" w:color="auto"/>
      </w:divBdr>
    </w:div>
    <w:div w:id="634992698">
      <w:bodyDiv w:val="1"/>
      <w:marLeft w:val="0"/>
      <w:marRight w:val="0"/>
      <w:marTop w:val="0"/>
      <w:marBottom w:val="0"/>
      <w:divBdr>
        <w:top w:val="none" w:sz="0" w:space="0" w:color="auto"/>
        <w:left w:val="none" w:sz="0" w:space="0" w:color="auto"/>
        <w:bottom w:val="none" w:sz="0" w:space="0" w:color="auto"/>
        <w:right w:val="none" w:sz="0" w:space="0" w:color="auto"/>
      </w:divBdr>
    </w:div>
    <w:div w:id="637489370">
      <w:bodyDiv w:val="1"/>
      <w:marLeft w:val="0"/>
      <w:marRight w:val="0"/>
      <w:marTop w:val="0"/>
      <w:marBottom w:val="0"/>
      <w:divBdr>
        <w:top w:val="none" w:sz="0" w:space="0" w:color="auto"/>
        <w:left w:val="none" w:sz="0" w:space="0" w:color="auto"/>
        <w:bottom w:val="none" w:sz="0" w:space="0" w:color="auto"/>
        <w:right w:val="none" w:sz="0" w:space="0" w:color="auto"/>
      </w:divBdr>
    </w:div>
    <w:div w:id="672103351">
      <w:bodyDiv w:val="1"/>
      <w:marLeft w:val="0"/>
      <w:marRight w:val="0"/>
      <w:marTop w:val="0"/>
      <w:marBottom w:val="0"/>
      <w:divBdr>
        <w:top w:val="none" w:sz="0" w:space="0" w:color="auto"/>
        <w:left w:val="none" w:sz="0" w:space="0" w:color="auto"/>
        <w:bottom w:val="none" w:sz="0" w:space="0" w:color="auto"/>
        <w:right w:val="none" w:sz="0" w:space="0" w:color="auto"/>
      </w:divBdr>
    </w:div>
    <w:div w:id="777677135">
      <w:bodyDiv w:val="1"/>
      <w:marLeft w:val="0"/>
      <w:marRight w:val="0"/>
      <w:marTop w:val="0"/>
      <w:marBottom w:val="0"/>
      <w:divBdr>
        <w:top w:val="none" w:sz="0" w:space="0" w:color="auto"/>
        <w:left w:val="none" w:sz="0" w:space="0" w:color="auto"/>
        <w:bottom w:val="none" w:sz="0" w:space="0" w:color="auto"/>
        <w:right w:val="none" w:sz="0" w:space="0" w:color="auto"/>
      </w:divBdr>
    </w:div>
    <w:div w:id="784809892">
      <w:bodyDiv w:val="1"/>
      <w:marLeft w:val="0"/>
      <w:marRight w:val="0"/>
      <w:marTop w:val="0"/>
      <w:marBottom w:val="0"/>
      <w:divBdr>
        <w:top w:val="none" w:sz="0" w:space="0" w:color="auto"/>
        <w:left w:val="none" w:sz="0" w:space="0" w:color="auto"/>
        <w:bottom w:val="none" w:sz="0" w:space="0" w:color="auto"/>
        <w:right w:val="none" w:sz="0" w:space="0" w:color="auto"/>
      </w:divBdr>
    </w:div>
    <w:div w:id="801117753">
      <w:bodyDiv w:val="1"/>
      <w:marLeft w:val="0"/>
      <w:marRight w:val="0"/>
      <w:marTop w:val="0"/>
      <w:marBottom w:val="0"/>
      <w:divBdr>
        <w:top w:val="none" w:sz="0" w:space="0" w:color="auto"/>
        <w:left w:val="none" w:sz="0" w:space="0" w:color="auto"/>
        <w:bottom w:val="none" w:sz="0" w:space="0" w:color="auto"/>
        <w:right w:val="none" w:sz="0" w:space="0" w:color="auto"/>
      </w:divBdr>
    </w:div>
    <w:div w:id="898321622">
      <w:bodyDiv w:val="1"/>
      <w:marLeft w:val="0"/>
      <w:marRight w:val="0"/>
      <w:marTop w:val="0"/>
      <w:marBottom w:val="0"/>
      <w:divBdr>
        <w:top w:val="none" w:sz="0" w:space="0" w:color="auto"/>
        <w:left w:val="none" w:sz="0" w:space="0" w:color="auto"/>
        <w:bottom w:val="none" w:sz="0" w:space="0" w:color="auto"/>
        <w:right w:val="none" w:sz="0" w:space="0" w:color="auto"/>
      </w:divBdr>
    </w:div>
    <w:div w:id="901722389">
      <w:bodyDiv w:val="1"/>
      <w:marLeft w:val="0"/>
      <w:marRight w:val="0"/>
      <w:marTop w:val="0"/>
      <w:marBottom w:val="0"/>
      <w:divBdr>
        <w:top w:val="none" w:sz="0" w:space="0" w:color="auto"/>
        <w:left w:val="none" w:sz="0" w:space="0" w:color="auto"/>
        <w:bottom w:val="none" w:sz="0" w:space="0" w:color="auto"/>
        <w:right w:val="none" w:sz="0" w:space="0" w:color="auto"/>
      </w:divBdr>
      <w:divsChild>
        <w:div w:id="788814165">
          <w:marLeft w:val="-675"/>
          <w:marRight w:val="0"/>
          <w:marTop w:val="0"/>
          <w:marBottom w:val="0"/>
          <w:divBdr>
            <w:top w:val="none" w:sz="0" w:space="0" w:color="auto"/>
            <w:left w:val="none" w:sz="0" w:space="0" w:color="auto"/>
            <w:bottom w:val="none" w:sz="0" w:space="0" w:color="auto"/>
            <w:right w:val="none" w:sz="0" w:space="0" w:color="auto"/>
          </w:divBdr>
        </w:div>
      </w:divsChild>
    </w:div>
    <w:div w:id="935138230">
      <w:bodyDiv w:val="1"/>
      <w:marLeft w:val="0"/>
      <w:marRight w:val="0"/>
      <w:marTop w:val="0"/>
      <w:marBottom w:val="0"/>
      <w:divBdr>
        <w:top w:val="none" w:sz="0" w:space="0" w:color="auto"/>
        <w:left w:val="none" w:sz="0" w:space="0" w:color="auto"/>
        <w:bottom w:val="none" w:sz="0" w:space="0" w:color="auto"/>
        <w:right w:val="none" w:sz="0" w:space="0" w:color="auto"/>
      </w:divBdr>
    </w:div>
    <w:div w:id="943882040">
      <w:bodyDiv w:val="1"/>
      <w:marLeft w:val="0"/>
      <w:marRight w:val="0"/>
      <w:marTop w:val="0"/>
      <w:marBottom w:val="0"/>
      <w:divBdr>
        <w:top w:val="none" w:sz="0" w:space="0" w:color="auto"/>
        <w:left w:val="none" w:sz="0" w:space="0" w:color="auto"/>
        <w:bottom w:val="none" w:sz="0" w:space="0" w:color="auto"/>
        <w:right w:val="none" w:sz="0" w:space="0" w:color="auto"/>
      </w:divBdr>
    </w:div>
    <w:div w:id="1001155637">
      <w:bodyDiv w:val="1"/>
      <w:marLeft w:val="0"/>
      <w:marRight w:val="0"/>
      <w:marTop w:val="0"/>
      <w:marBottom w:val="0"/>
      <w:divBdr>
        <w:top w:val="none" w:sz="0" w:space="0" w:color="auto"/>
        <w:left w:val="none" w:sz="0" w:space="0" w:color="auto"/>
        <w:bottom w:val="none" w:sz="0" w:space="0" w:color="auto"/>
        <w:right w:val="none" w:sz="0" w:space="0" w:color="auto"/>
      </w:divBdr>
    </w:div>
    <w:div w:id="1002313091">
      <w:bodyDiv w:val="1"/>
      <w:marLeft w:val="0"/>
      <w:marRight w:val="0"/>
      <w:marTop w:val="0"/>
      <w:marBottom w:val="0"/>
      <w:divBdr>
        <w:top w:val="none" w:sz="0" w:space="0" w:color="auto"/>
        <w:left w:val="none" w:sz="0" w:space="0" w:color="auto"/>
        <w:bottom w:val="none" w:sz="0" w:space="0" w:color="auto"/>
        <w:right w:val="none" w:sz="0" w:space="0" w:color="auto"/>
      </w:divBdr>
    </w:div>
    <w:div w:id="1054963633">
      <w:bodyDiv w:val="1"/>
      <w:marLeft w:val="0"/>
      <w:marRight w:val="0"/>
      <w:marTop w:val="0"/>
      <w:marBottom w:val="0"/>
      <w:divBdr>
        <w:top w:val="none" w:sz="0" w:space="0" w:color="auto"/>
        <w:left w:val="none" w:sz="0" w:space="0" w:color="auto"/>
        <w:bottom w:val="none" w:sz="0" w:space="0" w:color="auto"/>
        <w:right w:val="none" w:sz="0" w:space="0" w:color="auto"/>
      </w:divBdr>
    </w:div>
    <w:div w:id="1202666819">
      <w:bodyDiv w:val="1"/>
      <w:marLeft w:val="0"/>
      <w:marRight w:val="0"/>
      <w:marTop w:val="0"/>
      <w:marBottom w:val="0"/>
      <w:divBdr>
        <w:top w:val="none" w:sz="0" w:space="0" w:color="auto"/>
        <w:left w:val="none" w:sz="0" w:space="0" w:color="auto"/>
        <w:bottom w:val="none" w:sz="0" w:space="0" w:color="auto"/>
        <w:right w:val="none" w:sz="0" w:space="0" w:color="auto"/>
      </w:divBdr>
    </w:div>
    <w:div w:id="1211458566">
      <w:bodyDiv w:val="1"/>
      <w:marLeft w:val="0"/>
      <w:marRight w:val="0"/>
      <w:marTop w:val="0"/>
      <w:marBottom w:val="0"/>
      <w:divBdr>
        <w:top w:val="none" w:sz="0" w:space="0" w:color="auto"/>
        <w:left w:val="none" w:sz="0" w:space="0" w:color="auto"/>
        <w:bottom w:val="none" w:sz="0" w:space="0" w:color="auto"/>
        <w:right w:val="none" w:sz="0" w:space="0" w:color="auto"/>
      </w:divBdr>
    </w:div>
    <w:div w:id="1239746682">
      <w:bodyDiv w:val="1"/>
      <w:marLeft w:val="0"/>
      <w:marRight w:val="0"/>
      <w:marTop w:val="0"/>
      <w:marBottom w:val="0"/>
      <w:divBdr>
        <w:top w:val="none" w:sz="0" w:space="0" w:color="auto"/>
        <w:left w:val="none" w:sz="0" w:space="0" w:color="auto"/>
        <w:bottom w:val="none" w:sz="0" w:space="0" w:color="auto"/>
        <w:right w:val="none" w:sz="0" w:space="0" w:color="auto"/>
      </w:divBdr>
    </w:div>
    <w:div w:id="1242062106">
      <w:bodyDiv w:val="1"/>
      <w:marLeft w:val="0"/>
      <w:marRight w:val="0"/>
      <w:marTop w:val="0"/>
      <w:marBottom w:val="0"/>
      <w:divBdr>
        <w:top w:val="none" w:sz="0" w:space="0" w:color="auto"/>
        <w:left w:val="none" w:sz="0" w:space="0" w:color="auto"/>
        <w:bottom w:val="none" w:sz="0" w:space="0" w:color="auto"/>
        <w:right w:val="none" w:sz="0" w:space="0" w:color="auto"/>
      </w:divBdr>
    </w:div>
    <w:div w:id="1345011709">
      <w:bodyDiv w:val="1"/>
      <w:marLeft w:val="0"/>
      <w:marRight w:val="0"/>
      <w:marTop w:val="0"/>
      <w:marBottom w:val="0"/>
      <w:divBdr>
        <w:top w:val="none" w:sz="0" w:space="0" w:color="auto"/>
        <w:left w:val="none" w:sz="0" w:space="0" w:color="auto"/>
        <w:bottom w:val="none" w:sz="0" w:space="0" w:color="auto"/>
        <w:right w:val="none" w:sz="0" w:space="0" w:color="auto"/>
      </w:divBdr>
    </w:div>
    <w:div w:id="1476726513">
      <w:bodyDiv w:val="1"/>
      <w:marLeft w:val="0"/>
      <w:marRight w:val="0"/>
      <w:marTop w:val="0"/>
      <w:marBottom w:val="0"/>
      <w:divBdr>
        <w:top w:val="none" w:sz="0" w:space="0" w:color="auto"/>
        <w:left w:val="none" w:sz="0" w:space="0" w:color="auto"/>
        <w:bottom w:val="none" w:sz="0" w:space="0" w:color="auto"/>
        <w:right w:val="none" w:sz="0" w:space="0" w:color="auto"/>
      </w:divBdr>
    </w:div>
    <w:div w:id="1594050805">
      <w:bodyDiv w:val="1"/>
      <w:marLeft w:val="0"/>
      <w:marRight w:val="0"/>
      <w:marTop w:val="0"/>
      <w:marBottom w:val="0"/>
      <w:divBdr>
        <w:top w:val="none" w:sz="0" w:space="0" w:color="auto"/>
        <w:left w:val="none" w:sz="0" w:space="0" w:color="auto"/>
        <w:bottom w:val="none" w:sz="0" w:space="0" w:color="auto"/>
        <w:right w:val="none" w:sz="0" w:space="0" w:color="auto"/>
      </w:divBdr>
    </w:div>
    <w:div w:id="1627853281">
      <w:bodyDiv w:val="1"/>
      <w:marLeft w:val="0"/>
      <w:marRight w:val="0"/>
      <w:marTop w:val="0"/>
      <w:marBottom w:val="0"/>
      <w:divBdr>
        <w:top w:val="none" w:sz="0" w:space="0" w:color="auto"/>
        <w:left w:val="none" w:sz="0" w:space="0" w:color="auto"/>
        <w:bottom w:val="none" w:sz="0" w:space="0" w:color="auto"/>
        <w:right w:val="none" w:sz="0" w:space="0" w:color="auto"/>
      </w:divBdr>
    </w:div>
    <w:div w:id="1672102073">
      <w:bodyDiv w:val="1"/>
      <w:marLeft w:val="0"/>
      <w:marRight w:val="0"/>
      <w:marTop w:val="0"/>
      <w:marBottom w:val="0"/>
      <w:divBdr>
        <w:top w:val="none" w:sz="0" w:space="0" w:color="auto"/>
        <w:left w:val="none" w:sz="0" w:space="0" w:color="auto"/>
        <w:bottom w:val="none" w:sz="0" w:space="0" w:color="auto"/>
        <w:right w:val="none" w:sz="0" w:space="0" w:color="auto"/>
      </w:divBdr>
    </w:div>
    <w:div w:id="1796868154">
      <w:bodyDiv w:val="1"/>
      <w:marLeft w:val="0"/>
      <w:marRight w:val="0"/>
      <w:marTop w:val="0"/>
      <w:marBottom w:val="0"/>
      <w:divBdr>
        <w:top w:val="none" w:sz="0" w:space="0" w:color="auto"/>
        <w:left w:val="none" w:sz="0" w:space="0" w:color="auto"/>
        <w:bottom w:val="none" w:sz="0" w:space="0" w:color="auto"/>
        <w:right w:val="none" w:sz="0" w:space="0" w:color="auto"/>
      </w:divBdr>
    </w:div>
    <w:div w:id="1832022366">
      <w:bodyDiv w:val="1"/>
      <w:marLeft w:val="0"/>
      <w:marRight w:val="0"/>
      <w:marTop w:val="0"/>
      <w:marBottom w:val="0"/>
      <w:divBdr>
        <w:top w:val="none" w:sz="0" w:space="0" w:color="auto"/>
        <w:left w:val="none" w:sz="0" w:space="0" w:color="auto"/>
        <w:bottom w:val="none" w:sz="0" w:space="0" w:color="auto"/>
        <w:right w:val="none" w:sz="0" w:space="0" w:color="auto"/>
      </w:divBdr>
    </w:div>
    <w:div w:id="2008167579">
      <w:bodyDiv w:val="1"/>
      <w:marLeft w:val="0"/>
      <w:marRight w:val="0"/>
      <w:marTop w:val="0"/>
      <w:marBottom w:val="0"/>
      <w:divBdr>
        <w:top w:val="none" w:sz="0" w:space="0" w:color="auto"/>
        <w:left w:val="none" w:sz="0" w:space="0" w:color="auto"/>
        <w:bottom w:val="none" w:sz="0" w:space="0" w:color="auto"/>
        <w:right w:val="none" w:sz="0" w:space="0" w:color="auto"/>
      </w:divBdr>
    </w:div>
    <w:div w:id="2108455780">
      <w:bodyDiv w:val="1"/>
      <w:marLeft w:val="0"/>
      <w:marRight w:val="0"/>
      <w:marTop w:val="0"/>
      <w:marBottom w:val="0"/>
      <w:divBdr>
        <w:top w:val="none" w:sz="0" w:space="0" w:color="auto"/>
        <w:left w:val="none" w:sz="0" w:space="0" w:color="auto"/>
        <w:bottom w:val="none" w:sz="0" w:space="0" w:color="auto"/>
        <w:right w:val="none" w:sz="0" w:space="0" w:color="auto"/>
      </w:divBdr>
    </w:div>
    <w:div w:id="2130515269">
      <w:bodyDiv w:val="1"/>
      <w:marLeft w:val="0"/>
      <w:marRight w:val="0"/>
      <w:marTop w:val="0"/>
      <w:marBottom w:val="0"/>
      <w:divBdr>
        <w:top w:val="none" w:sz="0" w:space="0" w:color="auto"/>
        <w:left w:val="none" w:sz="0" w:space="0" w:color="auto"/>
        <w:bottom w:val="none" w:sz="0" w:space="0" w:color="auto"/>
        <w:right w:val="none" w:sz="0" w:space="0" w:color="auto"/>
      </w:divBdr>
    </w:div>
    <w:div w:id="2133791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stocco\Documents\Templates\Frontiers_Word_Templates\Frontier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B8B29C5-C39B-41C8-9567-444369AD2B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Frontiers_template</Template>
  <TotalTime>1200</TotalTime>
  <Pages>18</Pages>
  <Words>8081</Words>
  <Characters>46063</Characters>
  <Application>Microsoft Office Word</Application>
  <DocSecurity>0</DocSecurity>
  <Lines>383</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Lucie Senn</dc:creator>
  <cp:keywords/>
  <dc:description/>
  <cp:lastModifiedBy>Aidan Coyle</cp:lastModifiedBy>
  <cp:revision>9</cp:revision>
  <cp:lastPrinted>2022-11-10T01:39:00Z</cp:lastPrinted>
  <dcterms:created xsi:type="dcterms:W3CDTF">2022-11-09T07:24:00Z</dcterms:created>
  <dcterms:modified xsi:type="dcterms:W3CDTF">2022-11-10T01:43:00Z</dcterms:modified>
</cp:coreProperties>
</file>